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F59" w:rsidRPr="00EE7F59" w:rsidRDefault="00EE7F59" w:rsidP="00EE7F59">
      <w:pPr>
        <w:tabs>
          <w:tab w:val="center" w:pos="4253"/>
        </w:tabs>
        <w:suppressAutoHyphens/>
        <w:spacing w:line="240" w:lineRule="auto"/>
        <w:jc w:val="center"/>
        <w:rPr>
          <w:rFonts w:cs="Arial"/>
          <w:b/>
          <w:lang w:val="es-ES_tradnl"/>
        </w:rPr>
      </w:pPr>
      <w:r w:rsidRPr="00EE7F59">
        <w:rPr>
          <w:rFonts w:cs="Arial"/>
          <w:b/>
          <w:lang w:val="es-ES_tradnl"/>
        </w:rPr>
        <w:t>RESOLUCION ADOPTADA POR EL</w:t>
      </w:r>
    </w:p>
    <w:p w:rsidR="00EE7F59" w:rsidRPr="00EE7F59" w:rsidRDefault="00EE7F59" w:rsidP="00EE7F59">
      <w:pPr>
        <w:tabs>
          <w:tab w:val="left" w:pos="-720"/>
        </w:tabs>
        <w:suppressAutoHyphens/>
        <w:spacing w:line="240" w:lineRule="auto"/>
        <w:jc w:val="center"/>
        <w:rPr>
          <w:rFonts w:cs="Arial"/>
          <w:b/>
          <w:lang w:val="es-ES_tradnl"/>
        </w:rPr>
      </w:pPr>
    </w:p>
    <w:p w:rsidR="00EE7F59" w:rsidRPr="00EE7F59" w:rsidRDefault="00EE7F59" w:rsidP="00EE7F59">
      <w:pPr>
        <w:tabs>
          <w:tab w:val="center" w:pos="4253"/>
        </w:tabs>
        <w:suppressAutoHyphens/>
        <w:spacing w:line="240" w:lineRule="auto"/>
        <w:jc w:val="center"/>
        <w:rPr>
          <w:rFonts w:cs="Arial"/>
          <w:b/>
          <w:lang w:val="es-ES_tradnl"/>
        </w:rPr>
      </w:pPr>
      <w:r w:rsidRPr="00EE7F59">
        <w:rPr>
          <w:rFonts w:cs="Arial"/>
          <w:b/>
          <w:lang w:val="es-ES_tradnl"/>
        </w:rPr>
        <w:t>TRIBUNAL DE CUENTAS</w:t>
      </w:r>
    </w:p>
    <w:p w:rsidR="00EE7F59" w:rsidRPr="00EE7F59" w:rsidRDefault="00EE7F59" w:rsidP="00EE7F59">
      <w:pPr>
        <w:tabs>
          <w:tab w:val="left" w:pos="-720"/>
        </w:tabs>
        <w:suppressAutoHyphens/>
        <w:spacing w:line="240" w:lineRule="auto"/>
        <w:jc w:val="center"/>
        <w:rPr>
          <w:rFonts w:cs="Arial"/>
          <w:b/>
          <w:lang w:val="es-ES_tradnl"/>
        </w:rPr>
      </w:pPr>
    </w:p>
    <w:p w:rsidR="00EE7F59" w:rsidRPr="00EE7F59" w:rsidRDefault="00EE7F59" w:rsidP="00EE7F59">
      <w:pPr>
        <w:tabs>
          <w:tab w:val="center" w:pos="4253"/>
        </w:tabs>
        <w:suppressAutoHyphens/>
        <w:spacing w:line="240" w:lineRule="auto"/>
        <w:jc w:val="center"/>
        <w:rPr>
          <w:rFonts w:cs="Arial"/>
          <w:b/>
          <w:lang w:val="es-ES_tradnl"/>
        </w:rPr>
      </w:pPr>
      <w:r w:rsidRPr="00EE7F59">
        <w:rPr>
          <w:rFonts w:cs="Arial"/>
          <w:b/>
          <w:lang w:val="es-ES_tradnl"/>
        </w:rPr>
        <w:t>EN SESION DE FECHA  30 DE OCTUBRE DE   2013</w:t>
      </w:r>
    </w:p>
    <w:p w:rsidR="00EE7F59" w:rsidRPr="00EE7F59" w:rsidRDefault="00EE7F59" w:rsidP="00EE7F59">
      <w:pPr>
        <w:tabs>
          <w:tab w:val="center" w:pos="4253"/>
        </w:tabs>
        <w:suppressAutoHyphens/>
        <w:spacing w:line="240" w:lineRule="auto"/>
        <w:jc w:val="center"/>
        <w:rPr>
          <w:rFonts w:cs="Arial"/>
          <w:b/>
          <w:lang w:val="es-ES_tradnl"/>
        </w:rPr>
      </w:pPr>
    </w:p>
    <w:p w:rsidR="00EE7F59" w:rsidRPr="00EE7F59" w:rsidRDefault="00EE7F59" w:rsidP="00EE7F59">
      <w:pPr>
        <w:tabs>
          <w:tab w:val="center" w:pos="4253"/>
        </w:tabs>
        <w:suppressAutoHyphens/>
        <w:spacing w:line="240" w:lineRule="auto"/>
        <w:jc w:val="center"/>
        <w:rPr>
          <w:rFonts w:cs="Arial"/>
          <w:b/>
          <w:lang w:val="es-UY"/>
        </w:rPr>
      </w:pPr>
      <w:r w:rsidRPr="00EE7F59">
        <w:rPr>
          <w:rFonts w:cs="Arial"/>
          <w:b/>
          <w:lang w:val="es-UY"/>
        </w:rPr>
        <w:t xml:space="preserve">(E. E. Nº 2013-17-1-0006452, </w:t>
      </w:r>
      <w:proofErr w:type="spellStart"/>
      <w:r w:rsidRPr="00EE7F59">
        <w:rPr>
          <w:rFonts w:cs="Arial"/>
          <w:b/>
          <w:lang w:val="es-UY"/>
        </w:rPr>
        <w:t>Ent</w:t>
      </w:r>
      <w:proofErr w:type="spellEnd"/>
      <w:r w:rsidRPr="00EE7F59">
        <w:rPr>
          <w:rFonts w:cs="Arial"/>
          <w:b/>
          <w:lang w:val="es-UY"/>
        </w:rPr>
        <w:t>. N° 5616/13.)</w:t>
      </w:r>
    </w:p>
    <w:p w:rsidR="00EE7F59" w:rsidRPr="00EE7F59" w:rsidRDefault="00EE7F59">
      <w:pPr>
        <w:tabs>
          <w:tab w:val="center" w:pos="4253"/>
        </w:tabs>
        <w:suppressAutoHyphens/>
        <w:jc w:val="center"/>
        <w:rPr>
          <w:spacing w:val="-3"/>
          <w:lang w:val="es-UY"/>
        </w:rPr>
      </w:pPr>
    </w:p>
    <w:p w:rsidR="00B01ED1" w:rsidRDefault="004629C4" w:rsidP="00EE7F59">
      <w:pPr>
        <w:ind w:firstLine="708"/>
        <w:jc w:val="both"/>
      </w:pPr>
      <w:r>
        <w:rPr>
          <w:b/>
          <w:bCs/>
        </w:rPr>
        <w:t>VISTO:</w:t>
      </w:r>
      <w:r>
        <w:t xml:space="preserve"> las actuaciones remitidas por el Ministerio de Defensa Nacional, relacionadas con un contrato de aparcería celebrado con Alcoholes del Uruguay S.A. ((ALUR);     </w:t>
      </w:r>
    </w:p>
    <w:p w:rsidR="00B01ED1" w:rsidRDefault="004629C4" w:rsidP="00EE7F59">
      <w:pPr>
        <w:ind w:firstLine="708"/>
        <w:jc w:val="both"/>
      </w:pPr>
      <w:r>
        <w:rPr>
          <w:b/>
          <w:bCs/>
        </w:rPr>
        <w:t xml:space="preserve">RESULTANDO: 1) </w:t>
      </w:r>
      <w:r>
        <w:t>que el Comando General del Ejército por Resolución Nº 01/13 de fecha 12 de marzo de 2013 autorizó al Director del Servicio de Veterinaria  y Remonta del Ejército a la suscripción del contrato de aparcería con la empresa Alcoholes del Uruguay S.A. (ALUR S.A.), expresando  que el contrato no ocasiona gastos al Ejército por ser la contraprestación en especie;</w:t>
      </w:r>
    </w:p>
    <w:p w:rsidR="00B01ED1" w:rsidRDefault="004629C4">
      <w:pPr>
        <w:jc w:val="both"/>
      </w:pPr>
      <w:r>
        <w:t xml:space="preserve">                             </w:t>
      </w:r>
      <w:r>
        <w:rPr>
          <w:b/>
          <w:bCs/>
        </w:rPr>
        <w:t xml:space="preserve">2) </w:t>
      </w:r>
      <w:r>
        <w:t xml:space="preserve">que el Ministerio de Defensa Nacional representado por el Director del Servicio de Veterinaria y Remonta del Ejército suscribió un contrato de aparcería con Alcoholes del Uruguay S.A. (ALUR S.A.) con fecha 22 de marzo de 2013, por el cual el Ministerio da en aparcería a la referida empresa, una fracción de campo de hasta 146 </w:t>
      </w:r>
      <w:proofErr w:type="spellStart"/>
      <w:r>
        <w:t>hás</w:t>
      </w:r>
      <w:proofErr w:type="spellEnd"/>
      <w:r>
        <w:t xml:space="preserve"> en el Padrón Nº 102 de Canelones, 3ª sección catastral de Canelones, Campo Militar Nº 1 “Los Cerrillos”, para ser sembradas por ALUR S.A., aportando ésta la gestión del cultivo, los insumos y comercializará la producción, y como contrapartida entregará al Servicio de Veterinaria y Remonta 1250 </w:t>
      </w:r>
      <w:proofErr w:type="spellStart"/>
      <w:r>
        <w:t>kgs</w:t>
      </w:r>
      <w:proofErr w:type="spellEnd"/>
      <w:r>
        <w:t xml:space="preserve">. </w:t>
      </w:r>
      <w:proofErr w:type="gramStart"/>
      <w:r>
        <w:t>de</w:t>
      </w:r>
      <w:proofErr w:type="gramEnd"/>
      <w:r>
        <w:t xml:space="preserve"> harina de girasol por hectárea y por año;</w:t>
      </w:r>
    </w:p>
    <w:p w:rsidR="00B01ED1" w:rsidRDefault="004629C4">
      <w:pPr>
        <w:jc w:val="both"/>
      </w:pPr>
      <w:r>
        <w:t xml:space="preserve">                            </w:t>
      </w:r>
      <w:r>
        <w:rPr>
          <w:b/>
          <w:bCs/>
        </w:rPr>
        <w:t>3)</w:t>
      </w:r>
      <w:r>
        <w:t xml:space="preserve"> que el plazo pactado en el referido contrato es de cuatro años consecutivos a partir de la firma del contrato, pudiendo ser prorrogado por las partes;</w:t>
      </w:r>
    </w:p>
    <w:p w:rsidR="00B01ED1" w:rsidRDefault="004629C4">
      <w:pPr>
        <w:jc w:val="both"/>
      </w:pPr>
      <w:r>
        <w:t xml:space="preserve">                            </w:t>
      </w:r>
      <w:r>
        <w:rPr>
          <w:b/>
          <w:bCs/>
        </w:rPr>
        <w:t>4)</w:t>
      </w:r>
      <w:r>
        <w:t xml:space="preserve"> que el Servicio de Veterinaria y Remonta del Ejército se obliga además a cercar el área a sembrar, con alambrado eléctrico o común de cinco o siete hilos;</w:t>
      </w:r>
    </w:p>
    <w:p w:rsidR="00B01ED1" w:rsidRDefault="004629C4">
      <w:pPr>
        <w:jc w:val="both"/>
      </w:pPr>
      <w:r>
        <w:rPr>
          <w:b/>
          <w:bCs/>
        </w:rPr>
        <w:t xml:space="preserve">                            5) </w:t>
      </w:r>
      <w:r>
        <w:t xml:space="preserve">que la Dirección del Servicio de Veterinaria y Remonta por Oficio Nº 194/SG/13 de fecha 15 de julio de 2013 informa sobre la estimación </w:t>
      </w:r>
      <w:r>
        <w:lastRenderedPageBreak/>
        <w:t xml:space="preserve">de la harina o productos a recibir en dinero, que ALUR SA sembró 60 </w:t>
      </w:r>
      <w:proofErr w:type="spellStart"/>
      <w:r>
        <w:t>hás</w:t>
      </w:r>
      <w:proofErr w:type="spellEnd"/>
      <w:r>
        <w:t xml:space="preserve"> por lo que debe entregar 75.000 </w:t>
      </w:r>
      <w:proofErr w:type="spellStart"/>
      <w:r>
        <w:t>kgs</w:t>
      </w:r>
      <w:proofErr w:type="spellEnd"/>
      <w:r>
        <w:t xml:space="preserve">. </w:t>
      </w:r>
      <w:proofErr w:type="gramStart"/>
      <w:r>
        <w:t>de</w:t>
      </w:r>
      <w:proofErr w:type="gramEnd"/>
      <w:r>
        <w:t xml:space="preserve"> harina de girasol a razón de 1.250 </w:t>
      </w:r>
      <w:proofErr w:type="spellStart"/>
      <w:r>
        <w:t>kgs</w:t>
      </w:r>
      <w:proofErr w:type="spellEnd"/>
      <w:r>
        <w:t xml:space="preserve">./ </w:t>
      </w:r>
      <w:proofErr w:type="spellStart"/>
      <w:r>
        <w:t>hás</w:t>
      </w:r>
      <w:proofErr w:type="spellEnd"/>
      <w:r>
        <w:t xml:space="preserve">/año de producto. Respecto al precio actual es de U$S 350 la tonelada, totalizando U$S 26.500, expresando que dicha cifra no supera el monto mínimo establecido en el literal b) del artículo 33 del </w:t>
      </w:r>
      <w:proofErr w:type="spellStart"/>
      <w:r>
        <w:t>Tocaf</w:t>
      </w:r>
      <w:proofErr w:type="spellEnd"/>
      <w:r>
        <w:t xml:space="preserve"> y el monto establecido por Resolución del Poder Ejecutivo 77.363 que habilita al Comando General del Ejército la contratación directa ampliada;</w:t>
      </w:r>
    </w:p>
    <w:p w:rsidR="00B01ED1" w:rsidRDefault="004629C4">
      <w:pPr>
        <w:jc w:val="both"/>
      </w:pPr>
      <w:r>
        <w:t xml:space="preserve">                           </w:t>
      </w:r>
      <w:r>
        <w:rPr>
          <w:b/>
          <w:bCs/>
        </w:rPr>
        <w:t xml:space="preserve">6) </w:t>
      </w:r>
      <w:r>
        <w:t xml:space="preserve">que se adjunta Proyecto de Resolución del Poder Ejecutivo, por la que homologa en todos sus términos, el contrato de aparcería agrícola celebrado el 22 de marzo de 2013 entre Ministerio de Defensa Nacional con  Alcoholes del Uruguay S.A. ((ALUR);                            </w:t>
      </w:r>
    </w:p>
    <w:p w:rsidR="00B01ED1" w:rsidRDefault="004629C4">
      <w:pPr>
        <w:pStyle w:val="Ttulo2"/>
        <w:rPr>
          <w:b w:val="0"/>
          <w:bCs w:val="0"/>
        </w:rPr>
      </w:pPr>
      <w:r>
        <w:t>CONSIDERANDO: 1)</w:t>
      </w:r>
      <w:r>
        <w:rPr>
          <w:b w:val="0"/>
          <w:bCs w:val="0"/>
        </w:rPr>
        <w:t xml:space="preserve"> que la</w:t>
      </w:r>
      <w:r>
        <w:t xml:space="preserve"> </w:t>
      </w:r>
      <w:r>
        <w:rPr>
          <w:b w:val="0"/>
          <w:bCs w:val="0"/>
        </w:rPr>
        <w:t>Ley Nº</w:t>
      </w:r>
      <w:r>
        <w:t xml:space="preserve"> </w:t>
      </w:r>
      <w:r>
        <w:rPr>
          <w:b w:val="0"/>
          <w:bCs w:val="0"/>
        </w:rPr>
        <w:t>14.384</w:t>
      </w:r>
      <w:r>
        <w:t xml:space="preserve"> </w:t>
      </w:r>
      <w:r>
        <w:rPr>
          <w:b w:val="0"/>
          <w:bCs w:val="0"/>
        </w:rPr>
        <w:t>regula los contratos de aparcería</w:t>
      </w:r>
      <w:r>
        <w:t xml:space="preserve">, </w:t>
      </w:r>
      <w:r>
        <w:rPr>
          <w:b w:val="0"/>
          <w:bCs w:val="0"/>
        </w:rPr>
        <w:t>estableciendo en el</w:t>
      </w:r>
      <w:r>
        <w:t xml:space="preserve"> </w:t>
      </w:r>
      <w:r>
        <w:rPr>
          <w:b w:val="0"/>
          <w:bCs w:val="0"/>
        </w:rPr>
        <w:t xml:space="preserve">artículo 2º, </w:t>
      </w:r>
      <w:r>
        <w:t xml:space="preserve"> </w:t>
      </w:r>
      <w:r>
        <w:rPr>
          <w:b w:val="0"/>
          <w:bCs w:val="0"/>
        </w:rPr>
        <w:t>respecto a la naturaleza jurídica:</w:t>
      </w:r>
      <w:r>
        <w:t>“</w:t>
      </w:r>
      <w:r>
        <w:rPr>
          <w:b w:val="0"/>
          <w:bCs w:val="0"/>
        </w:rPr>
        <w:t>Todo contrato por el cual una de las partes se obliga a conceder a otra el uso y goce de un predio rural con destino a cualquier explotación agrícola, pecuaria o agropecuaria</w:t>
      </w:r>
      <w:r>
        <w:t xml:space="preserve">, </w:t>
      </w:r>
      <w:r>
        <w:rPr>
          <w:b w:val="0"/>
          <w:bCs w:val="0"/>
        </w:rPr>
        <w:t xml:space="preserve">y la otra a pagar por ese uso o goce un precio en dinero o en frutos naturales o productos de la cosa, queda sujeto a las disposiciones de la presente ley “. Los derechos y obligaciones conferidos por esta ley al arrendatario, se extienden al aparcero, el subarrendatario y al </w:t>
      </w:r>
      <w:proofErr w:type="spellStart"/>
      <w:r>
        <w:rPr>
          <w:b w:val="0"/>
          <w:bCs w:val="0"/>
        </w:rPr>
        <w:t>subaparcero</w:t>
      </w:r>
      <w:proofErr w:type="spellEnd"/>
      <w:r>
        <w:rPr>
          <w:b w:val="0"/>
          <w:bCs w:val="0"/>
        </w:rPr>
        <w:t>.”</w:t>
      </w:r>
    </w:p>
    <w:p w:rsidR="00B01ED1" w:rsidRDefault="004629C4">
      <w:pPr>
        <w:pStyle w:val="Textoindependiente"/>
      </w:pPr>
      <w:r>
        <w:t xml:space="preserve">                              </w:t>
      </w:r>
      <w:r>
        <w:rPr>
          <w:b/>
          <w:bCs/>
        </w:rPr>
        <w:t xml:space="preserve">2) </w:t>
      </w:r>
      <w:proofErr w:type="gramStart"/>
      <w:r>
        <w:t>que</w:t>
      </w:r>
      <w:proofErr w:type="gramEnd"/>
      <w:r>
        <w:t xml:space="preserve"> el artículo 4º) de la referida ley, dispone que:  “Todo contrato de arrendamiento de aparcería, </w:t>
      </w:r>
      <w:proofErr w:type="spellStart"/>
      <w:r>
        <w:t>subarrendatamiento</w:t>
      </w:r>
      <w:proofErr w:type="spellEnd"/>
      <w:r>
        <w:t xml:space="preserve"> y </w:t>
      </w:r>
      <w:proofErr w:type="spellStart"/>
      <w:r>
        <w:t>subaparcería</w:t>
      </w:r>
      <w:proofErr w:type="spellEnd"/>
      <w:r>
        <w:t xml:space="preserve"> debe ser extendido por escrito, so pena de nulidad” Además debe ser inscripto en el Registro General de Arrendamientos y Anticresis, de acuerdo con el régimen y con los efectos establecidos por la Ley Nº 10.793 de 25 de setiembre de 1946.”</w:t>
      </w:r>
    </w:p>
    <w:p w:rsidR="00B01ED1" w:rsidRDefault="004629C4">
      <w:pPr>
        <w:jc w:val="both"/>
      </w:pPr>
      <w:r>
        <w:t xml:space="preserve">                               </w:t>
      </w:r>
      <w:r>
        <w:rPr>
          <w:b/>
          <w:bCs/>
        </w:rPr>
        <w:t xml:space="preserve">3) </w:t>
      </w:r>
      <w:r>
        <w:t xml:space="preserve">que el presente contrato de aparcería agropecuario se realizó por medio del procedimiento de contratación directa, correspondiendo de acuerdo al monto de las prestaciones equivalentes al precio de 1.250 </w:t>
      </w:r>
      <w:proofErr w:type="spellStart"/>
      <w:r>
        <w:t>kgs</w:t>
      </w:r>
      <w:proofErr w:type="spellEnd"/>
      <w:r>
        <w:t xml:space="preserve">. </w:t>
      </w:r>
      <w:proofErr w:type="gramStart"/>
      <w:r>
        <w:t>de</w:t>
      </w:r>
      <w:proofErr w:type="gramEnd"/>
      <w:r>
        <w:t xml:space="preserve"> harina de girasol por hectárea sembrada de hasta el máximo de 146 </w:t>
      </w:r>
      <w:proofErr w:type="spellStart"/>
      <w:r>
        <w:t>hás</w:t>
      </w:r>
      <w:proofErr w:type="spellEnd"/>
      <w:r>
        <w:t xml:space="preserve"> y al plazo del contrato de cuatro años, debió regirse por el  procedimiento establecido en el artículo 33 del TOCAF,  y realizarse una licitación abreviada;</w:t>
      </w:r>
    </w:p>
    <w:p w:rsidR="00B01ED1" w:rsidRDefault="004629C4">
      <w:pPr>
        <w:pStyle w:val="Textoindependiente"/>
        <w:ind w:firstLine="708"/>
        <w:rPr>
          <w:b/>
          <w:bCs/>
        </w:rPr>
      </w:pPr>
      <w:r>
        <w:lastRenderedPageBreak/>
        <w:t xml:space="preserve">                    </w:t>
      </w:r>
      <w:r>
        <w:rPr>
          <w:b/>
          <w:bCs/>
        </w:rPr>
        <w:t xml:space="preserve">4) </w:t>
      </w:r>
      <w:r>
        <w:t>que el contrato suscrito debió inscribirse en el Registro correspondiente, dando cumplimiento a lo exigido por el artículo 4º) de la Ley 14.384;</w:t>
      </w:r>
    </w:p>
    <w:p w:rsidR="00B01ED1" w:rsidRDefault="004629C4">
      <w:pPr>
        <w:pStyle w:val="Textoindependiente2"/>
        <w:tabs>
          <w:tab w:val="left" w:pos="2160"/>
        </w:tabs>
        <w:jc w:val="both"/>
        <w:rPr>
          <w:b w:val="0"/>
          <w:bCs w:val="0"/>
        </w:rPr>
      </w:pPr>
      <w:r>
        <w:rPr>
          <w:b w:val="0"/>
          <w:bCs w:val="0"/>
        </w:rPr>
        <w:t xml:space="preserve">                               </w:t>
      </w:r>
      <w:r>
        <w:t>5)</w:t>
      </w:r>
      <w:r>
        <w:rPr>
          <w:b w:val="0"/>
          <w:bCs w:val="0"/>
        </w:rPr>
        <w:t xml:space="preserve"> que el contrato referido fue suscrito con fecha 22 de marzo de 2013, remitiéndose a la intervención de este Tribunal después de haber asumido las obligaciones la Administración actuante:</w:t>
      </w:r>
    </w:p>
    <w:p w:rsidR="00B01ED1" w:rsidRDefault="004629C4">
      <w:pPr>
        <w:jc w:val="both"/>
      </w:pPr>
      <w:r>
        <w:rPr>
          <w:b/>
          <w:bCs/>
        </w:rPr>
        <w:t>ATENTO</w:t>
      </w:r>
      <w:r>
        <w:t xml:space="preserve">: a lo precedentemente expuesto </w:t>
      </w:r>
      <w:r>
        <w:rPr>
          <w:rFonts w:cs="Arial"/>
        </w:rPr>
        <w:t xml:space="preserve">y a lo dispuesto por los artículos 211 Literal E) de la Constitución de la República y Ley Nº </w:t>
      </w:r>
      <w:r>
        <w:t>14.384;</w:t>
      </w:r>
    </w:p>
    <w:p w:rsidR="00B01ED1" w:rsidRDefault="00B01ED1">
      <w:pPr>
        <w:jc w:val="both"/>
      </w:pPr>
    </w:p>
    <w:p w:rsidR="00B01ED1" w:rsidRDefault="004629C4">
      <w:pPr>
        <w:jc w:val="center"/>
        <w:rPr>
          <w:b/>
          <w:bCs/>
        </w:rPr>
      </w:pPr>
      <w:r>
        <w:rPr>
          <w:b/>
          <w:bCs/>
        </w:rPr>
        <w:t>EL TRIBUNAL ACUERDA:</w:t>
      </w:r>
    </w:p>
    <w:p w:rsidR="00B01ED1" w:rsidRDefault="004629C4">
      <w:pPr>
        <w:numPr>
          <w:ilvl w:val="0"/>
          <w:numId w:val="2"/>
        </w:numPr>
        <w:jc w:val="both"/>
      </w:pPr>
      <w:r>
        <w:t xml:space="preserve">Observar el contrato de aparcería suscrito entre Ministerio de Defensa Nacional y Alcoholes del Uruguay S.A. ((ALUR), por lo dispuesto en los Considerandos 3), 4) y 5) de la presente Resolución; </w:t>
      </w:r>
    </w:p>
    <w:p w:rsidR="00B01ED1" w:rsidRDefault="004629C4">
      <w:pPr>
        <w:numPr>
          <w:ilvl w:val="0"/>
          <w:numId w:val="1"/>
        </w:numPr>
        <w:jc w:val="both"/>
      </w:pPr>
      <w:r>
        <w:t xml:space="preserve">Devolver los antecedentes.- </w:t>
      </w:r>
    </w:p>
    <w:p w:rsidR="00B01ED1" w:rsidRDefault="00B01ED1">
      <w:pPr>
        <w:jc w:val="both"/>
      </w:pPr>
      <w:bookmarkStart w:id="0" w:name="_GoBack"/>
      <w:bookmarkEnd w:id="0"/>
    </w:p>
    <w:sectPr w:rsidR="00B01ED1">
      <w:pgSz w:w="11906" w:h="16838"/>
      <w:pgMar w:top="2835"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6357F"/>
    <w:multiLevelType w:val="hybridMultilevel"/>
    <w:tmpl w:val="399A2666"/>
    <w:lvl w:ilvl="0" w:tplc="CBC4A8B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621E585B"/>
    <w:multiLevelType w:val="hybridMultilevel"/>
    <w:tmpl w:val="56321DB8"/>
    <w:lvl w:ilvl="0" w:tplc="B5AE5848">
      <w:start w:val="1"/>
      <w:numFmt w:val="decimal"/>
      <w:lvlText w:val="%1)"/>
      <w:lvlJc w:val="left"/>
      <w:pPr>
        <w:tabs>
          <w:tab w:val="num" w:pos="675"/>
        </w:tabs>
        <w:ind w:left="675" w:hanging="360"/>
      </w:pPr>
      <w:rPr>
        <w:rFonts w:hint="default"/>
        <w:b/>
      </w:rPr>
    </w:lvl>
    <w:lvl w:ilvl="1" w:tplc="0C0A0019" w:tentative="1">
      <w:start w:val="1"/>
      <w:numFmt w:val="lowerLetter"/>
      <w:lvlText w:val="%2."/>
      <w:lvlJc w:val="left"/>
      <w:pPr>
        <w:tabs>
          <w:tab w:val="num" w:pos="1395"/>
        </w:tabs>
        <w:ind w:left="1395" w:hanging="360"/>
      </w:pPr>
    </w:lvl>
    <w:lvl w:ilvl="2" w:tplc="0C0A001B" w:tentative="1">
      <w:start w:val="1"/>
      <w:numFmt w:val="lowerRoman"/>
      <w:lvlText w:val="%3."/>
      <w:lvlJc w:val="right"/>
      <w:pPr>
        <w:tabs>
          <w:tab w:val="num" w:pos="2115"/>
        </w:tabs>
        <w:ind w:left="2115" w:hanging="180"/>
      </w:pPr>
    </w:lvl>
    <w:lvl w:ilvl="3" w:tplc="0C0A000F" w:tentative="1">
      <w:start w:val="1"/>
      <w:numFmt w:val="decimal"/>
      <w:lvlText w:val="%4."/>
      <w:lvlJc w:val="left"/>
      <w:pPr>
        <w:tabs>
          <w:tab w:val="num" w:pos="2835"/>
        </w:tabs>
        <w:ind w:left="2835" w:hanging="360"/>
      </w:pPr>
    </w:lvl>
    <w:lvl w:ilvl="4" w:tplc="0C0A0019" w:tentative="1">
      <w:start w:val="1"/>
      <w:numFmt w:val="lowerLetter"/>
      <w:lvlText w:val="%5."/>
      <w:lvlJc w:val="left"/>
      <w:pPr>
        <w:tabs>
          <w:tab w:val="num" w:pos="3555"/>
        </w:tabs>
        <w:ind w:left="3555" w:hanging="360"/>
      </w:pPr>
    </w:lvl>
    <w:lvl w:ilvl="5" w:tplc="0C0A001B" w:tentative="1">
      <w:start w:val="1"/>
      <w:numFmt w:val="lowerRoman"/>
      <w:lvlText w:val="%6."/>
      <w:lvlJc w:val="right"/>
      <w:pPr>
        <w:tabs>
          <w:tab w:val="num" w:pos="4275"/>
        </w:tabs>
        <w:ind w:left="4275" w:hanging="180"/>
      </w:pPr>
    </w:lvl>
    <w:lvl w:ilvl="6" w:tplc="0C0A000F" w:tentative="1">
      <w:start w:val="1"/>
      <w:numFmt w:val="decimal"/>
      <w:lvlText w:val="%7."/>
      <w:lvlJc w:val="left"/>
      <w:pPr>
        <w:tabs>
          <w:tab w:val="num" w:pos="4995"/>
        </w:tabs>
        <w:ind w:left="4995" w:hanging="360"/>
      </w:pPr>
    </w:lvl>
    <w:lvl w:ilvl="7" w:tplc="0C0A0019" w:tentative="1">
      <w:start w:val="1"/>
      <w:numFmt w:val="lowerLetter"/>
      <w:lvlText w:val="%8."/>
      <w:lvlJc w:val="left"/>
      <w:pPr>
        <w:tabs>
          <w:tab w:val="num" w:pos="5715"/>
        </w:tabs>
        <w:ind w:left="5715" w:hanging="360"/>
      </w:pPr>
    </w:lvl>
    <w:lvl w:ilvl="8" w:tplc="0C0A001B" w:tentative="1">
      <w:start w:val="1"/>
      <w:numFmt w:val="lowerRoman"/>
      <w:lvlText w:val="%9."/>
      <w:lvlJc w:val="right"/>
      <w:pPr>
        <w:tabs>
          <w:tab w:val="num" w:pos="6435"/>
        </w:tabs>
        <w:ind w:left="643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F59"/>
    <w:rsid w:val="004629C4"/>
    <w:rsid w:val="00B01ED1"/>
    <w:rsid w:val="00D32A89"/>
    <w:rsid w:val="00EE7F5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pPr>
    <w:rPr>
      <w:rFonts w:ascii="Arial" w:hAnsi="Arial"/>
      <w:sz w:val="24"/>
      <w:szCs w:val="24"/>
      <w:lang w:val="es-ES" w:eastAsia="es-ES"/>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jc w:val="both"/>
      <w:outlineLvl w:val="1"/>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style>
  <w:style w:type="paragraph" w:styleId="Textoindependiente2">
    <w:name w:val="Body Text 2"/>
    <w:basedOn w:val="Normal"/>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769</Words>
  <Characters>4232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CARPETA N°  214161</vt:lpstr>
    </vt:vector>
  </TitlesOfParts>
  <Company>Tribunal de Cuentas</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214161</dc:title>
  <dc:subject/>
  <dc:creator>TCR</dc:creator>
  <cp:keywords/>
  <dc:description/>
  <cp:lastModifiedBy> </cp:lastModifiedBy>
  <cp:revision>3</cp:revision>
  <cp:lastPrinted>2007-09-06T14:59:00Z</cp:lastPrinted>
  <dcterms:created xsi:type="dcterms:W3CDTF">2013-11-01T16:48:00Z</dcterms:created>
  <dcterms:modified xsi:type="dcterms:W3CDTF">2013-11-26T16:11:00Z</dcterms:modified>
</cp:coreProperties>
</file>