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A3" w:rsidRDefault="00242C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42CA3" w:rsidRDefault="00242CA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42CA3" w:rsidRDefault="00242C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42CA3" w:rsidRDefault="00242CA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42CA3" w:rsidRDefault="00242C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2013</w:t>
      </w:r>
    </w:p>
    <w:p w:rsidR="00242CA3" w:rsidRDefault="00242C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42CA3" w:rsidRPr="00242CA3" w:rsidRDefault="00242CA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42CA3">
        <w:rPr>
          <w:rFonts w:ascii="Helvetica" w:hAnsi="Helvetica"/>
          <w:b/>
          <w:lang w:val="es-UY"/>
        </w:rPr>
        <w:t xml:space="preserve">(E. E. Nº 2013-17-1-0002746, </w:t>
      </w:r>
      <w:proofErr w:type="spellStart"/>
      <w:r w:rsidRPr="00242CA3">
        <w:rPr>
          <w:rFonts w:ascii="Helvetica" w:hAnsi="Helvetica"/>
          <w:b/>
          <w:lang w:val="es-UY"/>
        </w:rPr>
        <w:t>Ent</w:t>
      </w:r>
      <w:proofErr w:type="spellEnd"/>
      <w:r w:rsidRPr="00242CA3">
        <w:rPr>
          <w:rFonts w:ascii="Helvetica" w:hAnsi="Helvetica"/>
          <w:b/>
          <w:lang w:val="es-UY"/>
        </w:rPr>
        <w:t>. N° 5682/13)</w:t>
      </w:r>
    </w:p>
    <w:p w:rsidR="00242CA3" w:rsidRPr="00242CA3" w:rsidRDefault="00242CA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0124E" w:rsidRDefault="0080124E" w:rsidP="00015656">
      <w:pPr>
        <w:pStyle w:val="Ttulo2"/>
        <w:spacing w:line="360" w:lineRule="auto"/>
        <w:ind w:firstLine="851"/>
        <w:jc w:val="both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u w:val="none"/>
        </w:rPr>
        <w:t>VISTO</w:t>
      </w:r>
      <w:r w:rsidRPr="00015656">
        <w:rPr>
          <w:rFonts w:ascii="Arial" w:hAnsi="Arial" w:cs="Arial"/>
          <w:bCs/>
          <w:u w:val="none"/>
        </w:rPr>
        <w:t>:</w:t>
      </w:r>
      <w:r>
        <w:rPr>
          <w:rFonts w:ascii="Arial" w:hAnsi="Arial" w:cs="Arial"/>
          <w:b w:val="0"/>
          <w:bCs/>
          <w:u w:val="none"/>
        </w:rPr>
        <w:t xml:space="preserve"> la Resolución </w:t>
      </w:r>
      <w:r w:rsidR="00661A53">
        <w:rPr>
          <w:rFonts w:ascii="Arial" w:hAnsi="Arial" w:cs="Arial"/>
          <w:b w:val="0"/>
          <w:bCs/>
          <w:u w:val="none"/>
        </w:rPr>
        <w:t xml:space="preserve">adoptada por </w:t>
      </w:r>
      <w:r>
        <w:rPr>
          <w:rFonts w:ascii="Arial" w:hAnsi="Arial" w:cs="Arial"/>
          <w:b w:val="0"/>
          <w:bCs/>
          <w:u w:val="none"/>
        </w:rPr>
        <w:t xml:space="preserve">el Director </w:t>
      </w:r>
      <w:r w:rsidR="00CB00B7">
        <w:rPr>
          <w:rFonts w:ascii="Arial" w:hAnsi="Arial" w:cs="Arial"/>
          <w:b w:val="0"/>
          <w:bCs/>
          <w:u w:val="none"/>
        </w:rPr>
        <w:t xml:space="preserve">General </w:t>
      </w:r>
      <w:r>
        <w:rPr>
          <w:rFonts w:ascii="Arial" w:hAnsi="Arial" w:cs="Arial"/>
          <w:b w:val="0"/>
          <w:bCs/>
          <w:u w:val="none"/>
        </w:rPr>
        <w:t xml:space="preserve">del </w:t>
      </w:r>
      <w:r w:rsidR="00CB00B7">
        <w:rPr>
          <w:rFonts w:ascii="Arial" w:hAnsi="Arial" w:cs="Arial"/>
          <w:b w:val="0"/>
          <w:bCs/>
          <w:u w:val="none"/>
        </w:rPr>
        <w:t xml:space="preserve">Centro Hospitalario Pereira </w:t>
      </w:r>
      <w:proofErr w:type="spellStart"/>
      <w:r w:rsidR="00CB00B7">
        <w:rPr>
          <w:rFonts w:ascii="Arial" w:hAnsi="Arial" w:cs="Arial"/>
          <w:b w:val="0"/>
          <w:bCs/>
          <w:u w:val="none"/>
        </w:rPr>
        <w:t>Rossell</w:t>
      </w:r>
      <w:proofErr w:type="spellEnd"/>
      <w:r w:rsidR="000521C6">
        <w:rPr>
          <w:rFonts w:ascii="Arial" w:hAnsi="Arial" w:cs="Arial"/>
          <w:b w:val="0"/>
          <w:bCs/>
          <w:u w:val="none"/>
        </w:rPr>
        <w:t xml:space="preserve"> de la </w:t>
      </w:r>
      <w:r>
        <w:rPr>
          <w:rFonts w:ascii="Arial" w:hAnsi="Arial" w:cs="Arial"/>
          <w:b w:val="0"/>
          <w:bCs/>
          <w:u w:val="none"/>
        </w:rPr>
        <w:t xml:space="preserve">Administración de los Servicios de Salud del Estado (ASSE) de fecha </w:t>
      </w:r>
      <w:r w:rsidR="00CB00B7">
        <w:rPr>
          <w:rFonts w:ascii="Arial" w:hAnsi="Arial" w:cs="Arial"/>
          <w:b w:val="0"/>
          <w:bCs/>
          <w:u w:val="none"/>
        </w:rPr>
        <w:t>30</w:t>
      </w:r>
      <w:r>
        <w:rPr>
          <w:rFonts w:ascii="Arial" w:hAnsi="Arial" w:cs="Arial"/>
          <w:b w:val="0"/>
          <w:bCs/>
          <w:u w:val="none"/>
        </w:rPr>
        <w:t xml:space="preserve"> de </w:t>
      </w:r>
      <w:r w:rsidR="00CB00B7">
        <w:rPr>
          <w:rFonts w:ascii="Arial" w:hAnsi="Arial" w:cs="Arial"/>
          <w:b w:val="0"/>
          <w:bCs/>
          <w:u w:val="none"/>
        </w:rPr>
        <w:t>seti</w:t>
      </w:r>
      <w:r w:rsidR="000521C6">
        <w:rPr>
          <w:rFonts w:ascii="Arial" w:hAnsi="Arial" w:cs="Arial"/>
          <w:b w:val="0"/>
          <w:bCs/>
          <w:u w:val="none"/>
        </w:rPr>
        <w:t>e</w:t>
      </w:r>
      <w:r w:rsidR="00CB00B7">
        <w:rPr>
          <w:rFonts w:ascii="Arial" w:hAnsi="Arial" w:cs="Arial"/>
          <w:b w:val="0"/>
          <w:bCs/>
          <w:u w:val="none"/>
        </w:rPr>
        <w:t>m</w:t>
      </w:r>
      <w:r w:rsidR="000521C6">
        <w:rPr>
          <w:rFonts w:ascii="Arial" w:hAnsi="Arial" w:cs="Arial"/>
          <w:b w:val="0"/>
          <w:bCs/>
          <w:u w:val="none"/>
        </w:rPr>
        <w:t>bre</w:t>
      </w:r>
      <w:r>
        <w:rPr>
          <w:rFonts w:ascii="Arial" w:hAnsi="Arial" w:cs="Arial"/>
          <w:b w:val="0"/>
          <w:bCs/>
          <w:u w:val="none"/>
        </w:rPr>
        <w:t xml:space="preserve"> de 201</w:t>
      </w:r>
      <w:r w:rsidR="000521C6">
        <w:rPr>
          <w:rFonts w:ascii="Arial" w:hAnsi="Arial" w:cs="Arial"/>
          <w:b w:val="0"/>
          <w:bCs/>
          <w:u w:val="none"/>
        </w:rPr>
        <w:t>3</w:t>
      </w:r>
      <w:r>
        <w:rPr>
          <w:rFonts w:ascii="Arial" w:hAnsi="Arial" w:cs="Arial"/>
          <w:b w:val="0"/>
          <w:bCs/>
          <w:u w:val="none"/>
        </w:rPr>
        <w:t xml:space="preserve">, por la que se reitera el gasto relacionado con la </w:t>
      </w:r>
      <w:r w:rsidR="000521C6">
        <w:rPr>
          <w:rFonts w:ascii="Arial" w:hAnsi="Arial" w:cs="Arial"/>
          <w:b w:val="0"/>
          <w:bCs/>
          <w:u w:val="none"/>
        </w:rPr>
        <w:t>Contratación Directa por Excepción</w:t>
      </w:r>
      <w:r w:rsidR="00CB00B7">
        <w:rPr>
          <w:rFonts w:ascii="Arial" w:hAnsi="Arial" w:cs="Arial"/>
          <w:b w:val="0"/>
          <w:bCs/>
          <w:u w:val="none"/>
        </w:rPr>
        <w:t xml:space="preserve"> Nº 314/2013 a la Dirección Nacional de Sanidad Policial</w:t>
      </w:r>
      <w:r w:rsidR="000521C6">
        <w:rPr>
          <w:rFonts w:ascii="Arial" w:hAnsi="Arial" w:cs="Arial"/>
          <w:b w:val="0"/>
          <w:bCs/>
          <w:u w:val="none"/>
        </w:rPr>
        <w:t xml:space="preserve">, al amparo de lo dispuesto por el </w:t>
      </w:r>
      <w:r w:rsidR="00CB00B7">
        <w:rPr>
          <w:rFonts w:ascii="Arial" w:hAnsi="Arial" w:cs="Arial"/>
          <w:b w:val="0"/>
          <w:bCs/>
          <w:u w:val="none"/>
        </w:rPr>
        <w:t>numeral 1),</w:t>
      </w:r>
      <w:r w:rsidR="000521C6">
        <w:rPr>
          <w:rFonts w:ascii="Arial" w:hAnsi="Arial" w:cs="Arial"/>
          <w:b w:val="0"/>
          <w:bCs/>
          <w:u w:val="none"/>
        </w:rPr>
        <w:t xml:space="preserve"> </w:t>
      </w:r>
      <w:r w:rsidR="00CB00B7">
        <w:rPr>
          <w:rFonts w:ascii="Arial" w:hAnsi="Arial" w:cs="Arial"/>
          <w:b w:val="0"/>
          <w:bCs/>
          <w:u w:val="none"/>
        </w:rPr>
        <w:t>literal</w:t>
      </w:r>
      <w:r w:rsidR="000521C6">
        <w:rPr>
          <w:rFonts w:ascii="Arial" w:hAnsi="Arial" w:cs="Arial"/>
          <w:b w:val="0"/>
          <w:bCs/>
          <w:u w:val="none"/>
        </w:rPr>
        <w:t xml:space="preserve"> C) del Artículo 33 del TOCAF, para </w:t>
      </w:r>
      <w:r w:rsidR="00CB00B7">
        <w:rPr>
          <w:rFonts w:ascii="Arial" w:hAnsi="Arial" w:cs="Arial"/>
          <w:b w:val="0"/>
          <w:bCs/>
          <w:u w:val="none"/>
        </w:rPr>
        <w:t>la realización de ‘Estudios Médicos’</w:t>
      </w:r>
      <w:r w:rsidR="000521C6">
        <w:rPr>
          <w:rFonts w:ascii="Arial" w:hAnsi="Arial" w:cs="Arial"/>
          <w:b w:val="0"/>
          <w:bCs/>
          <w:u w:val="none"/>
        </w:rPr>
        <w:t xml:space="preserve">, por el </w:t>
      </w:r>
      <w:r w:rsidR="00CB00B7">
        <w:rPr>
          <w:rFonts w:ascii="Arial" w:hAnsi="Arial" w:cs="Arial"/>
          <w:b w:val="0"/>
          <w:bCs/>
          <w:u w:val="none"/>
        </w:rPr>
        <w:t>período desde su intervención hasta el 31 de diciembre de 2013</w:t>
      </w:r>
      <w:r>
        <w:rPr>
          <w:rFonts w:ascii="Arial" w:hAnsi="Arial" w:cs="Arial"/>
          <w:b w:val="0"/>
          <w:bCs/>
          <w:u w:val="none"/>
        </w:rPr>
        <w:t>;</w:t>
      </w:r>
    </w:p>
    <w:p w:rsidR="0080124E" w:rsidRDefault="0080124E" w:rsidP="00C52F44">
      <w:pPr>
        <w:suppressAutoHyphens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RESULTANDO</w:t>
      </w:r>
      <w:r w:rsidRPr="00015656">
        <w:rPr>
          <w:rFonts w:ascii="Arial" w:hAnsi="Arial" w:cs="Arial"/>
          <w:b/>
          <w:bCs/>
          <w:lang w:val="es-MX"/>
        </w:rPr>
        <w:t>:</w:t>
      </w:r>
      <w:r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</w:rPr>
        <w:t xml:space="preserve">que este Tribunal </w:t>
      </w:r>
      <w:r w:rsidR="000521C6">
        <w:rPr>
          <w:rFonts w:ascii="Arial" w:hAnsi="Arial" w:cs="Arial"/>
        </w:rPr>
        <w:t xml:space="preserve">en Sesión de fecha </w:t>
      </w:r>
      <w:r w:rsidR="00EA3B2F">
        <w:rPr>
          <w:rFonts w:ascii="Arial" w:hAnsi="Arial" w:cs="Arial"/>
        </w:rPr>
        <w:t>4</w:t>
      </w:r>
      <w:r w:rsidR="000521C6">
        <w:rPr>
          <w:rFonts w:ascii="Arial" w:hAnsi="Arial" w:cs="Arial"/>
        </w:rPr>
        <w:t xml:space="preserve"> de </w:t>
      </w:r>
      <w:r w:rsidR="00EA3B2F">
        <w:rPr>
          <w:rFonts w:ascii="Arial" w:hAnsi="Arial" w:cs="Arial"/>
        </w:rPr>
        <w:t>setiembre</w:t>
      </w:r>
      <w:r w:rsidR="000521C6">
        <w:rPr>
          <w:rFonts w:ascii="Arial" w:hAnsi="Arial" w:cs="Arial"/>
        </w:rPr>
        <w:t xml:space="preserve"> de 201</w:t>
      </w:r>
      <w:r w:rsidR="00EA3B2F">
        <w:rPr>
          <w:rFonts w:ascii="Arial" w:hAnsi="Arial" w:cs="Arial"/>
        </w:rPr>
        <w:t>3</w:t>
      </w:r>
      <w:r w:rsidR="000521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acordó observar el gasto por considerar que</w:t>
      </w:r>
      <w:r w:rsidR="00C52F44">
        <w:rPr>
          <w:rFonts w:ascii="Arial" w:hAnsi="Arial" w:cs="Arial"/>
        </w:rPr>
        <w:t>, de la nueva documentación aportada, no surgían nuevos elementos indicativos de que la publicación efectuada corresponda al Contrato Nº 314/2013, y en la misma sólo se detalló un estudio, y no varios como surge de la nota de fecha de 4 de junio de 2013 y del Convenio remitido;</w:t>
      </w:r>
    </w:p>
    <w:p w:rsidR="0080124E" w:rsidRDefault="0080124E" w:rsidP="00015656">
      <w:pPr>
        <w:suppressAutoHyphens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</w:t>
      </w:r>
      <w:r w:rsidR="005F3BB0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en</w:t>
      </w:r>
      <w:r>
        <w:rPr>
          <w:rFonts w:ascii="Arial" w:hAnsi="Arial" w:cs="Arial"/>
          <w:bCs/>
          <w:lang w:val="es-MX"/>
        </w:rPr>
        <w:t xml:space="preserve"> la oportunidad, por </w:t>
      </w:r>
      <w:r w:rsidR="00C52F44">
        <w:rPr>
          <w:rFonts w:ascii="Arial" w:hAnsi="Arial" w:cs="Arial"/>
          <w:bCs/>
          <w:lang w:val="es-MX"/>
        </w:rPr>
        <w:t xml:space="preserve">la </w:t>
      </w:r>
      <w:r>
        <w:rPr>
          <w:rFonts w:ascii="Arial" w:hAnsi="Arial" w:cs="Arial"/>
          <w:bCs/>
          <w:lang w:val="es-MX"/>
        </w:rPr>
        <w:t xml:space="preserve">Resolución </w:t>
      </w:r>
      <w:r w:rsidR="00C52F44">
        <w:rPr>
          <w:rFonts w:ascii="Arial" w:hAnsi="Arial" w:cs="Arial"/>
          <w:bCs/>
          <w:lang w:val="es-MX"/>
        </w:rPr>
        <w:t xml:space="preserve">remitida, </w:t>
      </w:r>
      <w:r w:rsidR="005F3BB0">
        <w:rPr>
          <w:rFonts w:ascii="Arial" w:hAnsi="Arial" w:cs="Arial"/>
        </w:rPr>
        <w:t>se reitera el gasto</w:t>
      </w:r>
      <w:r w:rsidR="007732F2">
        <w:rPr>
          <w:rFonts w:ascii="Arial" w:hAnsi="Arial" w:cs="Arial"/>
        </w:rPr>
        <w:t xml:space="preserve"> estimado para el Ejercicio 2013 de $ 8:000.000.- impuestos incluidos</w:t>
      </w:r>
      <w:r w:rsidR="000F35C8">
        <w:rPr>
          <w:rFonts w:ascii="Arial" w:hAnsi="Arial" w:cs="Arial"/>
        </w:rPr>
        <w:t xml:space="preserve">, </w:t>
      </w:r>
      <w:r w:rsidR="005F3BB0">
        <w:rPr>
          <w:rFonts w:ascii="Arial" w:hAnsi="Arial" w:cs="Arial"/>
        </w:rPr>
        <w:t>por considerar i</w:t>
      </w:r>
      <w:r w:rsidR="000F35C8">
        <w:rPr>
          <w:rFonts w:ascii="Arial" w:hAnsi="Arial" w:cs="Arial"/>
        </w:rPr>
        <w:t>mprescindible el servicio requerido para el funcionamiento del Centro Hospitalario</w:t>
      </w:r>
      <w:r w:rsidR="007732F2">
        <w:rPr>
          <w:rFonts w:ascii="Arial" w:hAnsi="Arial" w:cs="Arial"/>
        </w:rPr>
        <w:t xml:space="preserve">. El contrato comenzará a ejecutarse a partir de la intervención del gasto, hasta el 31 de diciembre de 2013; </w:t>
      </w:r>
    </w:p>
    <w:p w:rsidR="0080124E" w:rsidRDefault="0080124E" w:rsidP="00015656">
      <w:pPr>
        <w:pStyle w:val="Textoindependiente"/>
        <w:ind w:firstLine="851"/>
        <w:rPr>
          <w:b/>
          <w:bCs w:val="0"/>
          <w:i w:val="0"/>
        </w:rPr>
      </w:pPr>
      <w:r>
        <w:rPr>
          <w:b/>
          <w:i w:val="0"/>
        </w:rPr>
        <w:t>CONSIDERANDO</w:t>
      </w:r>
      <w:r w:rsidRPr="00015656">
        <w:rPr>
          <w:b/>
          <w:bCs w:val="0"/>
          <w:i w:val="0"/>
        </w:rPr>
        <w:t>:</w:t>
      </w:r>
      <w:r>
        <w:rPr>
          <w:bCs w:val="0"/>
          <w:i w:val="0"/>
        </w:rPr>
        <w:t xml:space="preserve"> </w:t>
      </w:r>
      <w:r>
        <w:rPr>
          <w:i w:val="0"/>
        </w:rPr>
        <w:t>que se mantienen incambiadas las razones por las cuales este Tribunal observó el gasto de referencia;</w:t>
      </w:r>
    </w:p>
    <w:p w:rsidR="0090744D" w:rsidRDefault="0080124E" w:rsidP="00015656">
      <w:pPr>
        <w:suppressAutoHyphens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</w:t>
      </w:r>
      <w:r w:rsidRPr="0001565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a lo precedentemente expuesto, y a lo dispuesto por el Art</w:t>
      </w:r>
      <w:r w:rsidR="0090744D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211</w:t>
      </w:r>
      <w:r w:rsidR="0090744D">
        <w:rPr>
          <w:rFonts w:ascii="Arial" w:hAnsi="Arial" w:cs="Arial"/>
        </w:rPr>
        <w:t xml:space="preserve">, </w:t>
      </w:r>
      <w:r w:rsidR="00242CA3">
        <w:rPr>
          <w:rFonts w:ascii="Arial" w:hAnsi="Arial" w:cs="Arial"/>
        </w:rPr>
        <w:t>L</w:t>
      </w:r>
      <w:r w:rsidR="0090744D">
        <w:rPr>
          <w:rFonts w:ascii="Arial" w:hAnsi="Arial" w:cs="Aria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 w:rsidR="0090744D">
          <w:rPr>
            <w:rFonts w:ascii="Arial" w:hAnsi="Arial" w:cs="Arial"/>
          </w:rPr>
          <w:t>la Constitución</w:t>
        </w:r>
      </w:smartTag>
      <w:r w:rsidR="0090744D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="0090744D">
          <w:rPr>
            <w:rFonts w:ascii="Arial" w:hAnsi="Arial" w:cs="Arial"/>
          </w:rPr>
          <w:t>la República</w:t>
        </w:r>
      </w:smartTag>
      <w:r w:rsidR="0090744D">
        <w:rPr>
          <w:rFonts w:ascii="Arial" w:hAnsi="Arial" w:cs="Arial"/>
        </w:rPr>
        <w:t>;</w:t>
      </w:r>
    </w:p>
    <w:p w:rsidR="0080124E" w:rsidRDefault="0080124E">
      <w:pPr>
        <w:pStyle w:val="Ttulo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lastRenderedPageBreak/>
        <w:t>EL TRIBUNAL ACUERDA</w:t>
      </w:r>
    </w:p>
    <w:p w:rsidR="0080124E" w:rsidRDefault="0080124E" w:rsidP="00242CA3">
      <w:pPr>
        <w:spacing w:line="360" w:lineRule="auto"/>
        <w:ind w:left="284" w:hanging="284"/>
        <w:jc w:val="both"/>
        <w:rPr>
          <w:rFonts w:ascii="Arial" w:hAnsi="Arial" w:cs="Arial"/>
          <w:b/>
          <w:lang w:val="es-UY"/>
        </w:rPr>
      </w:pPr>
      <w:r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 xml:space="preserve">Mantener la observación formulada </w:t>
      </w:r>
      <w:r>
        <w:rPr>
          <w:rFonts w:ascii="Arial" w:hAnsi="Arial" w:cs="Arial"/>
          <w:lang w:val="es-UY"/>
        </w:rPr>
        <w:t xml:space="preserve">por </w:t>
      </w:r>
      <w:r w:rsidR="0090744D">
        <w:rPr>
          <w:rFonts w:ascii="Arial" w:hAnsi="Arial" w:cs="Arial"/>
          <w:lang w:val="es-UY"/>
        </w:rPr>
        <w:t>este</w:t>
      </w:r>
      <w:r>
        <w:rPr>
          <w:rFonts w:ascii="Arial" w:hAnsi="Arial" w:cs="Arial"/>
          <w:bCs/>
          <w:lang w:val="es-MX"/>
        </w:rPr>
        <w:t xml:space="preserve"> Tribunal </w:t>
      </w:r>
      <w:r w:rsidR="0090744D">
        <w:rPr>
          <w:rFonts w:ascii="Arial" w:hAnsi="Arial" w:cs="Arial"/>
          <w:bCs/>
          <w:lang w:val="es-MX"/>
        </w:rPr>
        <w:t xml:space="preserve">el </w:t>
      </w:r>
      <w:r w:rsidR="007732F2">
        <w:rPr>
          <w:rFonts w:ascii="Arial" w:hAnsi="Arial" w:cs="Arial"/>
        </w:rPr>
        <w:t>4 de setiembre de 2013</w:t>
      </w:r>
      <w:r w:rsidR="00242CA3">
        <w:rPr>
          <w:rFonts w:ascii="Arial" w:hAnsi="Arial" w:cs="Arial"/>
        </w:rPr>
        <w:t>;</w:t>
      </w:r>
      <w:r>
        <w:rPr>
          <w:rFonts w:ascii="Arial" w:hAnsi="Arial" w:cs="Arial"/>
          <w:b/>
          <w:lang w:val="es-UY"/>
        </w:rPr>
        <w:t xml:space="preserve"> </w:t>
      </w:r>
    </w:p>
    <w:p w:rsidR="00242CA3" w:rsidRDefault="00801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Comunicar al Poder Ejecutivo</w:t>
      </w:r>
      <w:r w:rsidR="00242CA3">
        <w:rPr>
          <w:rFonts w:ascii="Arial" w:hAnsi="Arial" w:cs="Arial"/>
        </w:rPr>
        <w:t>;</w:t>
      </w:r>
    </w:p>
    <w:p w:rsidR="007732F2" w:rsidRDefault="00242CA3">
      <w:pPr>
        <w:spacing w:line="360" w:lineRule="auto"/>
        <w:jc w:val="both"/>
        <w:rPr>
          <w:rFonts w:ascii="Arial" w:hAnsi="Arial" w:cs="Arial"/>
        </w:rPr>
      </w:pPr>
      <w:r w:rsidRPr="00242CA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Dar cuenta a la Asamblea General; y</w:t>
      </w:r>
    </w:p>
    <w:p w:rsidR="0080124E" w:rsidRDefault="00242C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 xml:space="preserve">Devolver las actuaciones. </w:t>
      </w:r>
    </w:p>
    <w:p w:rsidR="00242CA3" w:rsidRDefault="00242CA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42CA3" w:rsidSect="00242CA3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A9" w:rsidRDefault="00BF2DA9">
      <w:r>
        <w:separator/>
      </w:r>
    </w:p>
  </w:endnote>
  <w:endnote w:type="continuationSeparator" w:id="0">
    <w:p w:rsidR="00BF2DA9" w:rsidRDefault="00BF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A9" w:rsidRDefault="00BF2DA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F2DA9" w:rsidRDefault="00BF2D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A9" w:rsidRDefault="00BF2DA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31A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2DA9" w:rsidRDefault="00BF2D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A9" w:rsidRDefault="00BF2DA9">
      <w:r>
        <w:separator/>
      </w:r>
    </w:p>
  </w:footnote>
  <w:footnote w:type="continuationSeparator" w:id="0">
    <w:p w:rsidR="00BF2DA9" w:rsidRDefault="00BF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34C"/>
    <w:multiLevelType w:val="singleLevel"/>
    <w:tmpl w:val="E572C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35023E18"/>
    <w:multiLevelType w:val="multilevel"/>
    <w:tmpl w:val="CF4879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ascii="Arial" w:hAnsi="Arial" w:cs="Arial" w:hint="default"/>
        <w:b/>
      </w:rPr>
    </w:lvl>
    <w:lvl w:ilvl="1">
      <w:start w:val="1"/>
      <w:numFmt w:val="decimal"/>
      <w:lvlText w:val="%1.%2)"/>
      <w:lvlJc w:val="left"/>
      <w:pPr>
        <w:tabs>
          <w:tab w:val="num" w:pos="4113"/>
        </w:tabs>
        <w:ind w:left="4113" w:hanging="1215"/>
      </w:pPr>
      <w:rPr>
        <w:rFonts w:ascii="Arial" w:hAnsi="Arial" w:cs="Arial"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011"/>
        </w:tabs>
        <w:ind w:left="7011" w:hanging="1215"/>
      </w:pPr>
      <w:rPr>
        <w:rFonts w:ascii="Arial" w:hAnsi="Arial" w:cs="Arial"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9909"/>
        </w:tabs>
        <w:ind w:left="9909" w:hanging="1215"/>
      </w:pPr>
      <w:rPr>
        <w:rFonts w:ascii="Arial" w:hAnsi="Arial" w:cs="Arial"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12807"/>
        </w:tabs>
        <w:ind w:left="12807" w:hanging="1215"/>
      </w:pPr>
      <w:rPr>
        <w:rFonts w:ascii="Arial" w:hAnsi="Arial" w:cs="Arial"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5930"/>
        </w:tabs>
        <w:ind w:left="1593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8828"/>
        </w:tabs>
        <w:ind w:left="18828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22086"/>
        </w:tabs>
        <w:ind w:left="22086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25344"/>
        </w:tabs>
        <w:ind w:left="25344" w:hanging="2160"/>
      </w:pPr>
      <w:rPr>
        <w:rFonts w:ascii="Arial" w:hAnsi="Arial" w:cs="Arial" w:hint="default"/>
        <w:b/>
      </w:rPr>
    </w:lvl>
  </w:abstractNum>
  <w:abstractNum w:abstractNumId="2">
    <w:nsid w:val="53C74433"/>
    <w:multiLevelType w:val="singleLevel"/>
    <w:tmpl w:val="3010533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5B773357"/>
    <w:multiLevelType w:val="hybridMultilevel"/>
    <w:tmpl w:val="825CA7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A53"/>
    <w:rsid w:val="00015656"/>
    <w:rsid w:val="000521C6"/>
    <w:rsid w:val="000F35C8"/>
    <w:rsid w:val="0016618E"/>
    <w:rsid w:val="00242CA3"/>
    <w:rsid w:val="004031AB"/>
    <w:rsid w:val="00441FEF"/>
    <w:rsid w:val="004B2223"/>
    <w:rsid w:val="005F3BB0"/>
    <w:rsid w:val="00661A53"/>
    <w:rsid w:val="007732F2"/>
    <w:rsid w:val="0080124E"/>
    <w:rsid w:val="0090744D"/>
    <w:rsid w:val="00BF2DA9"/>
    <w:rsid w:val="00C52F44"/>
    <w:rsid w:val="00CB00B7"/>
    <w:rsid w:val="00E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8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i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Bookman Old Style" w:hAnsi="Bookman Old Style"/>
      <w:i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bCs/>
      <w:sz w:val="20"/>
      <w:lang w:val="es-MX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bCs/>
      <w:i/>
      <w:lang w:val="es-MX"/>
    </w:rPr>
  </w:style>
  <w:style w:type="paragraph" w:styleId="Sangradetextonormal">
    <w:name w:val="Body Text Indent"/>
    <w:basedOn w:val="Normal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uppressAutoHyphens/>
      <w:spacing w:line="360" w:lineRule="auto"/>
      <w:ind w:left="289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174172</vt:lpstr>
    </vt:vector>
  </TitlesOfParts>
  <Company>Tribunal de Cuentas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174172</dc:title>
  <dc:subject/>
  <dc:creator>Tribunal de Cuentas</dc:creator>
  <cp:keywords/>
  <cp:lastModifiedBy> </cp:lastModifiedBy>
  <cp:revision>4</cp:revision>
  <cp:lastPrinted>2013-11-11T14:22:00Z</cp:lastPrinted>
  <dcterms:created xsi:type="dcterms:W3CDTF">2013-11-11T14:23:00Z</dcterms:created>
  <dcterms:modified xsi:type="dcterms:W3CDTF">2013-11-26T19:57:00Z</dcterms:modified>
</cp:coreProperties>
</file>