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0D" w:rsidRPr="00C1310D" w:rsidRDefault="00C1310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1310D">
        <w:rPr>
          <w:rFonts w:ascii="Arial" w:hAnsi="Arial" w:cs="Arial"/>
          <w:lang w:val="es-ES_tradnl"/>
        </w:rPr>
        <w:t>RESOLUCION ADOPTADA POR EL</w:t>
      </w:r>
    </w:p>
    <w:p w:rsidR="00C1310D" w:rsidRPr="00C1310D" w:rsidRDefault="00C1310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1310D" w:rsidRPr="00C1310D" w:rsidRDefault="00C1310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1310D">
        <w:rPr>
          <w:rFonts w:ascii="Arial" w:hAnsi="Arial" w:cs="Arial"/>
          <w:lang w:val="es-ES_tradnl"/>
        </w:rPr>
        <w:t>TRIBUNAL DE CUENTAS</w:t>
      </w:r>
    </w:p>
    <w:p w:rsidR="00C1310D" w:rsidRPr="00C1310D" w:rsidRDefault="00C1310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1310D" w:rsidRPr="00C1310D" w:rsidRDefault="00C1310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1310D">
        <w:rPr>
          <w:rFonts w:ascii="Arial" w:hAnsi="Arial" w:cs="Arial"/>
          <w:lang w:val="es-ES_tradnl"/>
        </w:rPr>
        <w:t>EN SESION DE FECHA  30 DE OCTUBRE DE   2013</w:t>
      </w:r>
    </w:p>
    <w:p w:rsidR="00C1310D" w:rsidRPr="00C1310D" w:rsidRDefault="00C1310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1310D" w:rsidRPr="00C1310D" w:rsidRDefault="00C1310D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C1310D">
        <w:rPr>
          <w:rFonts w:ascii="Arial" w:hAnsi="Arial" w:cs="Arial"/>
          <w:lang w:val="es-UY"/>
        </w:rPr>
        <w:t>(E. E. Nº 2013-17-1-0006670, Ent. N° 5809/13.)</w:t>
      </w:r>
    </w:p>
    <w:p w:rsidR="00C1310D" w:rsidRPr="00C1310D" w:rsidRDefault="00C1310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C1310D" w:rsidRPr="00C1310D" w:rsidRDefault="00C1310D">
      <w:pPr>
        <w:rPr>
          <w:lang w:val="es-UY"/>
        </w:rPr>
      </w:pPr>
    </w:p>
    <w:p w:rsidR="00A43CE3" w:rsidRDefault="003449B7" w:rsidP="00C1310D">
      <w:pPr>
        <w:pStyle w:val="Subttulo"/>
        <w:ind w:firstLine="708"/>
        <w:jc w:val="both"/>
        <w:rPr>
          <w:b w:val="0"/>
          <w:bCs/>
        </w:rPr>
      </w:pPr>
      <w:r w:rsidRPr="00B032CC">
        <w:t>VISTO</w:t>
      </w:r>
      <w:r w:rsidRPr="00B032CC">
        <w:rPr>
          <w:b w:val="0"/>
          <w:bCs/>
        </w:rPr>
        <w:t>: las actuaciones remitidas por el Ministerio de Defensa Nacional</w:t>
      </w:r>
      <w:r w:rsidR="00A43CE3">
        <w:rPr>
          <w:b w:val="0"/>
          <w:bCs/>
        </w:rPr>
        <w:t xml:space="preserve"> </w:t>
      </w:r>
      <w:r w:rsidRPr="00B032CC">
        <w:rPr>
          <w:b w:val="0"/>
          <w:bCs/>
        </w:rPr>
        <w:t>(MDN</w:t>
      </w:r>
      <w:r w:rsidR="00A43CE3">
        <w:rPr>
          <w:b w:val="0"/>
          <w:bCs/>
        </w:rPr>
        <w:t>)</w:t>
      </w:r>
      <w:r w:rsidRPr="00B032CC">
        <w:rPr>
          <w:b w:val="0"/>
          <w:bCs/>
        </w:rPr>
        <w:t xml:space="preserve"> </w:t>
      </w:r>
      <w:r w:rsidR="00B032CC">
        <w:rPr>
          <w:b w:val="0"/>
          <w:bCs/>
        </w:rPr>
        <w:t>–</w:t>
      </w:r>
      <w:r w:rsidR="00B032CC" w:rsidRPr="00B032CC">
        <w:rPr>
          <w:b w:val="0"/>
          <w:lang w:val="es-UY"/>
        </w:rPr>
        <w:t>C</w:t>
      </w:r>
      <w:r w:rsidR="00B032CC">
        <w:rPr>
          <w:b w:val="0"/>
          <w:lang w:val="es-UY"/>
        </w:rPr>
        <w:t xml:space="preserve">omando General de la </w:t>
      </w:r>
      <w:r w:rsidR="00B032CC" w:rsidRPr="00B032CC">
        <w:rPr>
          <w:b w:val="0"/>
          <w:lang w:val="es-UY"/>
        </w:rPr>
        <w:t>A</w:t>
      </w:r>
      <w:r w:rsidR="00B032CC">
        <w:rPr>
          <w:b w:val="0"/>
          <w:lang w:val="es-UY"/>
        </w:rPr>
        <w:t xml:space="preserve">rmada- </w:t>
      </w:r>
      <w:r>
        <w:rPr>
          <w:b w:val="0"/>
          <w:bCs/>
        </w:rPr>
        <w:t xml:space="preserve">relacionadas con la Licitación Pública Nº </w:t>
      </w:r>
      <w:r w:rsidR="00B032CC">
        <w:rPr>
          <w:b w:val="0"/>
          <w:bCs/>
        </w:rPr>
        <w:t>33/2013</w:t>
      </w:r>
      <w:r>
        <w:rPr>
          <w:b w:val="0"/>
          <w:bCs/>
        </w:rPr>
        <w:t xml:space="preserve"> convocada para adquisición de </w:t>
      </w:r>
      <w:r w:rsidR="00B032CC" w:rsidRPr="003449B7">
        <w:rPr>
          <w:b w:val="0"/>
        </w:rPr>
        <w:t>Overhaul de Turbina</w:t>
      </w:r>
      <w:r>
        <w:rPr>
          <w:b w:val="0"/>
          <w:bCs/>
        </w:rPr>
        <w:t>;</w:t>
      </w:r>
    </w:p>
    <w:p w:rsidR="003449B7" w:rsidRDefault="003449B7" w:rsidP="00C1310D">
      <w:pPr>
        <w:pStyle w:val="Subttulo"/>
        <w:ind w:firstLine="708"/>
        <w:jc w:val="both"/>
        <w:rPr>
          <w:b w:val="0"/>
          <w:bCs/>
        </w:rPr>
      </w:pPr>
      <w:r>
        <w:t>RESULTANDO</w:t>
      </w:r>
      <w:r>
        <w:rPr>
          <w:b w:val="0"/>
          <w:bCs/>
        </w:rPr>
        <w:t xml:space="preserve">: </w:t>
      </w:r>
      <w:r>
        <w:t>1)</w:t>
      </w:r>
      <w:r>
        <w:rPr>
          <w:b w:val="0"/>
          <w:bCs/>
        </w:rPr>
        <w:t xml:space="preserve"> que cumplidos los trámites de estilo</w:t>
      </w:r>
      <w:r w:rsidR="00C1310D">
        <w:rPr>
          <w:b w:val="0"/>
          <w:bCs/>
        </w:rPr>
        <w:t xml:space="preserve"> ( publicaciones e invitaciones</w:t>
      </w:r>
      <w:r>
        <w:rPr>
          <w:b w:val="0"/>
          <w:bCs/>
        </w:rPr>
        <w:t xml:space="preserve">), al Acto de Apertura realizado con fecha  </w:t>
      </w:r>
      <w:r w:rsidR="00AF0ABD">
        <w:rPr>
          <w:b w:val="0"/>
          <w:bCs/>
        </w:rPr>
        <w:t xml:space="preserve">9 </w:t>
      </w:r>
      <w:r>
        <w:rPr>
          <w:b w:val="0"/>
          <w:bCs/>
        </w:rPr>
        <w:t xml:space="preserve">de </w:t>
      </w:r>
      <w:r w:rsidR="00AF0ABD">
        <w:rPr>
          <w:b w:val="0"/>
          <w:bCs/>
        </w:rPr>
        <w:t>setiembre</w:t>
      </w:r>
      <w:r>
        <w:rPr>
          <w:b w:val="0"/>
          <w:bCs/>
        </w:rPr>
        <w:t xml:space="preserve"> de 201</w:t>
      </w:r>
      <w:r w:rsidR="00AF0ABD">
        <w:rPr>
          <w:b w:val="0"/>
          <w:bCs/>
        </w:rPr>
        <w:t>3</w:t>
      </w:r>
      <w:r w:rsidR="00731F98">
        <w:rPr>
          <w:b w:val="0"/>
          <w:bCs/>
        </w:rPr>
        <w:t>,</w:t>
      </w:r>
      <w:r>
        <w:rPr>
          <w:b w:val="0"/>
          <w:bCs/>
        </w:rPr>
        <w:t xml:space="preserve"> se presentaron las firmas</w:t>
      </w:r>
      <w:r w:rsidR="00AF0ABD">
        <w:rPr>
          <w:b w:val="0"/>
          <w:bCs/>
        </w:rPr>
        <w:t xml:space="preserve"> </w:t>
      </w:r>
      <w:r w:rsidR="00731F98">
        <w:rPr>
          <w:b w:val="0"/>
          <w:bCs/>
        </w:rPr>
        <w:t>H</w:t>
      </w:r>
      <w:r w:rsidR="00731F98" w:rsidRPr="00AF0ABD">
        <w:rPr>
          <w:b w:val="0"/>
        </w:rPr>
        <w:t xml:space="preserve">abilis </w:t>
      </w:r>
      <w:r w:rsidR="00731F98">
        <w:rPr>
          <w:b w:val="0"/>
        </w:rPr>
        <w:t>S.A.</w:t>
      </w:r>
      <w:r w:rsidR="00731F98" w:rsidRPr="00AF0ABD">
        <w:rPr>
          <w:b w:val="0"/>
        </w:rPr>
        <w:t xml:space="preserve">; </w:t>
      </w:r>
      <w:r w:rsidR="00731F98">
        <w:rPr>
          <w:b w:val="0"/>
        </w:rPr>
        <w:t>C</w:t>
      </w:r>
      <w:r w:rsidR="00731F98" w:rsidRPr="00AF0ABD">
        <w:rPr>
          <w:b w:val="0"/>
        </w:rPr>
        <w:t xml:space="preserve">harles </w:t>
      </w:r>
      <w:r w:rsidR="00731F98">
        <w:rPr>
          <w:b w:val="0"/>
        </w:rPr>
        <w:t>C</w:t>
      </w:r>
      <w:r w:rsidR="00731F98" w:rsidRPr="00AF0ABD">
        <w:rPr>
          <w:b w:val="0"/>
        </w:rPr>
        <w:t xml:space="preserve">halkling </w:t>
      </w:r>
      <w:r w:rsidR="00731F98">
        <w:rPr>
          <w:b w:val="0"/>
        </w:rPr>
        <w:t>S.A.</w:t>
      </w:r>
      <w:r w:rsidR="00731F98" w:rsidRPr="00AF0ABD">
        <w:rPr>
          <w:b w:val="0"/>
        </w:rPr>
        <w:t xml:space="preserve">; </w:t>
      </w:r>
      <w:r w:rsidR="00731F98">
        <w:rPr>
          <w:b w:val="0"/>
        </w:rPr>
        <w:t>L</w:t>
      </w:r>
      <w:r w:rsidR="00731F98" w:rsidRPr="00AF0ABD">
        <w:rPr>
          <w:b w:val="0"/>
        </w:rPr>
        <w:t xml:space="preserve">odilan </w:t>
      </w:r>
      <w:r w:rsidR="00731F98">
        <w:rPr>
          <w:b w:val="0"/>
        </w:rPr>
        <w:t>S.A</w:t>
      </w:r>
      <w:r w:rsidR="00731F98" w:rsidRPr="00AF0ABD">
        <w:rPr>
          <w:b w:val="0"/>
        </w:rPr>
        <w:t xml:space="preserve">.; </w:t>
      </w:r>
      <w:r w:rsidR="00731F98">
        <w:rPr>
          <w:b w:val="0"/>
        </w:rPr>
        <w:t>B</w:t>
      </w:r>
      <w:r w:rsidR="00731F98" w:rsidRPr="00AF0ABD">
        <w:rPr>
          <w:b w:val="0"/>
        </w:rPr>
        <w:t xml:space="preserve">eners </w:t>
      </w:r>
      <w:r w:rsidR="00731F98">
        <w:rPr>
          <w:b w:val="0"/>
        </w:rPr>
        <w:t>I</w:t>
      </w:r>
      <w:r w:rsidR="00731F98" w:rsidRPr="00AF0ABD">
        <w:rPr>
          <w:b w:val="0"/>
        </w:rPr>
        <w:t xml:space="preserve">nternacional </w:t>
      </w:r>
      <w:r w:rsidR="00AF0ABD" w:rsidRPr="00AF0ABD">
        <w:rPr>
          <w:b w:val="0"/>
        </w:rPr>
        <w:t>y F</w:t>
      </w:r>
      <w:r w:rsidR="00731F98">
        <w:rPr>
          <w:b w:val="0"/>
        </w:rPr>
        <w:t>lexiras</w:t>
      </w:r>
      <w:r w:rsidR="00AF0ABD" w:rsidRPr="00AF0ABD">
        <w:rPr>
          <w:b w:val="0"/>
        </w:rPr>
        <w:t xml:space="preserve"> S.A.</w:t>
      </w:r>
      <w:r w:rsidR="00731F98">
        <w:rPr>
          <w:b w:val="0"/>
        </w:rPr>
        <w:t>, ésta fue devuelta en virtud de no haber hecho el depósito de garantía correspondiente pero presenció el acto</w:t>
      </w:r>
      <w:r>
        <w:rPr>
          <w:b w:val="0"/>
          <w:bCs/>
        </w:rPr>
        <w:t xml:space="preserve">; </w:t>
      </w:r>
    </w:p>
    <w:p w:rsidR="00AF0ABD" w:rsidRDefault="00A43CE3" w:rsidP="00C1310D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ES_tradnl"/>
        </w:rPr>
      </w:pPr>
      <w:r w:rsidRPr="00A43CE3">
        <w:rPr>
          <w:rFonts w:ascii="Arial" w:hAnsi="Arial" w:cs="Arial"/>
        </w:rPr>
        <w:t>2</w:t>
      </w:r>
      <w:r w:rsidR="003449B7" w:rsidRPr="00731F98">
        <w:rPr>
          <w:rFonts w:ascii="Arial" w:hAnsi="Arial" w:cs="Arial"/>
        </w:rPr>
        <w:t>)</w:t>
      </w:r>
      <w:r w:rsidR="003449B7">
        <w:rPr>
          <w:rFonts w:ascii="Arial" w:hAnsi="Arial" w:cs="Arial"/>
        </w:rPr>
        <w:t xml:space="preserve"> </w:t>
      </w:r>
      <w:r w:rsidR="003449B7">
        <w:rPr>
          <w:rFonts w:ascii="Arial" w:hAnsi="Arial" w:cs="Arial"/>
          <w:b w:val="0"/>
          <w:bCs/>
        </w:rPr>
        <w:t>que la Comisión Asesora de Adjudicaciones por informe de fecha</w:t>
      </w:r>
      <w:r w:rsidR="00AF0ABD">
        <w:rPr>
          <w:rFonts w:ascii="Arial" w:hAnsi="Arial" w:cs="Arial"/>
          <w:b w:val="0"/>
          <w:bCs/>
        </w:rPr>
        <w:t xml:space="preserve"> </w:t>
      </w:r>
      <w:r w:rsidR="00731F98">
        <w:rPr>
          <w:rFonts w:ascii="Arial" w:hAnsi="Arial" w:cs="Arial"/>
          <w:b w:val="0"/>
          <w:bCs/>
        </w:rPr>
        <w:t>27 de setiembre de 2013</w:t>
      </w:r>
      <w:r w:rsidR="003449B7">
        <w:rPr>
          <w:rFonts w:ascii="Arial" w:hAnsi="Arial" w:cs="Arial"/>
          <w:b w:val="0"/>
          <w:bCs/>
        </w:rPr>
        <w:t xml:space="preserve">, de acuerdo </w:t>
      </w:r>
      <w:r w:rsidR="00C1310D">
        <w:rPr>
          <w:rFonts w:ascii="Arial" w:hAnsi="Arial" w:cs="Arial"/>
          <w:b w:val="0"/>
          <w:bCs/>
        </w:rPr>
        <w:t>con e</w:t>
      </w:r>
      <w:r w:rsidR="003449B7">
        <w:rPr>
          <w:rFonts w:ascii="Arial" w:hAnsi="Arial" w:cs="Arial"/>
          <w:b w:val="0"/>
          <w:bCs/>
        </w:rPr>
        <w:t xml:space="preserve">l criterio de evaluación establecido en el Pliego, aconseja adjudicar por mejor </w:t>
      </w:r>
      <w:r w:rsidR="00AF0ABD">
        <w:rPr>
          <w:rFonts w:ascii="Arial" w:hAnsi="Arial" w:cs="Arial"/>
          <w:b w:val="0"/>
          <w:bCs/>
        </w:rPr>
        <w:t>oferta</w:t>
      </w:r>
      <w:r w:rsidR="003449B7">
        <w:rPr>
          <w:rFonts w:ascii="Arial" w:hAnsi="Arial" w:cs="Arial"/>
          <w:b w:val="0"/>
          <w:bCs/>
        </w:rPr>
        <w:t xml:space="preserve"> </w:t>
      </w:r>
      <w:r w:rsidR="00AF0ABD">
        <w:rPr>
          <w:rFonts w:ascii="Arial" w:hAnsi="Arial" w:cs="Arial"/>
          <w:b w:val="0"/>
          <w:bCs/>
        </w:rPr>
        <w:t xml:space="preserve">a </w:t>
      </w:r>
      <w:r w:rsidR="003449B7">
        <w:rPr>
          <w:rFonts w:ascii="Arial" w:hAnsi="Arial" w:cs="Arial"/>
          <w:b w:val="0"/>
          <w:bCs/>
        </w:rPr>
        <w:t xml:space="preserve">la firma </w:t>
      </w:r>
      <w:r w:rsidR="00AF0ABD" w:rsidRPr="00AF0ABD">
        <w:rPr>
          <w:rFonts w:ascii="Arial" w:hAnsi="Arial" w:cs="Arial"/>
          <w:b w:val="0"/>
        </w:rPr>
        <w:t>B</w:t>
      </w:r>
      <w:r w:rsidR="00731F98">
        <w:rPr>
          <w:rFonts w:ascii="Arial" w:hAnsi="Arial" w:cs="Arial"/>
          <w:b w:val="0"/>
        </w:rPr>
        <w:t>eners</w:t>
      </w:r>
      <w:r w:rsidR="00AF0ABD" w:rsidRPr="00AF0ABD">
        <w:rPr>
          <w:rFonts w:ascii="Arial" w:hAnsi="Arial" w:cs="Arial"/>
          <w:b w:val="0"/>
        </w:rPr>
        <w:t xml:space="preserve"> I</w:t>
      </w:r>
      <w:r w:rsidR="00731F98">
        <w:rPr>
          <w:rFonts w:ascii="Arial" w:hAnsi="Arial" w:cs="Arial"/>
          <w:b w:val="0"/>
        </w:rPr>
        <w:t xml:space="preserve">nternacional </w:t>
      </w:r>
      <w:r w:rsidR="003449B7">
        <w:rPr>
          <w:rFonts w:ascii="Arial" w:hAnsi="Arial" w:cs="Arial"/>
          <w:b w:val="0"/>
          <w:bCs/>
        </w:rPr>
        <w:t xml:space="preserve">por un monto total de </w:t>
      </w:r>
      <w:r w:rsidR="0046414F">
        <w:rPr>
          <w:rFonts w:ascii="Arial" w:hAnsi="Arial" w:cs="Arial"/>
          <w:b w:val="0"/>
          <w:bCs/>
          <w:lang w:val="es-ES_tradnl"/>
        </w:rPr>
        <w:t>$ 7:</w:t>
      </w:r>
      <w:r w:rsidR="00AF0ABD">
        <w:rPr>
          <w:rFonts w:ascii="Arial" w:hAnsi="Arial" w:cs="Arial"/>
          <w:b w:val="0"/>
          <w:bCs/>
          <w:lang w:val="es-ES_tradnl"/>
        </w:rPr>
        <w:t>987.61</w:t>
      </w:r>
      <w:r w:rsidR="00C1310D">
        <w:rPr>
          <w:rFonts w:ascii="Arial" w:hAnsi="Arial" w:cs="Arial"/>
          <w:b w:val="0"/>
          <w:bCs/>
          <w:lang w:val="es-ES_tradnl"/>
        </w:rPr>
        <w:t>3</w:t>
      </w:r>
      <w:r w:rsidR="00AF0ABD">
        <w:rPr>
          <w:rFonts w:ascii="Arial" w:hAnsi="Arial" w:cs="Arial"/>
          <w:b w:val="0"/>
          <w:bCs/>
          <w:lang w:val="es-ES_tradnl"/>
        </w:rPr>
        <w:t xml:space="preserve"> exonerado de impuestos; </w:t>
      </w:r>
    </w:p>
    <w:p w:rsidR="003449B7" w:rsidRDefault="003449B7" w:rsidP="00C1310D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u w:val="none"/>
        </w:rPr>
        <w:t>3)</w:t>
      </w:r>
      <w:r>
        <w:rPr>
          <w:b w:val="0"/>
          <w:bCs/>
          <w:u w:val="none"/>
        </w:rPr>
        <w:t xml:space="preserve"> que consta Resolución adoptada por </w:t>
      </w:r>
      <w:r w:rsidR="0052320F">
        <w:rPr>
          <w:b w:val="0"/>
          <w:bCs/>
          <w:u w:val="none"/>
        </w:rPr>
        <w:t>el Jefe de Aprovisionamiento de la Armada</w:t>
      </w:r>
      <w:r>
        <w:rPr>
          <w:b w:val="0"/>
          <w:bCs/>
          <w:u w:val="none"/>
        </w:rPr>
        <w:t xml:space="preserve"> </w:t>
      </w:r>
      <w:r w:rsidR="00AF0ABD">
        <w:rPr>
          <w:b w:val="0"/>
          <w:bCs/>
          <w:u w:val="none"/>
        </w:rPr>
        <w:t>de fecha 08/10/2013</w:t>
      </w:r>
      <w:r>
        <w:rPr>
          <w:b w:val="0"/>
          <w:bCs/>
          <w:u w:val="none"/>
        </w:rPr>
        <w:t>, adjudi</w:t>
      </w:r>
      <w:r w:rsidR="00782DA3">
        <w:rPr>
          <w:b w:val="0"/>
          <w:bCs/>
          <w:u w:val="none"/>
        </w:rPr>
        <w:t>cando</w:t>
      </w:r>
      <w:r>
        <w:rPr>
          <w:b w:val="0"/>
          <w:bCs/>
          <w:u w:val="none"/>
        </w:rPr>
        <w:t xml:space="preserve"> el llamado de acuerdo </w:t>
      </w:r>
      <w:r w:rsidR="0046414F">
        <w:rPr>
          <w:b w:val="0"/>
          <w:bCs/>
          <w:u w:val="none"/>
        </w:rPr>
        <w:t>con</w:t>
      </w:r>
      <w:r>
        <w:rPr>
          <w:b w:val="0"/>
          <w:bCs/>
          <w:u w:val="none"/>
        </w:rPr>
        <w:t xml:space="preserve"> lo dictaminado por la Comisión Asesora de Adjudicaciones;</w:t>
      </w:r>
    </w:p>
    <w:p w:rsidR="00A43CE3" w:rsidRDefault="00AF0ABD" w:rsidP="00C1310D">
      <w:pPr>
        <w:pStyle w:val="Ttulo"/>
        <w:ind w:firstLine="2552"/>
        <w:jc w:val="both"/>
        <w:rPr>
          <w:b w:val="0"/>
          <w:u w:val="none"/>
        </w:rPr>
      </w:pPr>
      <w:r w:rsidRPr="0052320F">
        <w:rPr>
          <w:bCs/>
          <w:u w:val="none"/>
        </w:rPr>
        <w:t>4)</w:t>
      </w:r>
      <w:r>
        <w:rPr>
          <w:b w:val="0"/>
          <w:bCs/>
          <w:u w:val="none"/>
        </w:rPr>
        <w:t xml:space="preserve"> que consta </w:t>
      </w:r>
      <w:r w:rsidRPr="00AF0ABD">
        <w:rPr>
          <w:b w:val="0"/>
          <w:u w:val="none"/>
        </w:rPr>
        <w:t xml:space="preserve">Documento Afectación No. 01715 y Compromiso No. 001 </w:t>
      </w:r>
      <w:r w:rsidR="004F34F2">
        <w:rPr>
          <w:b w:val="0"/>
          <w:u w:val="none"/>
        </w:rPr>
        <w:t xml:space="preserve">de fecha 14/10/2013, </w:t>
      </w:r>
      <w:r w:rsidRPr="00AF0ABD">
        <w:rPr>
          <w:b w:val="0"/>
          <w:u w:val="none"/>
        </w:rPr>
        <w:t>Inciso 03</w:t>
      </w:r>
      <w:r>
        <w:rPr>
          <w:b w:val="0"/>
          <w:u w:val="none"/>
        </w:rPr>
        <w:t xml:space="preserve"> </w:t>
      </w:r>
      <w:r w:rsidRPr="00AF0ABD">
        <w:rPr>
          <w:b w:val="0"/>
          <w:u w:val="none"/>
        </w:rPr>
        <w:t xml:space="preserve">Ministerio de Defensa Nacional, Unidad Ejecutora 018 Comando General de la Armada, </w:t>
      </w:r>
      <w:r w:rsidRPr="00C1310D">
        <w:rPr>
          <w:b w:val="0"/>
          <w:spacing w:val="14"/>
          <w:u w:val="none"/>
        </w:rPr>
        <w:t>Financiamiento 12, Prog 300, Proy 735,758, Obj Gas 274 por un total $</w:t>
      </w:r>
      <w:r w:rsidRPr="00AF0ABD">
        <w:rPr>
          <w:b w:val="0"/>
          <w:u w:val="none"/>
        </w:rPr>
        <w:t xml:space="preserve"> 7</w:t>
      </w:r>
      <w:r w:rsidR="0046414F">
        <w:rPr>
          <w:b w:val="0"/>
          <w:u w:val="none"/>
        </w:rPr>
        <w:t>:</w:t>
      </w:r>
      <w:r w:rsidRPr="00AF0ABD">
        <w:rPr>
          <w:b w:val="0"/>
          <w:u w:val="none"/>
        </w:rPr>
        <w:t>987.613</w:t>
      </w:r>
      <w:r>
        <w:rPr>
          <w:b w:val="0"/>
          <w:u w:val="none"/>
        </w:rPr>
        <w:t>.-;</w:t>
      </w:r>
    </w:p>
    <w:p w:rsidR="003449B7" w:rsidRDefault="003449B7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lastRenderedPageBreak/>
        <w:t>CONSIDERANDO:</w:t>
      </w:r>
      <w:r>
        <w:rPr>
          <w:b w:val="0"/>
          <w:bCs/>
          <w:u w:val="none"/>
        </w:rPr>
        <w:t xml:space="preserve"> que el procedimiento licitatorio se enmarca en las normas vigentes (</w:t>
      </w:r>
      <w:r w:rsidR="00C1310D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rt</w:t>
      </w:r>
      <w:r w:rsidR="00C1310D">
        <w:rPr>
          <w:b w:val="0"/>
          <w:bCs/>
          <w:u w:val="none"/>
        </w:rPr>
        <w:t>ículo</w:t>
      </w:r>
      <w:r>
        <w:rPr>
          <w:b w:val="0"/>
          <w:bCs/>
          <w:u w:val="none"/>
        </w:rPr>
        <w:t xml:space="preserve"> 33 y siguientes del TOCAF), por lo que el gasto no merece objeciones legales;</w:t>
      </w:r>
    </w:p>
    <w:p w:rsidR="003449B7" w:rsidRDefault="003449B7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C1310D">
        <w:rPr>
          <w:b w:val="0"/>
          <w:bCs/>
          <w:lang w:val="es-UY"/>
        </w:rPr>
        <w:t>A</w:t>
      </w:r>
      <w:r w:rsidR="00AF0ABD">
        <w:rPr>
          <w:b w:val="0"/>
          <w:bCs/>
          <w:lang w:val="es-UY"/>
        </w:rPr>
        <w:t>rtículo</w:t>
      </w:r>
      <w:r>
        <w:rPr>
          <w:b w:val="0"/>
          <w:bCs/>
          <w:lang w:val="es-UY"/>
        </w:rPr>
        <w:t xml:space="preserve"> 211 </w:t>
      </w:r>
      <w:r w:rsidR="00C1310D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3449B7" w:rsidRDefault="003449B7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3449B7" w:rsidRDefault="00C1310D" w:rsidP="00C1310D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C1310D">
        <w:rPr>
          <w:rFonts w:ascii="Arial" w:hAnsi="Arial" w:cs="Arial"/>
          <w:bCs/>
        </w:rPr>
        <w:t>1)</w:t>
      </w:r>
      <w:r>
        <w:rPr>
          <w:rFonts w:ascii="Arial" w:hAnsi="Arial" w:cs="Arial"/>
          <w:b w:val="0"/>
          <w:bCs/>
        </w:rPr>
        <w:t xml:space="preserve"> </w:t>
      </w:r>
      <w:r w:rsidR="003449B7">
        <w:rPr>
          <w:rFonts w:ascii="Arial" w:hAnsi="Arial" w:cs="Arial"/>
          <w:b w:val="0"/>
          <w:bCs/>
        </w:rPr>
        <w:t>No formular observaciones;</w:t>
      </w:r>
    </w:p>
    <w:p w:rsidR="00F963D4" w:rsidRPr="00F963D4" w:rsidRDefault="00C1310D" w:rsidP="00C1310D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C1310D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  <w:bCs/>
        </w:rPr>
        <w:t xml:space="preserve"> </w:t>
      </w:r>
      <w:r w:rsidR="00AF0ABD" w:rsidRPr="00F963D4">
        <w:rPr>
          <w:rFonts w:ascii="Arial" w:hAnsi="Arial" w:cs="Arial"/>
          <w:b w:val="0"/>
          <w:bCs/>
        </w:rPr>
        <w:t>In</w:t>
      </w:r>
      <w:r w:rsidR="003449B7" w:rsidRPr="00F963D4">
        <w:rPr>
          <w:rFonts w:ascii="Arial" w:hAnsi="Arial" w:cs="Arial"/>
          <w:b w:val="0"/>
          <w:bCs/>
        </w:rPr>
        <w:t>terven</w:t>
      </w:r>
      <w:r w:rsidR="00AF0ABD" w:rsidRPr="00F963D4">
        <w:rPr>
          <w:rFonts w:ascii="Arial" w:hAnsi="Arial" w:cs="Arial"/>
          <w:b w:val="0"/>
          <w:bCs/>
        </w:rPr>
        <w:t>ir preventivamente</w:t>
      </w:r>
      <w:r w:rsidR="003449B7" w:rsidRPr="00F963D4">
        <w:rPr>
          <w:rFonts w:ascii="Arial" w:hAnsi="Arial" w:cs="Arial"/>
          <w:b w:val="0"/>
          <w:bCs/>
        </w:rPr>
        <w:t xml:space="preserve"> el gasto de </w:t>
      </w:r>
      <w:r w:rsidR="00AF0ABD" w:rsidRPr="00F963D4">
        <w:rPr>
          <w:rFonts w:ascii="Arial" w:hAnsi="Arial" w:cs="Arial"/>
          <w:b w:val="0"/>
        </w:rPr>
        <w:t>$ 7</w:t>
      </w:r>
      <w:r w:rsidR="0046414F">
        <w:rPr>
          <w:rFonts w:ascii="Arial" w:hAnsi="Arial" w:cs="Arial"/>
          <w:b w:val="0"/>
        </w:rPr>
        <w:t>:</w:t>
      </w:r>
      <w:bookmarkStart w:id="0" w:name="_GoBack"/>
      <w:bookmarkEnd w:id="0"/>
      <w:r w:rsidR="00AF0ABD" w:rsidRPr="00F963D4">
        <w:rPr>
          <w:rFonts w:ascii="Arial" w:hAnsi="Arial" w:cs="Arial"/>
          <w:b w:val="0"/>
        </w:rPr>
        <w:t>987.613;</w:t>
      </w:r>
      <w:r w:rsidR="003449B7" w:rsidRPr="00F963D4">
        <w:rPr>
          <w:rFonts w:ascii="Arial" w:hAnsi="Arial" w:cs="Arial"/>
          <w:b w:val="0"/>
          <w:bCs/>
        </w:rPr>
        <w:t xml:space="preserve"> a favor de la empresa</w:t>
      </w:r>
      <w:r w:rsidR="00AF0ABD" w:rsidRPr="00F963D4">
        <w:rPr>
          <w:rFonts w:ascii="Arial" w:hAnsi="Arial" w:cs="Arial"/>
          <w:b w:val="0"/>
          <w:bCs/>
        </w:rPr>
        <w:t xml:space="preserve"> </w:t>
      </w:r>
      <w:r w:rsidR="00AF0ABD" w:rsidRPr="00F963D4">
        <w:rPr>
          <w:rFonts w:ascii="Arial" w:hAnsi="Arial" w:cs="Arial"/>
          <w:b w:val="0"/>
        </w:rPr>
        <w:t>B</w:t>
      </w:r>
      <w:r w:rsidR="00F963D4" w:rsidRPr="00F963D4">
        <w:rPr>
          <w:rFonts w:ascii="Arial" w:hAnsi="Arial" w:cs="Arial"/>
          <w:b w:val="0"/>
        </w:rPr>
        <w:t xml:space="preserve">eners </w:t>
      </w:r>
      <w:r w:rsidR="00AF0ABD" w:rsidRPr="00F963D4">
        <w:rPr>
          <w:rFonts w:ascii="Arial" w:hAnsi="Arial" w:cs="Arial"/>
          <w:b w:val="0"/>
        </w:rPr>
        <w:t>I</w:t>
      </w:r>
      <w:r w:rsidR="00F963D4" w:rsidRPr="00F963D4">
        <w:rPr>
          <w:rFonts w:ascii="Arial" w:hAnsi="Arial" w:cs="Arial"/>
          <w:b w:val="0"/>
        </w:rPr>
        <w:t>nternacional</w:t>
      </w:r>
      <w:r w:rsidR="005E1C4F">
        <w:rPr>
          <w:rFonts w:ascii="Arial" w:hAnsi="Arial" w:cs="Arial"/>
          <w:b w:val="0"/>
        </w:rPr>
        <w:t>;</w:t>
      </w:r>
    </w:p>
    <w:p w:rsidR="003449B7" w:rsidRPr="00C1310D" w:rsidRDefault="00C1310D" w:rsidP="00C1310D">
      <w:pPr>
        <w:spacing w:line="360" w:lineRule="auto"/>
        <w:jc w:val="both"/>
        <w:rPr>
          <w:rFonts w:ascii="Arial" w:hAnsi="Arial" w:cs="Arial"/>
          <w:bCs/>
        </w:rPr>
      </w:pPr>
      <w:r w:rsidRPr="00C1310D">
        <w:rPr>
          <w:rFonts w:ascii="Arial" w:hAnsi="Arial" w:cs="Arial"/>
          <w:bCs/>
        </w:rPr>
        <w:t>3)</w:t>
      </w:r>
      <w:r>
        <w:rPr>
          <w:rFonts w:ascii="Arial" w:hAnsi="Arial" w:cs="Arial"/>
          <w:b w:val="0"/>
          <w:bCs/>
        </w:rPr>
        <w:t xml:space="preserve"> </w:t>
      </w:r>
      <w:r w:rsidR="003449B7" w:rsidRPr="00F963D4">
        <w:rPr>
          <w:rFonts w:ascii="Arial" w:hAnsi="Arial" w:cs="Arial"/>
          <w:b w:val="0"/>
          <w:bCs/>
        </w:rPr>
        <w:t>Comuníquese al Contador Auditor;</w:t>
      </w:r>
      <w:r w:rsidR="00EA2288">
        <w:rPr>
          <w:rFonts w:ascii="Arial" w:hAnsi="Arial" w:cs="Arial"/>
          <w:b w:val="0"/>
          <w:bCs/>
        </w:rPr>
        <w:t xml:space="preserve"> y</w:t>
      </w:r>
    </w:p>
    <w:p w:rsidR="003449B7" w:rsidRDefault="00C1310D" w:rsidP="00C1310D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C1310D">
        <w:rPr>
          <w:rFonts w:ascii="Arial" w:hAnsi="Arial" w:cs="Arial"/>
          <w:bCs/>
        </w:rPr>
        <w:t>4)</w:t>
      </w:r>
      <w:r w:rsidR="00EA2288">
        <w:rPr>
          <w:rFonts w:ascii="Arial" w:hAnsi="Arial" w:cs="Arial"/>
          <w:bCs/>
        </w:rPr>
        <w:t xml:space="preserve"> </w:t>
      </w:r>
      <w:r w:rsidR="003449B7">
        <w:rPr>
          <w:rFonts w:ascii="Arial" w:hAnsi="Arial" w:cs="Arial"/>
          <w:b w:val="0"/>
          <w:bCs/>
        </w:rPr>
        <w:t>Devuélvase.</w:t>
      </w:r>
    </w:p>
    <w:p w:rsidR="003449B7" w:rsidRDefault="003449B7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3449B7" w:rsidRDefault="003449B7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3449B7" w:rsidRDefault="003449B7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3449B7" w:rsidRDefault="003449B7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3449B7" w:rsidRDefault="003449B7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3449B7" w:rsidRDefault="003449B7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3449B7" w:rsidRDefault="00151469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  <w:b w:val="0"/>
          <w:bCs/>
          <w:lang w:val="es-ES_tradnl"/>
        </w:rPr>
        <w:t>cr</w:t>
      </w:r>
    </w:p>
    <w:p w:rsidR="003449B7" w:rsidRDefault="003449B7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3449B7" w:rsidRDefault="003449B7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3449B7" w:rsidRDefault="003449B7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sectPr w:rsidR="003449B7" w:rsidSect="00C1310D">
      <w:footerReference w:type="default" r:id="rId8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5AC" w:rsidRDefault="004755AC" w:rsidP="006F644C">
      <w:r>
        <w:separator/>
      </w:r>
    </w:p>
  </w:endnote>
  <w:endnote w:type="continuationSeparator" w:id="0">
    <w:p w:rsidR="004755AC" w:rsidRDefault="004755AC" w:rsidP="006F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A3" w:rsidRDefault="00782DA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46414F">
      <w:rPr>
        <w:noProof/>
      </w:rPr>
      <w:t>2</w:t>
    </w:r>
    <w:r>
      <w:fldChar w:fldCharType="end"/>
    </w:r>
  </w:p>
  <w:p w:rsidR="00782DA3" w:rsidRDefault="00782D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5AC" w:rsidRDefault="004755AC" w:rsidP="006F644C">
      <w:r>
        <w:separator/>
      </w:r>
    </w:p>
  </w:footnote>
  <w:footnote w:type="continuationSeparator" w:id="0">
    <w:p w:rsidR="004755AC" w:rsidRDefault="004755AC" w:rsidP="006F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17"/>
  </w:num>
  <w:num w:numId="12">
    <w:abstractNumId w:val="19"/>
  </w:num>
  <w:num w:numId="13">
    <w:abstractNumId w:val="21"/>
  </w:num>
  <w:num w:numId="14">
    <w:abstractNumId w:val="5"/>
  </w:num>
  <w:num w:numId="15">
    <w:abstractNumId w:val="13"/>
  </w:num>
  <w:num w:numId="16">
    <w:abstractNumId w:val="15"/>
  </w:num>
  <w:num w:numId="17">
    <w:abstractNumId w:val="18"/>
  </w:num>
  <w:num w:numId="18">
    <w:abstractNumId w:val="8"/>
  </w:num>
  <w:num w:numId="19">
    <w:abstractNumId w:val="9"/>
  </w:num>
  <w:num w:numId="20">
    <w:abstractNumId w:val="7"/>
  </w:num>
  <w:num w:numId="21">
    <w:abstractNumId w:val="1"/>
  </w:num>
  <w:num w:numId="22">
    <w:abstractNumId w:val="0"/>
  </w:num>
  <w:num w:numId="23">
    <w:abstractNumId w:val="9"/>
    <w:lvlOverride w:ilvl="0">
      <w:startOverride w:val="9"/>
    </w:lvlOverride>
  </w:num>
  <w:num w:numId="2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9B7"/>
    <w:rsid w:val="00000FCE"/>
    <w:rsid w:val="00006C79"/>
    <w:rsid w:val="000974D4"/>
    <w:rsid w:val="00151469"/>
    <w:rsid w:val="001B5B64"/>
    <w:rsid w:val="00200F54"/>
    <w:rsid w:val="003449B7"/>
    <w:rsid w:val="003B153D"/>
    <w:rsid w:val="003D398D"/>
    <w:rsid w:val="0046414F"/>
    <w:rsid w:val="004755AC"/>
    <w:rsid w:val="004865E1"/>
    <w:rsid w:val="004E24C8"/>
    <w:rsid w:val="004F34F2"/>
    <w:rsid w:val="0052320F"/>
    <w:rsid w:val="005E0F2F"/>
    <w:rsid w:val="005E1C4F"/>
    <w:rsid w:val="00650DD6"/>
    <w:rsid w:val="00662852"/>
    <w:rsid w:val="006D61C6"/>
    <w:rsid w:val="006F644C"/>
    <w:rsid w:val="00731F98"/>
    <w:rsid w:val="00732716"/>
    <w:rsid w:val="00782DA3"/>
    <w:rsid w:val="007C64AF"/>
    <w:rsid w:val="007E4A16"/>
    <w:rsid w:val="008451BE"/>
    <w:rsid w:val="00A43CE3"/>
    <w:rsid w:val="00AC486F"/>
    <w:rsid w:val="00AF0ABD"/>
    <w:rsid w:val="00B032CC"/>
    <w:rsid w:val="00B171E2"/>
    <w:rsid w:val="00B505FA"/>
    <w:rsid w:val="00C1310D"/>
    <w:rsid w:val="00D23565"/>
    <w:rsid w:val="00D56714"/>
    <w:rsid w:val="00D846E0"/>
    <w:rsid w:val="00EA2288"/>
    <w:rsid w:val="00EB781F"/>
    <w:rsid w:val="00F9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3449B7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6F64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F644C"/>
    <w:rPr>
      <w:rFonts w:ascii="GothicPS" w:hAnsi="GothicPS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F64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F644C"/>
    <w:rPr>
      <w:rFonts w:ascii="GothicPS" w:hAnsi="GothicPS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2013-11-04T16:15:00Z</cp:lastPrinted>
  <dcterms:created xsi:type="dcterms:W3CDTF">2013-11-04T16:15:00Z</dcterms:created>
  <dcterms:modified xsi:type="dcterms:W3CDTF">2013-11-04T16:15:00Z</dcterms:modified>
</cp:coreProperties>
</file>