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5A" w:rsidRDefault="00522A5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522A5A" w:rsidRDefault="00522A5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22A5A" w:rsidRDefault="00522A5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522A5A" w:rsidRDefault="00522A5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22A5A" w:rsidRDefault="00522A5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30 DE OCTUBRE DE   2013</w:t>
      </w:r>
    </w:p>
    <w:p w:rsidR="00522A5A" w:rsidRDefault="00522A5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22A5A" w:rsidRPr="00522A5A" w:rsidRDefault="00522A5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522A5A">
        <w:rPr>
          <w:rFonts w:ascii="Helvetica" w:hAnsi="Helvetica"/>
          <w:b/>
          <w:lang w:val="es-UY"/>
        </w:rPr>
        <w:t xml:space="preserve">(E. E. Nº 2013-17-1-0006402, </w:t>
      </w:r>
      <w:proofErr w:type="spellStart"/>
      <w:r w:rsidRPr="00522A5A">
        <w:rPr>
          <w:rFonts w:ascii="Helvetica" w:hAnsi="Helvetica"/>
          <w:b/>
          <w:lang w:val="es-UY"/>
        </w:rPr>
        <w:t>Ent</w:t>
      </w:r>
      <w:proofErr w:type="spellEnd"/>
      <w:r w:rsidRPr="00522A5A">
        <w:rPr>
          <w:rFonts w:ascii="Helvetica" w:hAnsi="Helvetica"/>
          <w:b/>
          <w:lang w:val="es-UY"/>
        </w:rPr>
        <w:t>. N° 5589/13.)</w:t>
      </w:r>
    </w:p>
    <w:p w:rsidR="00522A5A" w:rsidRPr="00522A5A" w:rsidRDefault="00522A5A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000000" w:rsidRDefault="00BA3F3F" w:rsidP="00522A5A">
      <w:pPr>
        <w:spacing w:line="360" w:lineRule="auto"/>
        <w:ind w:firstLine="708"/>
        <w:jc w:val="both"/>
        <w:rPr>
          <w:rFonts w:ascii="Arial" w:hAnsi="Arial" w:cs="Arial"/>
        </w:rPr>
      </w:pPr>
      <w:r w:rsidRPr="00522A5A"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las actuaciones remitidas por la Administración Nacional de </w:t>
      </w:r>
      <w:r w:rsidRPr="00522A5A">
        <w:rPr>
          <w:rFonts w:ascii="Arial" w:hAnsi="Arial" w:cs="Arial"/>
          <w:spacing w:val="10"/>
        </w:rPr>
        <w:t>Combustibles, Alcohol y Portland relacionadas con la Licitación Publica</w:t>
      </w:r>
      <w:r w:rsidRPr="00522A5A">
        <w:rPr>
          <w:rFonts w:ascii="Arial" w:hAnsi="Arial" w:cs="Arial"/>
          <w:spacing w:val="10"/>
        </w:rPr>
        <w:t xml:space="preserve"> Nº</w:t>
      </w:r>
      <w:r>
        <w:rPr>
          <w:rFonts w:ascii="Arial" w:hAnsi="Arial" w:cs="Arial"/>
        </w:rPr>
        <w:t xml:space="preserve"> 1600152500, para el suministro de  manguerotes flotantes y accesorios para la Boya Petrolera;</w:t>
      </w:r>
    </w:p>
    <w:p w:rsidR="00000000" w:rsidRDefault="00BA3F3F" w:rsidP="00522A5A">
      <w:pPr>
        <w:spacing w:line="360" w:lineRule="auto"/>
        <w:ind w:firstLine="708"/>
        <w:jc w:val="both"/>
        <w:rPr>
          <w:rFonts w:ascii="Arial" w:hAnsi="Arial" w:cs="Arial"/>
        </w:rPr>
      </w:pPr>
      <w:r w:rsidRPr="00522A5A">
        <w:rPr>
          <w:rFonts w:ascii="Arial" w:hAnsi="Arial" w:cs="Arial"/>
          <w:b/>
        </w:rPr>
        <w:t>RESULTANDO: 1)</w:t>
      </w:r>
      <w:r>
        <w:rPr>
          <w:rFonts w:ascii="Arial" w:hAnsi="Arial" w:cs="Arial"/>
        </w:rPr>
        <w:t xml:space="preserve"> que realizados los trámites legales, se procedió con fecha 19.2.13  a la apertura del  acto  al que se presentaron las firmas LANAFIL SA. (</w:t>
      </w:r>
      <w:proofErr w:type="gramStart"/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epresentación de DUNLOP OIL AND MARINE LTD de Inglaterra), RODIÑO SA, FLEXOMARINE SA (Brasil), y EURONETE SUDAMERICANA SA.;</w:t>
      </w:r>
    </w:p>
    <w:p w:rsidR="00000000" w:rsidRDefault="00BA3F3F" w:rsidP="00522A5A">
      <w:pPr>
        <w:spacing w:line="360" w:lineRule="auto"/>
        <w:ind w:firstLine="2552"/>
        <w:jc w:val="both"/>
        <w:rPr>
          <w:rFonts w:ascii="Arial" w:hAnsi="Arial" w:cs="Arial"/>
        </w:rPr>
      </w:pPr>
      <w:r w:rsidRPr="00522A5A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la Gerencia Negocios Energéticos, con  fecha 2 de mayo de 2013, luego de estudiados y calificados los distintos items solicit</w:t>
      </w:r>
      <w:r>
        <w:rPr>
          <w:rFonts w:ascii="Arial" w:hAnsi="Arial" w:cs="Arial"/>
        </w:rPr>
        <w:t xml:space="preserve">ados, con los factores de adjudicación previstos en el pliego (calidad, certificación y antecedentes, precio cotizado, plazo de entrega,  garantías y sus plazos y aceptación de multas),señalo que la que presento  mejor puntaje en todos los items era </w:t>
      </w:r>
      <w:proofErr w:type="spellStart"/>
      <w:r>
        <w:rPr>
          <w:rFonts w:ascii="Arial" w:hAnsi="Arial" w:cs="Arial"/>
        </w:rPr>
        <w:t>Lanafi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</w:rPr>
        <w:t xml:space="preserve">(en representación de DUNLOP OIL AND MARINE LTD de Inglaterra), proponiendo descartar la propuesta de EURONETE SUDAMERICANA SA, por no cumplir con la validez de oferta solicitada y los ítems 2 a 6 de   </w:t>
      </w:r>
      <w:proofErr w:type="spellStart"/>
      <w:r>
        <w:rPr>
          <w:rFonts w:ascii="Arial" w:hAnsi="Arial" w:cs="Arial"/>
        </w:rPr>
        <w:t>Flexomarine</w:t>
      </w:r>
      <w:proofErr w:type="spellEnd"/>
      <w:r>
        <w:rPr>
          <w:rFonts w:ascii="Arial" w:hAnsi="Arial" w:cs="Arial"/>
        </w:rPr>
        <w:t xml:space="preserve"> y de Rodino, por incumplir con el pliego </w:t>
      </w:r>
      <w:r>
        <w:rPr>
          <w:rFonts w:ascii="Arial" w:hAnsi="Arial" w:cs="Arial"/>
        </w:rPr>
        <w:t>- características generales- (tipo de manguerote);</w:t>
      </w:r>
    </w:p>
    <w:p w:rsidR="00000000" w:rsidRDefault="00BA3F3F" w:rsidP="00522A5A">
      <w:pPr>
        <w:spacing w:line="360" w:lineRule="auto"/>
        <w:ind w:firstLine="2552"/>
        <w:jc w:val="both"/>
        <w:rPr>
          <w:rFonts w:ascii="Arial" w:hAnsi="Arial" w:cs="Arial"/>
        </w:rPr>
      </w:pPr>
      <w:r w:rsidRPr="00522A5A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en consecuen</w:t>
      </w:r>
      <w:r w:rsidR="00522A5A">
        <w:rPr>
          <w:rFonts w:ascii="Arial" w:hAnsi="Arial" w:cs="Arial"/>
        </w:rPr>
        <w:t>cia la Comisión Asesora aconsejó</w:t>
      </w:r>
      <w:r>
        <w:rPr>
          <w:rFonts w:ascii="Arial" w:hAnsi="Arial" w:cs="Arial"/>
        </w:rPr>
        <w:t xml:space="preserve"> la  adjudicación a  LANAFIL SA. </w:t>
      </w:r>
      <w:proofErr w:type="gramStart"/>
      <w:r>
        <w:rPr>
          <w:rFonts w:ascii="Arial" w:hAnsi="Arial" w:cs="Arial"/>
        </w:rPr>
        <w:t>por</w:t>
      </w:r>
      <w:proofErr w:type="gramEnd"/>
      <w:r>
        <w:rPr>
          <w:rFonts w:ascii="Arial" w:hAnsi="Arial" w:cs="Arial"/>
        </w:rPr>
        <w:t xml:space="preserve"> ser la más conveniente a los intereses de la Administración;</w:t>
      </w:r>
    </w:p>
    <w:p w:rsidR="00000000" w:rsidRDefault="00BA3F3F" w:rsidP="00522A5A">
      <w:pPr>
        <w:spacing w:line="360" w:lineRule="auto"/>
        <w:ind w:firstLine="2552"/>
        <w:jc w:val="both"/>
        <w:rPr>
          <w:rFonts w:ascii="Arial" w:hAnsi="Arial" w:cs="Arial"/>
        </w:rPr>
      </w:pPr>
      <w:r w:rsidRPr="00522A5A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 la firma </w:t>
      </w:r>
      <w:proofErr w:type="spellStart"/>
      <w:r>
        <w:rPr>
          <w:rFonts w:ascii="Arial" w:hAnsi="Arial" w:cs="Arial"/>
        </w:rPr>
        <w:t>Rodiño</w:t>
      </w:r>
      <w:proofErr w:type="spellEnd"/>
      <w:r>
        <w:rPr>
          <w:rFonts w:ascii="Arial" w:hAnsi="Arial" w:cs="Arial"/>
        </w:rPr>
        <w:t xml:space="preserve"> SA, present</w:t>
      </w:r>
      <w:r w:rsidR="00522A5A"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nota ,</w:t>
      </w:r>
      <w:proofErr w:type="gramEnd"/>
      <w:r>
        <w:rPr>
          <w:rFonts w:ascii="Arial" w:hAnsi="Arial" w:cs="Arial"/>
        </w:rPr>
        <w:t xml:space="preserve">  expresando </w:t>
      </w:r>
      <w:r>
        <w:rPr>
          <w:rFonts w:ascii="Arial" w:hAnsi="Arial" w:cs="Arial"/>
        </w:rPr>
        <w:t xml:space="preserve"> que la oferta de  la firma LANAFIL carece de sustentabilidad ,por no estar claro </w:t>
      </w:r>
      <w:r>
        <w:rPr>
          <w:rFonts w:ascii="Arial" w:hAnsi="Arial" w:cs="Arial"/>
        </w:rPr>
        <w:lastRenderedPageBreak/>
        <w:t>el costo de la compra por parte de ANCAP, basándose  en que no indica las condiciones del segundo embarque (precio de las mangueras, costo, flete, etc),  sumado a que después</w:t>
      </w:r>
      <w:r>
        <w:rPr>
          <w:rFonts w:ascii="Arial" w:hAnsi="Arial" w:cs="Arial"/>
        </w:rPr>
        <w:t xml:space="preserve"> de los 120 días tiene que consultar al fabricante por el mantenimiento de la oferta en cuestión;</w:t>
      </w:r>
    </w:p>
    <w:p w:rsidR="00000000" w:rsidRDefault="00BA3F3F" w:rsidP="00522A5A">
      <w:pPr>
        <w:pStyle w:val="Textoindependiente"/>
        <w:ind w:firstLine="2552"/>
      </w:pPr>
      <w:r w:rsidRPr="00522A5A">
        <w:rPr>
          <w:b/>
        </w:rPr>
        <w:t>5)</w:t>
      </w:r>
      <w:r>
        <w:t xml:space="preserve"> que, los integrantes de la Comisión Asesora con  fechas 13 y 17 de setiembre de 2013 ,manifestaron que: a) la forma de entrega de Lanafil está de acuerdo c</w:t>
      </w:r>
      <w:r>
        <w:t>on lo dispuesto en la Circular Nº2 y el flete esta contemplado en el monto cotizado; b) en cuanto a los precios en dólares americanos  éstos son firmes por la duración del contrato y la firma establece la forma contado contra documento de embarque “CAD”, d</w:t>
      </w:r>
      <w:r>
        <w:t>e acuerdo con lo que dispone el Pliego que rigió el llamado; c) sobre la validez de la oferta de LANAFIL SA, la misma es de acuerdo al punto 6 del PCP (120 días), por lo tanto, al  declarar “después de pasados 120 días  consultar al fabricante por el mante</w:t>
      </w:r>
      <w:r>
        <w:t>nimiento de la oferta en cuestión”, se debe  a que no puede mantenerse la oferta en forma indefinida.;</w:t>
      </w:r>
    </w:p>
    <w:p w:rsidR="00000000" w:rsidRDefault="00BA3F3F" w:rsidP="00522A5A">
      <w:pPr>
        <w:spacing w:line="360" w:lineRule="auto"/>
        <w:ind w:firstLine="2552"/>
        <w:jc w:val="both"/>
        <w:rPr>
          <w:rFonts w:ascii="Arial" w:hAnsi="Arial" w:cs="Arial"/>
        </w:rPr>
      </w:pPr>
      <w:r w:rsidRPr="00522A5A">
        <w:rPr>
          <w:rFonts w:ascii="Arial" w:hAnsi="Arial" w:cs="Arial"/>
          <w:b/>
        </w:rPr>
        <w:t>6)</w:t>
      </w:r>
      <w:r>
        <w:rPr>
          <w:rFonts w:ascii="Arial" w:hAnsi="Arial" w:cs="Arial"/>
        </w:rPr>
        <w:t xml:space="preserve"> que  por Resolución de fecha 27.9.13, el Directorio dispuso adjudicar el llamado, de acuerdo con lo aconsejado por la Comisión Asesora, ascendiendo el</w:t>
      </w:r>
      <w:r>
        <w:rPr>
          <w:rFonts w:ascii="Arial" w:hAnsi="Arial" w:cs="Arial"/>
        </w:rPr>
        <w:t xml:space="preserve"> monto de la contratación a U$S 4.614.110 CFR  Montevideo mas gastos de </w:t>
      </w:r>
      <w:proofErr w:type="spellStart"/>
      <w:r>
        <w:rPr>
          <w:rFonts w:ascii="Arial" w:hAnsi="Arial" w:cs="Arial"/>
        </w:rPr>
        <w:t>internacion</w:t>
      </w:r>
      <w:proofErr w:type="spellEnd"/>
      <w:r>
        <w:rPr>
          <w:rFonts w:ascii="Arial" w:hAnsi="Arial" w:cs="Arial"/>
        </w:rPr>
        <w:t xml:space="preserve">, recargos de importación y comisiones bancarias; </w:t>
      </w:r>
    </w:p>
    <w:p w:rsidR="00000000" w:rsidRDefault="00BA3F3F" w:rsidP="00522A5A">
      <w:pPr>
        <w:pStyle w:val="Textoindependiente"/>
        <w:ind w:firstLine="2552"/>
      </w:pPr>
      <w:r w:rsidRPr="00522A5A">
        <w:rPr>
          <w:b/>
        </w:rPr>
        <w:t>7)</w:t>
      </w:r>
      <w:r>
        <w:t xml:space="preserve"> que del informe contable del 16 de agosto de 2013</w:t>
      </w:r>
      <w:r w:rsidR="00522A5A">
        <w:t>,</w:t>
      </w:r>
      <w:r>
        <w:t xml:space="preserve"> </w:t>
      </w:r>
      <w:r>
        <w:t>surge que existe disponibilidad presupuestal en el rubro 1 del Plan</w:t>
      </w:r>
      <w:r>
        <w:t xml:space="preserve"> Operativo- Programa Energía, para  atender la erogación resultante en el ejercicio 2014;</w:t>
      </w:r>
    </w:p>
    <w:p w:rsidR="00000000" w:rsidRDefault="00BA3F3F" w:rsidP="00BA3F3F">
      <w:pPr>
        <w:pStyle w:val="Textoindependiente"/>
        <w:ind w:firstLine="708"/>
      </w:pPr>
      <w:r w:rsidRPr="00BA3F3F">
        <w:rPr>
          <w:b/>
        </w:rPr>
        <w:t>CONSIDERANDO</w:t>
      </w:r>
      <w:proofErr w:type="gramStart"/>
      <w:r w:rsidRPr="00BA3F3F">
        <w:rPr>
          <w:b/>
        </w:rPr>
        <w:t xml:space="preserve">: </w:t>
      </w:r>
      <w:r>
        <w:rPr>
          <w:b/>
        </w:rPr>
        <w:t xml:space="preserve"> </w:t>
      </w:r>
      <w:r w:rsidRPr="00BA3F3F">
        <w:rPr>
          <w:b/>
        </w:rPr>
        <w:t>1</w:t>
      </w:r>
      <w:proofErr w:type="gramEnd"/>
      <w:r w:rsidRPr="00BA3F3F">
        <w:rPr>
          <w:b/>
        </w:rPr>
        <w:t>)</w:t>
      </w:r>
      <w:r>
        <w:t xml:space="preserve"> que el llamado se efectuó de acuerdo  </w:t>
      </w:r>
      <w:r w:rsidR="00522A5A">
        <w:t>con</w:t>
      </w:r>
      <w:r>
        <w:t xml:space="preserve"> lo dispuesto por los </w:t>
      </w:r>
      <w:r w:rsidR="00522A5A">
        <w:t>A</w:t>
      </w:r>
      <w:r>
        <w:t>rtículos 33 y siguientes del TOCAF;</w:t>
      </w:r>
    </w:p>
    <w:p w:rsidR="00000000" w:rsidRDefault="00BA3F3F" w:rsidP="00BA3F3F">
      <w:pPr>
        <w:pStyle w:val="Textoindependiente"/>
        <w:ind w:firstLine="2977"/>
      </w:pPr>
      <w:r w:rsidRPr="00BA3F3F">
        <w:rPr>
          <w:b/>
        </w:rPr>
        <w:t>2)</w:t>
      </w:r>
      <w:r>
        <w:t xml:space="preserve"> que la propuesta de LANAFIL SA, se ajustó</w:t>
      </w:r>
      <w:r>
        <w:t xml:space="preserve"> a lo dispuesto por el pliego de condiciones que rigió el llamado, de acuerdo al informe  elaborado por la Comisión Asesora de Adjudicaciones</w:t>
      </w:r>
      <w:bookmarkStart w:id="0" w:name="_GoBack"/>
      <w:bookmarkEnd w:id="0"/>
      <w:r>
        <w:t xml:space="preserve"> (Resultando 5);</w:t>
      </w:r>
    </w:p>
    <w:p w:rsidR="00000000" w:rsidRDefault="00BA3F3F" w:rsidP="00BA3F3F">
      <w:pPr>
        <w:spacing w:line="360" w:lineRule="auto"/>
        <w:ind w:firstLine="708"/>
        <w:rPr>
          <w:rFonts w:ascii="Arial" w:hAnsi="Arial" w:cs="Arial"/>
        </w:rPr>
      </w:pPr>
      <w:r w:rsidRPr="00BA3F3F">
        <w:rPr>
          <w:rFonts w:ascii="Arial" w:hAnsi="Arial" w:cs="Arial"/>
          <w:b/>
        </w:rPr>
        <w:lastRenderedPageBreak/>
        <w:t>ATENTO:</w:t>
      </w:r>
      <w:r>
        <w:rPr>
          <w:rFonts w:ascii="Arial" w:hAnsi="Arial" w:cs="Arial"/>
        </w:rPr>
        <w:t xml:space="preserve"> a lo expuesto precedentemente y a lo dispuesto por el A</w:t>
      </w:r>
      <w:r>
        <w:rPr>
          <w:rFonts w:ascii="Arial" w:hAnsi="Arial" w:cs="Arial"/>
        </w:rPr>
        <w:t>rtículo 211 L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teral</w:t>
      </w:r>
      <w:r>
        <w:rPr>
          <w:rFonts w:ascii="Arial" w:hAnsi="Arial" w:cs="Arial"/>
        </w:rPr>
        <w:t xml:space="preserve"> B) de la Constitución de la República;</w:t>
      </w:r>
    </w:p>
    <w:p w:rsidR="00000000" w:rsidRDefault="00BA3F3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EL TRIBUNAL ACUERDA</w:t>
      </w:r>
    </w:p>
    <w:p w:rsidR="00000000" w:rsidRDefault="00BA3F3F" w:rsidP="00BA3F3F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BA3F3F">
        <w:rPr>
          <w:rFonts w:ascii="Arial" w:hAnsi="Arial" w:cs="Arial"/>
          <w:b/>
        </w:rPr>
        <w:t>1)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Cometer al Contador Delegado la intervención del gasto para el E</w:t>
      </w:r>
      <w:r>
        <w:rPr>
          <w:rFonts w:ascii="Arial" w:hAnsi="Arial" w:cs="Arial"/>
        </w:rPr>
        <w:t>jercicio 2014, previo control de la imputación en el grupo adecuado con disponibilidad suficiente.</w:t>
      </w:r>
    </w:p>
    <w:p w:rsidR="00000000" w:rsidRDefault="00BA3F3F" w:rsidP="00BA3F3F">
      <w:pPr>
        <w:spacing w:line="360" w:lineRule="auto"/>
        <w:jc w:val="both"/>
        <w:rPr>
          <w:rFonts w:ascii="Arial" w:hAnsi="Arial" w:cs="Arial"/>
        </w:rPr>
      </w:pPr>
      <w:r w:rsidRPr="00BA3F3F">
        <w:rPr>
          <w:rFonts w:ascii="Arial" w:hAnsi="Arial" w:cs="Arial"/>
          <w:b/>
        </w:rPr>
        <w:t>2)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Comunicar al Contado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Delegado</w:t>
      </w:r>
      <w:r>
        <w:rPr>
          <w:rFonts w:ascii="Arial" w:hAnsi="Arial" w:cs="Arial"/>
        </w:rPr>
        <w:t>.</w:t>
      </w:r>
    </w:p>
    <w:p w:rsidR="00000000" w:rsidRDefault="00BA3F3F" w:rsidP="00BA3F3F">
      <w:pPr>
        <w:spacing w:line="360" w:lineRule="auto"/>
        <w:jc w:val="both"/>
        <w:rPr>
          <w:rFonts w:ascii="Arial" w:hAnsi="Arial" w:cs="Arial"/>
        </w:rPr>
      </w:pPr>
      <w:r w:rsidRPr="00BA3F3F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Devolver las actuaciones.</w:t>
      </w:r>
    </w:p>
    <w:p w:rsidR="00000000" w:rsidRDefault="00BA3F3F">
      <w:pPr>
        <w:spacing w:line="360" w:lineRule="auto"/>
        <w:ind w:left="4950" w:hanging="4950"/>
        <w:rPr>
          <w:rFonts w:ascii="Arial" w:hAnsi="Arial" w:cs="Arial"/>
        </w:rPr>
      </w:pPr>
    </w:p>
    <w:p w:rsidR="00BA3F3F" w:rsidRDefault="00BA3F3F">
      <w:pPr>
        <w:spacing w:line="360" w:lineRule="auto"/>
        <w:ind w:left="4950" w:hanging="4950"/>
        <w:rPr>
          <w:rFonts w:ascii="Arial" w:hAnsi="Arial" w:cs="Arial"/>
        </w:rPr>
      </w:pPr>
    </w:p>
    <w:p w:rsidR="00BA3F3F" w:rsidRDefault="00BA3F3F">
      <w:pPr>
        <w:spacing w:line="360" w:lineRule="auto"/>
        <w:ind w:left="4950" w:hanging="4950"/>
        <w:rPr>
          <w:rFonts w:ascii="Arial" w:hAnsi="Arial" w:cs="Arial"/>
        </w:rPr>
      </w:pPr>
    </w:p>
    <w:p w:rsidR="00BA3F3F" w:rsidRDefault="00BA3F3F">
      <w:pPr>
        <w:spacing w:line="360" w:lineRule="auto"/>
        <w:ind w:left="4950" w:hanging="4950"/>
        <w:rPr>
          <w:rFonts w:ascii="Arial" w:hAnsi="Arial" w:cs="Arial"/>
        </w:rPr>
      </w:pPr>
    </w:p>
    <w:p w:rsidR="00BA3F3F" w:rsidRDefault="00BA3F3F">
      <w:pPr>
        <w:spacing w:line="360" w:lineRule="auto"/>
        <w:ind w:left="4950" w:hanging="4950"/>
        <w:rPr>
          <w:rFonts w:ascii="Arial" w:hAnsi="Arial" w:cs="Arial"/>
        </w:rPr>
      </w:pPr>
    </w:p>
    <w:p w:rsidR="00BA3F3F" w:rsidRDefault="00BA3F3F">
      <w:pPr>
        <w:spacing w:line="360" w:lineRule="auto"/>
        <w:ind w:left="4950" w:hanging="4950"/>
        <w:rPr>
          <w:rFonts w:ascii="Arial" w:hAnsi="Arial" w:cs="Arial"/>
        </w:rPr>
      </w:pPr>
    </w:p>
    <w:p w:rsidR="00BA3F3F" w:rsidRDefault="00BA3F3F">
      <w:pPr>
        <w:spacing w:line="360" w:lineRule="auto"/>
        <w:ind w:left="4950" w:hanging="4950"/>
        <w:rPr>
          <w:rFonts w:ascii="Arial" w:hAnsi="Arial" w:cs="Arial"/>
        </w:rPr>
      </w:pPr>
    </w:p>
    <w:p w:rsidR="00BA3F3F" w:rsidRDefault="00BA3F3F">
      <w:pPr>
        <w:spacing w:line="360" w:lineRule="auto"/>
        <w:ind w:left="4950" w:hanging="495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p w:rsidR="00000000" w:rsidRDefault="00BA3F3F">
      <w:pPr>
        <w:spacing w:line="360" w:lineRule="auto"/>
        <w:ind w:left="4950" w:hanging="4950"/>
        <w:rPr>
          <w:rFonts w:ascii="Arial" w:hAnsi="Arial" w:cs="Arial"/>
        </w:rPr>
      </w:pPr>
    </w:p>
    <w:p w:rsidR="00000000" w:rsidRDefault="00BA3F3F">
      <w:pPr>
        <w:spacing w:line="360" w:lineRule="auto"/>
        <w:ind w:left="4950" w:hanging="4950"/>
        <w:rPr>
          <w:rFonts w:ascii="Arial" w:hAnsi="Arial" w:cs="Arial"/>
        </w:rPr>
      </w:pPr>
    </w:p>
    <w:p w:rsidR="00000000" w:rsidRDefault="00BA3F3F">
      <w:pPr>
        <w:spacing w:line="360" w:lineRule="auto"/>
        <w:ind w:left="4950" w:hanging="4950"/>
        <w:rPr>
          <w:rFonts w:ascii="Arial" w:hAnsi="Arial" w:cs="Arial"/>
        </w:rPr>
      </w:pPr>
    </w:p>
    <w:p w:rsidR="00000000" w:rsidRDefault="00BA3F3F">
      <w:pPr>
        <w:spacing w:line="360" w:lineRule="auto"/>
        <w:ind w:left="4950" w:hanging="4950"/>
        <w:rPr>
          <w:rFonts w:ascii="Arial" w:hAnsi="Arial" w:cs="Arial"/>
        </w:rPr>
      </w:pPr>
    </w:p>
    <w:p w:rsidR="00000000" w:rsidRDefault="00BA3F3F">
      <w:pPr>
        <w:spacing w:line="360" w:lineRule="auto"/>
        <w:ind w:left="4950" w:hanging="4950"/>
        <w:rPr>
          <w:rFonts w:ascii="Arial" w:hAnsi="Arial" w:cs="Arial"/>
        </w:rPr>
      </w:pPr>
    </w:p>
    <w:p w:rsidR="00000000" w:rsidRDefault="00BA3F3F">
      <w:pPr>
        <w:spacing w:line="360" w:lineRule="auto"/>
        <w:ind w:left="4950" w:hanging="4950"/>
        <w:rPr>
          <w:rFonts w:ascii="Arial" w:hAnsi="Arial" w:cs="Arial"/>
        </w:rPr>
      </w:pPr>
    </w:p>
    <w:p w:rsidR="00000000" w:rsidRDefault="00BA3F3F">
      <w:pPr>
        <w:spacing w:line="360" w:lineRule="auto"/>
        <w:ind w:left="4950" w:hanging="4950"/>
        <w:rPr>
          <w:rFonts w:ascii="Arial" w:hAnsi="Arial" w:cs="Arial"/>
        </w:rPr>
      </w:pPr>
    </w:p>
    <w:sectPr w:rsidR="00000000" w:rsidSect="00522A5A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C7137"/>
    <w:multiLevelType w:val="hybridMultilevel"/>
    <w:tmpl w:val="082CFC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A5A"/>
    <w:rsid w:val="00522A5A"/>
    <w:rsid w:val="00BA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3295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9 de octubre de 2013</vt:lpstr>
    </vt:vector>
  </TitlesOfParts>
  <Company>TRIBUNAL DE CUENTAS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9 de octubre de 2013</dc:title>
  <dc:subject/>
  <dc:creator>20207553</dc:creator>
  <cp:keywords/>
  <cp:lastModifiedBy>Miriam Cristina Rivero</cp:lastModifiedBy>
  <cp:revision>2</cp:revision>
  <cp:lastPrinted>2013-11-05T17:12:00Z</cp:lastPrinted>
  <dcterms:created xsi:type="dcterms:W3CDTF">2013-11-05T17:13:00Z</dcterms:created>
  <dcterms:modified xsi:type="dcterms:W3CDTF">2013-11-05T17:13:00Z</dcterms:modified>
</cp:coreProperties>
</file>