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80" w:rsidRDefault="000F2780">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F2780" w:rsidRDefault="000F2780">
      <w:pPr>
        <w:tabs>
          <w:tab w:val="left" w:pos="-720"/>
        </w:tabs>
        <w:suppressAutoHyphens/>
        <w:jc w:val="center"/>
        <w:rPr>
          <w:rFonts w:ascii="Helvetica" w:hAnsi="Helvetica"/>
          <w:b/>
          <w:lang w:val="es-ES_tradnl"/>
        </w:rPr>
      </w:pPr>
    </w:p>
    <w:p w:rsidR="000F2780" w:rsidRDefault="000F2780">
      <w:pPr>
        <w:tabs>
          <w:tab w:val="center" w:pos="4253"/>
        </w:tabs>
        <w:suppressAutoHyphens/>
        <w:jc w:val="center"/>
        <w:rPr>
          <w:rFonts w:ascii="Helvetica" w:hAnsi="Helvetica"/>
          <w:b/>
          <w:lang w:val="es-ES_tradnl"/>
        </w:rPr>
      </w:pPr>
      <w:r>
        <w:rPr>
          <w:rFonts w:ascii="Helvetica" w:hAnsi="Helvetica"/>
          <w:b/>
          <w:lang w:val="es-ES_tradnl"/>
        </w:rPr>
        <w:t>TRIBUNAL DE CUENTAS</w:t>
      </w:r>
    </w:p>
    <w:p w:rsidR="000F2780" w:rsidRDefault="000F2780">
      <w:pPr>
        <w:tabs>
          <w:tab w:val="left" w:pos="-720"/>
        </w:tabs>
        <w:suppressAutoHyphens/>
        <w:jc w:val="center"/>
        <w:rPr>
          <w:rFonts w:ascii="Helvetica" w:hAnsi="Helvetica"/>
          <w:b/>
          <w:lang w:val="es-ES_tradnl"/>
        </w:rPr>
      </w:pPr>
    </w:p>
    <w:p w:rsidR="000F2780" w:rsidRDefault="000F2780">
      <w:pPr>
        <w:tabs>
          <w:tab w:val="center" w:pos="4253"/>
        </w:tabs>
        <w:suppressAutoHyphens/>
        <w:jc w:val="center"/>
        <w:rPr>
          <w:rFonts w:ascii="Helvetica" w:hAnsi="Helvetica"/>
          <w:b/>
          <w:lang w:val="es-ES_tradnl"/>
        </w:rPr>
      </w:pPr>
      <w:r>
        <w:rPr>
          <w:rFonts w:ascii="Helvetica" w:hAnsi="Helvetica"/>
          <w:b/>
          <w:lang w:val="es-ES_tradnl"/>
        </w:rPr>
        <w:t>EN SESION DE FECHA 30 DE OCTUBRE DE 2013</w:t>
      </w:r>
    </w:p>
    <w:p w:rsidR="000F2780" w:rsidRDefault="000F2780">
      <w:pPr>
        <w:tabs>
          <w:tab w:val="center" w:pos="4253"/>
        </w:tabs>
        <w:suppressAutoHyphens/>
        <w:jc w:val="center"/>
        <w:rPr>
          <w:rFonts w:ascii="Helvetica" w:hAnsi="Helvetica"/>
          <w:b/>
          <w:lang w:val="es-ES_tradnl"/>
        </w:rPr>
      </w:pPr>
    </w:p>
    <w:p w:rsidR="000F2780" w:rsidRPr="008B3C4E" w:rsidRDefault="000F2780" w:rsidP="000F2780">
      <w:pPr>
        <w:tabs>
          <w:tab w:val="center" w:pos="4253"/>
        </w:tabs>
        <w:suppressAutoHyphens/>
        <w:jc w:val="center"/>
        <w:rPr>
          <w:rFonts w:ascii="Helvetica" w:hAnsi="Helvetica"/>
          <w:b/>
          <w:lang w:val="es-UY"/>
        </w:rPr>
      </w:pPr>
      <w:r w:rsidRPr="008B3C4E">
        <w:rPr>
          <w:rFonts w:ascii="Helvetica" w:hAnsi="Helvetica"/>
          <w:b/>
          <w:lang w:val="es-UY"/>
        </w:rPr>
        <w:t xml:space="preserve">(E. E. Nº2013-17-1-0005455, </w:t>
      </w:r>
      <w:proofErr w:type="spellStart"/>
      <w:r w:rsidRPr="008B3C4E">
        <w:rPr>
          <w:rFonts w:ascii="Helvetica" w:hAnsi="Helvetica"/>
          <w:b/>
          <w:lang w:val="es-UY"/>
        </w:rPr>
        <w:t>Ent</w:t>
      </w:r>
      <w:proofErr w:type="spellEnd"/>
      <w:r w:rsidRPr="008B3C4E">
        <w:rPr>
          <w:rFonts w:ascii="Helvetica" w:hAnsi="Helvetica"/>
          <w:b/>
          <w:lang w:val="es-UY"/>
        </w:rPr>
        <w:t>. N°</w:t>
      </w:r>
      <w:r w:rsidR="008B3C4E">
        <w:rPr>
          <w:rFonts w:ascii="Helvetica" w:hAnsi="Helvetica"/>
          <w:b/>
          <w:lang w:val="es-UY"/>
        </w:rPr>
        <w:t xml:space="preserve"> </w:t>
      </w:r>
      <w:r w:rsidRPr="008B3C4E">
        <w:rPr>
          <w:rFonts w:ascii="Helvetica" w:hAnsi="Helvetica"/>
          <w:b/>
          <w:lang w:val="es-UY"/>
        </w:rPr>
        <w:t>4824/13)</w:t>
      </w:r>
    </w:p>
    <w:p w:rsidR="000F2780" w:rsidRDefault="000F2780" w:rsidP="000F2780">
      <w:pPr>
        <w:spacing w:line="360" w:lineRule="auto"/>
        <w:jc w:val="both"/>
        <w:rPr>
          <w:rFonts w:ascii="Arial" w:hAnsi="Arial" w:cs="Arial"/>
          <w:b/>
        </w:rPr>
      </w:pPr>
    </w:p>
    <w:p w:rsidR="000F2780" w:rsidRDefault="000F2780" w:rsidP="000F2780">
      <w:pPr>
        <w:spacing w:line="360" w:lineRule="auto"/>
        <w:ind w:firstLine="851"/>
        <w:jc w:val="both"/>
        <w:rPr>
          <w:rFonts w:ascii="Arial" w:hAnsi="Arial" w:cs="Arial"/>
        </w:rPr>
      </w:pPr>
      <w:r>
        <w:rPr>
          <w:rFonts w:ascii="Arial" w:hAnsi="Arial" w:cs="Arial"/>
          <w:b/>
        </w:rPr>
        <w:t>VISTO:</w:t>
      </w:r>
      <w:r>
        <w:rPr>
          <w:rFonts w:ascii="Arial" w:hAnsi="Arial" w:cs="Arial"/>
        </w:rPr>
        <w:t xml:space="preserve"> que este Tribunal ha examinado la Rendición de Cuentas y Balance de Ejecución Presupuestal de la Intendencia de Montevideo correspondiente al ejercicio 2012;</w:t>
      </w:r>
    </w:p>
    <w:p w:rsidR="000F2780" w:rsidRDefault="000F2780" w:rsidP="000F2780">
      <w:pPr>
        <w:spacing w:line="360" w:lineRule="auto"/>
        <w:ind w:firstLine="851"/>
        <w:jc w:val="both"/>
        <w:rPr>
          <w:rFonts w:ascii="Arial" w:hAnsi="Arial" w:cs="Arial"/>
        </w:rPr>
      </w:pPr>
      <w:r>
        <w:rPr>
          <w:rFonts w:ascii="Arial" w:hAnsi="Arial" w:cs="Arial"/>
          <w:b/>
        </w:rPr>
        <w:t xml:space="preserve">RESULTANDO: </w:t>
      </w:r>
      <w:r>
        <w:rPr>
          <w:rFonts w:ascii="Arial" w:hAnsi="Arial" w:cs="Arial"/>
        </w:rPr>
        <w:t>que el examen se efectuó de acuerdo con los Principios Fundamentales de Auditoria (ISSAI 100, 200, 300 y 400) y las Directrices de Auditoria Financiera (ISSAI 1000 a 2999) de la Organización Internacional de Entidades Fiscalizadoras Superiores (INTOSAI), habiéndose llevado a cabo los procedimientos considerados necesarios en las circunstancias;</w:t>
      </w:r>
    </w:p>
    <w:p w:rsidR="000F2780" w:rsidRDefault="000F2780" w:rsidP="000F2780">
      <w:pPr>
        <w:spacing w:line="360" w:lineRule="auto"/>
        <w:ind w:firstLine="851"/>
        <w:jc w:val="both"/>
        <w:rPr>
          <w:rFonts w:ascii="Arial" w:hAnsi="Arial" w:cs="Arial"/>
        </w:rPr>
      </w:pPr>
      <w:r>
        <w:rPr>
          <w:rFonts w:ascii="Arial" w:hAnsi="Arial" w:cs="Arial"/>
          <w:b/>
        </w:rPr>
        <w:t xml:space="preserve">CONSIDERANDO: </w:t>
      </w:r>
      <w:r>
        <w:rPr>
          <w:rFonts w:ascii="Arial" w:hAnsi="Arial" w:cs="Arial"/>
        </w:rPr>
        <w:t>que las conclusiones y evidencias obtenidas son las que se expresan en el Informe de Auditoría, que incluye Dictamen e Informe a la Administración;</w:t>
      </w:r>
    </w:p>
    <w:p w:rsidR="000F2780" w:rsidRDefault="000F2780" w:rsidP="000F2780">
      <w:pPr>
        <w:spacing w:line="360" w:lineRule="auto"/>
        <w:ind w:firstLine="851"/>
        <w:jc w:val="both"/>
        <w:rPr>
          <w:rFonts w:ascii="Arial" w:hAnsi="Arial" w:cs="Arial"/>
        </w:rPr>
      </w:pPr>
      <w:r>
        <w:rPr>
          <w:rFonts w:ascii="Arial" w:hAnsi="Arial" w:cs="Arial"/>
          <w:b/>
        </w:rPr>
        <w:t xml:space="preserve">ATENTO: </w:t>
      </w:r>
      <w:r>
        <w:rPr>
          <w:rFonts w:ascii="Arial" w:hAnsi="Arial" w:cs="Arial"/>
        </w:rPr>
        <w:t>a lo dispuesto por el Artículo 211 Literal C) de la Constitución de la República;</w:t>
      </w:r>
    </w:p>
    <w:p w:rsidR="000F2780" w:rsidRDefault="000F2780" w:rsidP="000F2780">
      <w:pPr>
        <w:spacing w:line="360" w:lineRule="auto"/>
        <w:jc w:val="center"/>
        <w:rPr>
          <w:rFonts w:ascii="Arial" w:hAnsi="Arial" w:cs="Arial"/>
          <w:b/>
        </w:rPr>
      </w:pPr>
      <w:r>
        <w:rPr>
          <w:rFonts w:ascii="Arial" w:hAnsi="Arial" w:cs="Arial"/>
          <w:b/>
        </w:rPr>
        <w:t>EL TRIBUNAL ACUERDA</w:t>
      </w:r>
    </w:p>
    <w:p w:rsidR="000F2780" w:rsidRDefault="000F2780" w:rsidP="000F2780">
      <w:pPr>
        <w:spacing w:line="360" w:lineRule="auto"/>
        <w:jc w:val="both"/>
        <w:rPr>
          <w:rFonts w:ascii="Arial" w:hAnsi="Arial" w:cs="Arial"/>
        </w:rPr>
      </w:pPr>
      <w:r w:rsidRPr="000F2780">
        <w:rPr>
          <w:rFonts w:ascii="Arial" w:hAnsi="Arial" w:cs="Arial"/>
          <w:b/>
        </w:rPr>
        <w:t>1)</w:t>
      </w:r>
      <w:r>
        <w:rPr>
          <w:rFonts w:ascii="Arial" w:hAnsi="Arial" w:cs="Arial"/>
          <w:b/>
        </w:rPr>
        <w:t xml:space="preserve"> </w:t>
      </w:r>
      <w:r>
        <w:rPr>
          <w:rFonts w:ascii="Arial" w:hAnsi="Arial" w:cs="Arial"/>
        </w:rPr>
        <w:t>Emitir su Dictamen Constitucional respecto a la Rendición de Cuentas y Balance de Ejecución Presupuestal de la Intendencia de Montevideo correspondiente al Ejercicio 2012, en los términos del Informe de Auditoría que se adjunta;</w:t>
      </w:r>
    </w:p>
    <w:p w:rsidR="000F2780" w:rsidRDefault="000F2780" w:rsidP="000F2780">
      <w:pPr>
        <w:spacing w:line="360" w:lineRule="auto"/>
        <w:jc w:val="both"/>
        <w:rPr>
          <w:rFonts w:ascii="Arial" w:hAnsi="Arial" w:cs="Arial"/>
        </w:rPr>
      </w:pPr>
      <w:r w:rsidRPr="000F2780">
        <w:rPr>
          <w:rFonts w:ascii="Arial" w:hAnsi="Arial" w:cs="Arial"/>
          <w:b/>
        </w:rPr>
        <w:t>2)</w:t>
      </w:r>
      <w:r>
        <w:rPr>
          <w:rFonts w:ascii="Arial" w:hAnsi="Arial" w:cs="Arial"/>
        </w:rPr>
        <w:t xml:space="preserve"> Comunicar la presente Resolución a la Intendencia de Montevideo y a los Contadores Delegados;</w:t>
      </w:r>
    </w:p>
    <w:p w:rsidR="000F2780" w:rsidRDefault="000F2780" w:rsidP="000F2780">
      <w:pPr>
        <w:spacing w:line="360" w:lineRule="auto"/>
        <w:jc w:val="both"/>
        <w:rPr>
          <w:rFonts w:ascii="Arial" w:hAnsi="Arial" w:cs="Arial"/>
        </w:rPr>
      </w:pPr>
      <w:r w:rsidRPr="000F2780">
        <w:rPr>
          <w:rFonts w:ascii="Arial" w:hAnsi="Arial" w:cs="Arial"/>
          <w:b/>
        </w:rPr>
        <w:t xml:space="preserve">3) </w:t>
      </w:r>
      <w:r>
        <w:rPr>
          <w:rFonts w:ascii="Arial" w:hAnsi="Arial" w:cs="Arial"/>
        </w:rPr>
        <w:t>Oficiar al Banco de Previsión Social y al Ministerio del Interior;</w:t>
      </w:r>
    </w:p>
    <w:p w:rsidR="000F2780" w:rsidRDefault="000F2780" w:rsidP="000F2780">
      <w:pPr>
        <w:spacing w:line="360" w:lineRule="auto"/>
        <w:jc w:val="both"/>
        <w:rPr>
          <w:rFonts w:ascii="Arial" w:hAnsi="Arial" w:cs="Arial"/>
        </w:rPr>
      </w:pPr>
      <w:r w:rsidRPr="000F2780">
        <w:rPr>
          <w:rFonts w:ascii="Arial" w:hAnsi="Arial" w:cs="Arial"/>
          <w:b/>
        </w:rPr>
        <w:t>4)</w:t>
      </w:r>
      <w:r>
        <w:rPr>
          <w:rFonts w:ascii="Arial" w:hAnsi="Arial" w:cs="Arial"/>
        </w:rPr>
        <w:t xml:space="preserve"> Dar cuenta a la Asamblea General; y</w:t>
      </w:r>
    </w:p>
    <w:p w:rsidR="000F2780" w:rsidRDefault="000F2780" w:rsidP="000F2780">
      <w:pPr>
        <w:spacing w:line="360" w:lineRule="auto"/>
        <w:jc w:val="both"/>
        <w:rPr>
          <w:rFonts w:ascii="Arial" w:hAnsi="Arial" w:cs="Arial"/>
        </w:rPr>
      </w:pPr>
      <w:r w:rsidRPr="000F2780">
        <w:rPr>
          <w:rFonts w:ascii="Arial" w:hAnsi="Arial" w:cs="Arial"/>
          <w:b/>
        </w:rPr>
        <w:t>5)</w:t>
      </w:r>
      <w:r>
        <w:rPr>
          <w:rFonts w:ascii="Arial" w:hAnsi="Arial" w:cs="Arial"/>
        </w:rPr>
        <w:t xml:space="preserve"> Devolver los antecedentes a la Junta Departamental de Montevideo.</w:t>
      </w:r>
    </w:p>
    <w:p w:rsidR="008B3C4E" w:rsidRDefault="008B3C4E" w:rsidP="000F2780">
      <w:pPr>
        <w:spacing w:line="360" w:lineRule="auto"/>
        <w:jc w:val="both"/>
        <w:rPr>
          <w:rFonts w:ascii="Arial" w:hAnsi="Arial" w:cs="Arial"/>
        </w:rPr>
      </w:pPr>
    </w:p>
    <w:p w:rsidR="008B3C4E" w:rsidRDefault="008B3C4E" w:rsidP="000F2780">
      <w:pPr>
        <w:spacing w:line="360" w:lineRule="auto"/>
        <w:jc w:val="both"/>
        <w:rPr>
          <w:rFonts w:ascii="Arial" w:hAnsi="Arial" w:cs="Arial"/>
        </w:rPr>
      </w:pPr>
    </w:p>
    <w:p w:rsidR="008B3C4E" w:rsidRDefault="008B3C4E" w:rsidP="008B3C4E">
      <w:pPr>
        <w:pStyle w:val="Ttulo"/>
        <w:jc w:val="center"/>
        <w:rPr>
          <w:rFonts w:cs="Arial"/>
          <w:sz w:val="24"/>
        </w:rPr>
      </w:pPr>
      <w:r>
        <w:rPr>
          <w:rFonts w:cs="Arial"/>
          <w:sz w:val="24"/>
        </w:rPr>
        <w:lastRenderedPageBreak/>
        <w:t>DICTAMEN</w:t>
      </w:r>
    </w:p>
    <w:p w:rsidR="008B3C4E" w:rsidRPr="008B3C4E" w:rsidRDefault="008B3C4E" w:rsidP="008B3C4E"/>
    <w:p w:rsidR="008B3C4E" w:rsidRDefault="008B3C4E" w:rsidP="008B3C4E">
      <w:pPr>
        <w:pStyle w:val="Textoindependiente"/>
        <w:spacing w:after="0" w:line="360" w:lineRule="auto"/>
        <w:rPr>
          <w:rFonts w:cs="Arial"/>
          <w:kern w:val="0"/>
          <w:szCs w:val="24"/>
          <w:lang w:val="es-ES"/>
        </w:rPr>
      </w:pPr>
      <w:r>
        <w:rPr>
          <w:rFonts w:cs="Arial"/>
          <w:kern w:val="0"/>
          <w:szCs w:val="24"/>
          <w:lang w:val="es-ES"/>
        </w:rPr>
        <w:t xml:space="preserve">El Tribunal de Cuentas ha examinado la Rendición de Cuentas y el Balance de Ejecución Presupuestal de la Intendencia de Montevideo correspondiente al Ejercicio 2012, que incluye los siguientes estados: de Ejecución Presupuestal con relación a los Recursos y a los Créditos, Resultado del Ejercicio, Resultados acumulados y otros estados complementarios. </w:t>
      </w:r>
    </w:p>
    <w:p w:rsidR="008B3C4E" w:rsidRDefault="008B3C4E" w:rsidP="008B3C4E">
      <w:pPr>
        <w:pStyle w:val="Textoindependiente"/>
        <w:spacing w:after="0" w:line="360" w:lineRule="auto"/>
        <w:rPr>
          <w:rFonts w:cs="Arial"/>
          <w:kern w:val="0"/>
          <w:szCs w:val="24"/>
          <w:highlight w:val="yellow"/>
          <w:lang w:val="es-ES"/>
        </w:rPr>
      </w:pPr>
      <w:r>
        <w:rPr>
          <w:rFonts w:cs="Arial"/>
          <w:kern w:val="0"/>
          <w:szCs w:val="24"/>
          <w:lang w:val="es-ES"/>
        </w:rPr>
        <w:t>El Tribunal de Cuentas también ha auditado el cumplimiento por parte de la Intendencia de la normativa vigente.</w:t>
      </w:r>
    </w:p>
    <w:p w:rsidR="008B3C4E" w:rsidRDefault="008B3C4E" w:rsidP="008B3C4E">
      <w:pPr>
        <w:spacing w:line="360" w:lineRule="auto"/>
        <w:jc w:val="both"/>
        <w:rPr>
          <w:rFonts w:ascii="Arial" w:hAnsi="Arial" w:cs="Arial"/>
          <w:highlight w:val="yellow"/>
        </w:rPr>
      </w:pPr>
    </w:p>
    <w:p w:rsidR="008B3C4E" w:rsidRDefault="008B3C4E" w:rsidP="008B3C4E">
      <w:pPr>
        <w:pStyle w:val="Subttulo"/>
        <w:rPr>
          <w:rFonts w:ascii="Arial" w:hAnsi="Arial" w:cs="Arial"/>
          <w:bCs/>
        </w:rPr>
      </w:pPr>
      <w:r>
        <w:rPr>
          <w:rFonts w:ascii="Arial" w:hAnsi="Arial" w:cs="Arial"/>
          <w:bCs/>
        </w:rPr>
        <w:t>Responsabilidad de la Intendencia</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B3C4E" w:rsidRDefault="008B3C4E" w:rsidP="008B3C4E">
      <w:pPr>
        <w:pStyle w:val="Textoindependiente"/>
        <w:spacing w:after="0" w:line="360" w:lineRule="auto"/>
        <w:rPr>
          <w:rFonts w:cs="Arial"/>
          <w:kern w:val="0"/>
          <w:szCs w:val="24"/>
          <w:highlight w:val="yellow"/>
          <w:lang w:val="es-ES"/>
        </w:rPr>
      </w:pPr>
    </w:p>
    <w:p w:rsidR="008B3C4E" w:rsidRDefault="008B3C4E" w:rsidP="008B3C4E">
      <w:pPr>
        <w:pStyle w:val="Subttulo"/>
        <w:rPr>
          <w:rFonts w:ascii="Arial" w:hAnsi="Arial" w:cs="Arial"/>
          <w:bCs/>
        </w:rPr>
      </w:pPr>
      <w:r>
        <w:rPr>
          <w:rFonts w:ascii="Arial" w:hAnsi="Arial" w:cs="Arial"/>
          <w:bCs/>
        </w:rPr>
        <w:t>Responsabilidad del auditor</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 xml:space="preserve">La responsabilidad del Tribunal de Cuentas es expresar una opinión sobre dichos estados contables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los requisitos éticos, se planifique y se realice la auditoría para obtener seguridad razonable acerca de si los estados contables están libres de errores significativos. </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w:t>
      </w:r>
      <w:r>
        <w:rPr>
          <w:rFonts w:cs="Arial"/>
          <w:kern w:val="0"/>
          <w:szCs w:val="24"/>
          <w:lang w:val="es-ES"/>
        </w:rPr>
        <w:lastRenderedPageBreak/>
        <w:t>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8B3C4E" w:rsidRDefault="008B3C4E" w:rsidP="008B3C4E">
      <w:pPr>
        <w:pStyle w:val="Textoindependiente"/>
        <w:spacing w:after="0" w:line="360" w:lineRule="auto"/>
        <w:rPr>
          <w:rFonts w:cs="Arial"/>
          <w:bCs/>
          <w:kern w:val="0"/>
          <w:szCs w:val="24"/>
          <w:lang w:val="es-ES"/>
        </w:rPr>
      </w:pPr>
      <w:r>
        <w:rPr>
          <w:rFonts w:cs="Arial"/>
          <w:bCs/>
          <w:kern w:val="0"/>
          <w:szCs w:val="24"/>
          <w:lang w:val="es-ES"/>
        </w:rPr>
        <w:t>Se considera que la evidencia de auditoría obtenida brinda una base suficiente y apropiada para sustentar la opinión.</w:t>
      </w:r>
    </w:p>
    <w:p w:rsidR="008B3C4E" w:rsidRDefault="008B3C4E" w:rsidP="008B3C4E">
      <w:pPr>
        <w:pStyle w:val="Textoindependiente"/>
        <w:spacing w:after="0" w:line="360" w:lineRule="auto"/>
        <w:rPr>
          <w:rFonts w:cs="Arial"/>
          <w:bCs/>
          <w:kern w:val="0"/>
          <w:szCs w:val="24"/>
          <w:lang w:val="es-ES"/>
        </w:rPr>
      </w:pPr>
    </w:p>
    <w:p w:rsidR="008B3C4E" w:rsidRDefault="008B3C4E" w:rsidP="008B3C4E">
      <w:pPr>
        <w:pStyle w:val="Subttulo"/>
        <w:rPr>
          <w:rFonts w:ascii="Arial" w:hAnsi="Arial" w:cs="Arial"/>
          <w:kern w:val="0"/>
        </w:rPr>
      </w:pPr>
      <w:r>
        <w:rPr>
          <w:rFonts w:ascii="Arial" w:hAnsi="Arial" w:cs="Arial"/>
          <w:kern w:val="0"/>
        </w:rPr>
        <w:t>Opinión</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En opinión del Tribunal de Cuentas, los estados mencionados presentan razonablemente, en todos sus aspectos importantes, la ejecución presupuestal en relación a los recursos y a los créditos, el resultado del Ejercicio 2012 y el resultado acumulado al 31 de diciembre de 2012, de acuerdo a las normas establecidas en el TOCAF y la Resolución de este Cuerpo de fecha 28/01/04.</w:t>
      </w:r>
    </w:p>
    <w:p w:rsidR="008B3C4E" w:rsidRDefault="008B3C4E" w:rsidP="008B3C4E">
      <w:pPr>
        <w:pStyle w:val="Textoindependiente"/>
        <w:spacing w:after="0" w:line="360" w:lineRule="auto"/>
        <w:rPr>
          <w:rFonts w:cs="Arial"/>
          <w:kern w:val="0"/>
          <w:szCs w:val="24"/>
          <w:lang w:val="es-ES"/>
        </w:rPr>
      </w:pP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8B3C4E" w:rsidRDefault="008B3C4E" w:rsidP="008B3C4E">
      <w:pPr>
        <w:widowControl w:val="0"/>
        <w:spacing w:line="360" w:lineRule="auto"/>
        <w:jc w:val="both"/>
        <w:rPr>
          <w:rFonts w:ascii="Arial" w:hAnsi="Arial" w:cs="Arial"/>
        </w:rPr>
      </w:pPr>
      <w:r>
        <w:rPr>
          <w:rFonts w:ascii="Arial" w:hAnsi="Arial" w:cs="Arial"/>
          <w:b/>
        </w:rPr>
        <w:t xml:space="preserve">1- Artículos 86 de la Constitución de la República y Artículo 15 del TOCAF: </w:t>
      </w:r>
      <w:r>
        <w:rPr>
          <w:rFonts w:ascii="Arial" w:hAnsi="Arial" w:cs="Arial"/>
        </w:rPr>
        <w:t>El retiro incentivado establecido en los artículos 36 y 47 del Presupuesto Quinquenal 2011 – 2015, se ejecutó sin tener asignación presupuestal. Asimismo, su reglamentación no fue sometida a consideración de este Tribunal.</w:t>
      </w:r>
    </w:p>
    <w:p w:rsidR="008B3C4E" w:rsidRDefault="008B3C4E" w:rsidP="008B3C4E">
      <w:pPr>
        <w:spacing w:line="360" w:lineRule="auto"/>
        <w:jc w:val="both"/>
        <w:rPr>
          <w:rFonts w:ascii="Arial" w:hAnsi="Arial" w:cs="Arial"/>
          <w:b/>
          <w:bCs/>
          <w:highlight w:val="yellow"/>
        </w:rPr>
      </w:pPr>
      <w:r>
        <w:rPr>
          <w:rFonts w:ascii="Arial" w:hAnsi="Arial" w:cs="Arial"/>
          <w:b/>
        </w:rPr>
        <w:t>2-</w:t>
      </w:r>
      <w:r>
        <w:rPr>
          <w:rFonts w:ascii="Arial" w:hAnsi="Arial" w:cs="Arial"/>
          <w:b/>
          <w:color w:val="FF0000"/>
        </w:rPr>
        <w:t xml:space="preserve"> </w:t>
      </w:r>
      <w:r>
        <w:rPr>
          <w:rFonts w:ascii="Arial" w:hAnsi="Arial" w:cs="Arial"/>
          <w:b/>
        </w:rPr>
        <w:t>Artículo 297 de la Constitución de la República, Artículos 93 y 94 del Código Tributario, Artículos 236 a 241 de la Ley Nº 13.637,</w:t>
      </w:r>
      <w:r>
        <w:rPr>
          <w:rFonts w:ascii="Arial" w:hAnsi="Arial" w:cs="Arial"/>
          <w:b/>
          <w:color w:val="FF0000"/>
        </w:rPr>
        <w:t xml:space="preserve"> </w:t>
      </w:r>
      <w:r>
        <w:rPr>
          <w:rFonts w:ascii="Arial" w:hAnsi="Arial" w:cs="Arial"/>
          <w:b/>
        </w:rPr>
        <w:t>Artículo 470 de la Ley Nº 17.930 y Artículo 775 de la Ley Nº 18.719:</w:t>
      </w:r>
      <w:r>
        <w:rPr>
          <w:rFonts w:ascii="Arial" w:hAnsi="Arial" w:cs="Arial"/>
        </w:rPr>
        <w:t xml:space="preserve"> Las multas por mora en el pago de la Contribución Inmobiliaria Rural aplicadas por la Comuna no se ajustaron a lo establecido en las citadas normas.</w:t>
      </w:r>
      <w:r>
        <w:rPr>
          <w:rFonts w:ascii="Arial" w:hAnsi="Arial" w:cs="Arial"/>
          <w:color w:val="FF0000"/>
        </w:rPr>
        <w:t xml:space="preserve"> </w:t>
      </w:r>
      <w:r>
        <w:rPr>
          <w:rFonts w:ascii="Arial" w:hAnsi="Arial" w:cs="Arial"/>
        </w:rPr>
        <w:t>El</w:t>
      </w:r>
      <w:r>
        <w:rPr>
          <w:rFonts w:ascii="Arial" w:hAnsi="Arial" w:cs="Arial"/>
          <w:color w:val="FF0000"/>
        </w:rPr>
        <w:t xml:space="preserve"> </w:t>
      </w:r>
      <w:r>
        <w:rPr>
          <w:rFonts w:ascii="Arial" w:hAnsi="Arial" w:cs="Arial"/>
        </w:rPr>
        <w:t xml:space="preserve">Decreto N° 34.036 de fecha 15/12/11, contraviene la normativa al aprobar un régimen de facilidades para </w:t>
      </w:r>
      <w:r>
        <w:rPr>
          <w:rFonts w:ascii="Arial" w:hAnsi="Arial" w:cs="Arial"/>
        </w:rPr>
        <w:lastRenderedPageBreak/>
        <w:t xml:space="preserve">cancelar, entre otras, deudas tributarias por multas por Contribución Inmobiliaria Rural. </w:t>
      </w:r>
    </w:p>
    <w:p w:rsidR="008B3C4E" w:rsidRDefault="008B3C4E" w:rsidP="008B3C4E">
      <w:pPr>
        <w:widowControl w:val="0"/>
        <w:spacing w:line="360" w:lineRule="auto"/>
        <w:jc w:val="both"/>
        <w:rPr>
          <w:rFonts w:ascii="Arial" w:hAnsi="Arial" w:cs="Arial"/>
        </w:rPr>
      </w:pPr>
      <w:r>
        <w:rPr>
          <w:rFonts w:ascii="Arial" w:hAnsi="Arial" w:cs="Arial"/>
          <w:b/>
          <w:bCs/>
        </w:rPr>
        <w:t xml:space="preserve">3- Artículos 15 y 33 del TOCAF y Artículo 211 Literal B) de la Constitución de la República: </w:t>
      </w:r>
      <w:r>
        <w:rPr>
          <w:rFonts w:ascii="Arial" w:hAnsi="Arial" w:cs="Arial"/>
        </w:rPr>
        <w:t>Durante</w:t>
      </w:r>
      <w:r>
        <w:rPr>
          <w:rFonts w:ascii="Arial" w:hAnsi="Arial" w:cs="Arial"/>
          <w:b/>
          <w:bCs/>
        </w:rPr>
        <w:t xml:space="preserve"> </w:t>
      </w:r>
      <w:r>
        <w:rPr>
          <w:rFonts w:ascii="Arial" w:hAnsi="Arial" w:cs="Arial"/>
        </w:rPr>
        <w:t xml:space="preserve">el Ejercicio 2012 el Contador Delegado actuante observó gastos por concepto de publicidad y propaganda, así como algunos de los pagos otorgados a Organizaciones no Gubernamentales, por incumplimiento de lo dispuesto en dichas normas. </w:t>
      </w:r>
    </w:p>
    <w:p w:rsidR="008B3C4E" w:rsidRDefault="008B3C4E" w:rsidP="008B3C4E">
      <w:pPr>
        <w:widowControl w:val="0"/>
        <w:spacing w:line="360" w:lineRule="auto"/>
        <w:jc w:val="both"/>
        <w:rPr>
          <w:rFonts w:ascii="Arial" w:hAnsi="Arial" w:cs="Arial"/>
          <w:color w:val="FF0000"/>
        </w:rPr>
      </w:pPr>
      <w:r>
        <w:rPr>
          <w:rFonts w:ascii="Arial" w:hAnsi="Arial" w:cs="Arial"/>
          <w:b/>
          <w:bCs/>
        </w:rPr>
        <w:t xml:space="preserve">4- Artículo 16 del TOCAF: </w:t>
      </w:r>
      <w:r>
        <w:rPr>
          <w:rFonts w:ascii="Arial" w:hAnsi="Arial" w:cs="Arial"/>
        </w:rPr>
        <w:t>Algunos de los gastos realizados por los Municipios,  fueron observados por el Contador Delegado.</w:t>
      </w:r>
    </w:p>
    <w:p w:rsidR="008B3C4E" w:rsidRDefault="008B3C4E" w:rsidP="008B3C4E">
      <w:pPr>
        <w:widowControl w:val="0"/>
        <w:tabs>
          <w:tab w:val="left" w:pos="284"/>
        </w:tabs>
        <w:spacing w:line="360" w:lineRule="auto"/>
        <w:jc w:val="both"/>
        <w:rPr>
          <w:rFonts w:ascii="Arial" w:hAnsi="Arial" w:cs="Arial"/>
        </w:rPr>
      </w:pPr>
      <w:r>
        <w:rPr>
          <w:rFonts w:ascii="Arial" w:hAnsi="Arial" w:cs="Arial"/>
          <w:b/>
          <w:bCs/>
        </w:rPr>
        <w:t>5- Artículo 33 del TOCAF:</w:t>
      </w:r>
      <w:r>
        <w:rPr>
          <w:rFonts w:ascii="Arial" w:hAnsi="Arial" w:cs="Arial"/>
        </w:rPr>
        <w:t xml:space="preserve"> La Comuna efectuó Contratos de Donación Modal que </w:t>
      </w:r>
      <w:r>
        <w:rPr>
          <w:rFonts w:ascii="Arial" w:hAnsi="Arial" w:cs="Arial"/>
          <w:lang w:val="es-MX"/>
        </w:rPr>
        <w:t>no contienen los elementos que la legislación aplicable establece para su calificación como tales, incurriendo en el incumplimiento de lo</w:t>
      </w:r>
      <w:r>
        <w:rPr>
          <w:rFonts w:ascii="Arial" w:hAnsi="Arial" w:cs="Arial"/>
        </w:rPr>
        <w:t>s procedimientos de contratación establecidos por la reglamentación al tratarse de gastos y no de donaciones modales. Los mismos fueron observados por el Contador Delegado.</w:t>
      </w:r>
    </w:p>
    <w:p w:rsidR="008B3C4E" w:rsidRDefault="008B3C4E" w:rsidP="008B3C4E">
      <w:pPr>
        <w:widowControl w:val="0"/>
        <w:tabs>
          <w:tab w:val="left" w:pos="284"/>
        </w:tabs>
        <w:spacing w:line="360" w:lineRule="auto"/>
        <w:jc w:val="both"/>
        <w:rPr>
          <w:rFonts w:ascii="Arial" w:hAnsi="Arial" w:cs="Arial"/>
        </w:rPr>
      </w:pPr>
      <w:r>
        <w:rPr>
          <w:rFonts w:ascii="Arial" w:hAnsi="Arial" w:cs="Arial"/>
          <w:b/>
          <w:bCs/>
        </w:rPr>
        <w:t>6- Artículo 89 del TOCAF y Resolución de la Intendencia Nº 1.155/97 de 14/04/97:</w:t>
      </w:r>
      <w:r>
        <w:rPr>
          <w:rFonts w:ascii="Arial" w:hAnsi="Arial" w:cs="Arial"/>
          <w:bCs/>
        </w:rPr>
        <w:t xml:space="preserve"> No se dio cumplimiento a lo establecido en la referida norma, al pagar servicios públicos con fondos fijos del Mercado Modelo.</w:t>
      </w:r>
    </w:p>
    <w:p w:rsidR="008B3C4E" w:rsidRDefault="008B3C4E" w:rsidP="008B3C4E">
      <w:pPr>
        <w:spacing w:line="360" w:lineRule="auto"/>
        <w:jc w:val="both"/>
        <w:rPr>
          <w:rFonts w:ascii="Arial" w:hAnsi="Arial" w:cs="Arial"/>
          <w:color w:val="FF0000"/>
          <w:highlight w:val="yellow"/>
        </w:rPr>
      </w:pPr>
      <w:r>
        <w:rPr>
          <w:rFonts w:ascii="Arial" w:hAnsi="Arial" w:cs="Arial"/>
          <w:b/>
          <w:bCs/>
        </w:rPr>
        <w:t>7- Artículos 90, 137 y 154 del TOCAF:</w:t>
      </w:r>
      <w:r>
        <w:rPr>
          <w:rFonts w:ascii="Arial" w:hAnsi="Arial" w:cs="Arial"/>
          <w:b/>
        </w:rPr>
        <w:t xml:space="preserve"> </w:t>
      </w:r>
      <w:r>
        <w:rPr>
          <w:rFonts w:ascii="Arial" w:hAnsi="Arial" w:cs="Arial"/>
        </w:rPr>
        <w:t>La Administración no ha efectuado contrato de fianza o seguro de caución de fidelidad respecto a todo funcionario que custodie fondos o valores. Tampoco se ha contratado cobertura contra riesgo para el emisario subfluvial de Punta Carretas.</w:t>
      </w:r>
    </w:p>
    <w:p w:rsidR="008B3C4E" w:rsidRDefault="008B3C4E" w:rsidP="008B3C4E">
      <w:pPr>
        <w:spacing w:line="360" w:lineRule="auto"/>
        <w:jc w:val="both"/>
        <w:rPr>
          <w:rFonts w:ascii="Arial" w:hAnsi="Arial" w:cs="Arial"/>
          <w:highlight w:val="yellow"/>
        </w:rPr>
      </w:pPr>
      <w:r>
        <w:rPr>
          <w:rFonts w:ascii="Arial" w:hAnsi="Arial" w:cs="Arial"/>
          <w:b/>
          <w:bCs/>
        </w:rPr>
        <w:t xml:space="preserve">8- Artículo 94 del TOCAF y Ordenanza Nº 81 del Tribunal de Cuentas: </w:t>
      </w:r>
      <w:r>
        <w:rPr>
          <w:rFonts w:ascii="Arial" w:hAnsi="Arial" w:cs="Arial"/>
        </w:rPr>
        <w:t>La Intendencia no ha presentado los estados contables establecidos en las citadas normas.</w:t>
      </w:r>
    </w:p>
    <w:p w:rsidR="008B3C4E" w:rsidRDefault="008B3C4E" w:rsidP="008B3C4E">
      <w:pPr>
        <w:spacing w:line="360" w:lineRule="auto"/>
        <w:jc w:val="both"/>
        <w:rPr>
          <w:rFonts w:ascii="Arial" w:hAnsi="Arial" w:cs="Arial"/>
        </w:rPr>
      </w:pPr>
      <w:r>
        <w:rPr>
          <w:rFonts w:ascii="Arial" w:hAnsi="Arial" w:cs="Arial"/>
          <w:b/>
          <w:bCs/>
        </w:rPr>
        <w:t xml:space="preserve">9- Artículo 97 del TOCAF: </w:t>
      </w:r>
      <w:r>
        <w:rPr>
          <w:rFonts w:ascii="Arial" w:hAnsi="Arial" w:cs="Arial"/>
        </w:rPr>
        <w:t>No existe inventario actualizado de los bienes existentes en las distintas dependencias.</w:t>
      </w:r>
    </w:p>
    <w:p w:rsidR="008B3C4E" w:rsidRDefault="008B3C4E" w:rsidP="008B3C4E">
      <w:pPr>
        <w:widowControl w:val="0"/>
        <w:tabs>
          <w:tab w:val="left" w:pos="284"/>
        </w:tabs>
        <w:spacing w:line="360" w:lineRule="auto"/>
        <w:jc w:val="both"/>
        <w:rPr>
          <w:rFonts w:ascii="Arial" w:hAnsi="Arial" w:cs="Arial"/>
        </w:rPr>
      </w:pPr>
      <w:r>
        <w:rPr>
          <w:rFonts w:ascii="Arial" w:hAnsi="Arial" w:cs="Arial"/>
          <w:b/>
        </w:rPr>
        <w:t xml:space="preserve">10- </w:t>
      </w:r>
      <w:r>
        <w:rPr>
          <w:rFonts w:ascii="Arial" w:hAnsi="Arial" w:cs="Arial"/>
          <w:b/>
          <w:bCs/>
        </w:rPr>
        <w:t>Artículos 102 y 119 del TOCAF</w:t>
      </w:r>
      <w:r>
        <w:rPr>
          <w:rFonts w:ascii="Arial" w:hAnsi="Arial" w:cs="Arial"/>
          <w:b/>
        </w:rPr>
        <w:t xml:space="preserve">: </w:t>
      </w:r>
      <w:r>
        <w:rPr>
          <w:rFonts w:ascii="Arial" w:hAnsi="Arial" w:cs="Arial"/>
          <w:bCs/>
        </w:rPr>
        <w:t>La Contaduría General n</w:t>
      </w:r>
      <w:r>
        <w:rPr>
          <w:rFonts w:ascii="Arial" w:hAnsi="Arial" w:cs="Arial"/>
        </w:rPr>
        <w:t xml:space="preserve">o dio cumplimiento a lo dispuesto en las mencionadas normas al no efectuar arqueos de fondos y valores en forma periódica en las distintas dependencias que manejan fondos. </w:t>
      </w:r>
    </w:p>
    <w:p w:rsidR="008B3C4E" w:rsidRDefault="008B3C4E" w:rsidP="008B3C4E">
      <w:pPr>
        <w:widowControl w:val="0"/>
        <w:tabs>
          <w:tab w:val="left" w:pos="284"/>
        </w:tabs>
        <w:spacing w:line="360" w:lineRule="auto"/>
        <w:jc w:val="both"/>
        <w:rPr>
          <w:rFonts w:ascii="Arial" w:hAnsi="Arial" w:cs="Arial"/>
        </w:rPr>
      </w:pPr>
    </w:p>
    <w:p w:rsidR="008B3C4E" w:rsidRDefault="008B3C4E" w:rsidP="008B3C4E">
      <w:pPr>
        <w:widowControl w:val="0"/>
        <w:tabs>
          <w:tab w:val="left" w:pos="284"/>
        </w:tabs>
        <w:spacing w:line="360" w:lineRule="auto"/>
        <w:jc w:val="both"/>
        <w:rPr>
          <w:rFonts w:ascii="Arial" w:hAnsi="Arial" w:cs="Arial"/>
        </w:rPr>
      </w:pPr>
      <w:r>
        <w:rPr>
          <w:rFonts w:ascii="Arial" w:hAnsi="Arial" w:cs="Arial"/>
          <w:b/>
          <w:bCs/>
        </w:rPr>
        <w:lastRenderedPageBreak/>
        <w:t xml:space="preserve">11- Artículo 128 Numeral 1) del TOCAF: </w:t>
      </w:r>
      <w:r>
        <w:rPr>
          <w:rFonts w:ascii="Arial" w:hAnsi="Arial" w:cs="Arial"/>
        </w:rPr>
        <w:t>El estado demostrativo del grado de cumplimiento de objetivos y metas presentado, incluye información parcial sobre las unidades físicas y el porcentaje de cumplimientos alcanzado. Al no presentarse la cuantificación de todas las actividades previstas no se realiza la comparación con las metas programadas en unidades monetarias, no cumpliendo en consecuencia con lo previsto por la referida norma.</w:t>
      </w:r>
    </w:p>
    <w:p w:rsidR="008B3C4E" w:rsidRDefault="008B3C4E" w:rsidP="008B3C4E">
      <w:pPr>
        <w:widowControl w:val="0"/>
        <w:tabs>
          <w:tab w:val="left" w:pos="284"/>
        </w:tabs>
        <w:spacing w:line="360" w:lineRule="auto"/>
        <w:jc w:val="both"/>
        <w:rPr>
          <w:rFonts w:ascii="Arial" w:hAnsi="Arial" w:cs="Arial"/>
        </w:rPr>
      </w:pPr>
      <w:r>
        <w:rPr>
          <w:rFonts w:ascii="Arial" w:hAnsi="Arial" w:cs="Arial"/>
          <w:b/>
          <w:bCs/>
        </w:rPr>
        <w:t>12- Artículo 132 del TOCAF y Resolución Nº 172.738 de la Intendencia de Montevideo:</w:t>
      </w:r>
      <w:r>
        <w:rPr>
          <w:rFonts w:ascii="Arial" w:hAnsi="Arial" w:cs="Arial"/>
        </w:rPr>
        <w:t xml:space="preserve"> La Comisión Administradora del Velódromo Municipal (CAVM) no presenta las correspondientes rendiciones de cuentas documentadas o comprobantes de la utilización o gestión de los fondos y/o bienes municipales que administran. Asimismo, dicha Comisión no presentó el balance anual, incumpliendo lo dispuesto por la Resolución Nº 172.738. </w:t>
      </w:r>
    </w:p>
    <w:p w:rsidR="008B3C4E" w:rsidRDefault="008B3C4E" w:rsidP="008B3C4E">
      <w:pPr>
        <w:widowControl w:val="0"/>
        <w:tabs>
          <w:tab w:val="left" w:pos="284"/>
        </w:tabs>
        <w:spacing w:line="360" w:lineRule="auto"/>
        <w:jc w:val="both"/>
        <w:rPr>
          <w:rFonts w:ascii="Arial" w:hAnsi="Arial" w:cs="Arial"/>
        </w:rPr>
      </w:pPr>
      <w:r>
        <w:rPr>
          <w:rFonts w:ascii="Arial" w:hAnsi="Arial" w:cs="Arial"/>
          <w:b/>
        </w:rPr>
        <w:t>13- Artículo 15 Inciso 3 de la Ley Nº 3.958 (en la redacción dada por el Artículo 278 de la Ley Nº 17.296):</w:t>
      </w:r>
      <w:r>
        <w:rPr>
          <w:rFonts w:ascii="Arial" w:hAnsi="Arial" w:cs="Arial"/>
          <w:bCs/>
        </w:rPr>
        <w:t xml:space="preserve"> </w:t>
      </w:r>
      <w:r>
        <w:rPr>
          <w:rFonts w:ascii="Arial" w:hAnsi="Arial" w:cs="Arial"/>
        </w:rPr>
        <w:t>Durante el transcurso del año 2012, se produjeron diferentes expropiaciones las cuales fueron remitidas a la intervención del Tribunal de Cuentas. Las mismas fueron observadas por este Cuerpo ya que en determinadas expropiaciones se omitió efectuar la publicación en el diario de mayor circulación en el Departamento, tal como lo dispone el Artículo 15 Inciso 3 de la Ley Nº 3.958 (en la redacción dada por el Artículo 278 de la Ley Nº 17.296).</w:t>
      </w:r>
    </w:p>
    <w:p w:rsidR="008B3C4E" w:rsidRDefault="008B3C4E" w:rsidP="008B3C4E">
      <w:pPr>
        <w:widowControl w:val="0"/>
        <w:tabs>
          <w:tab w:val="left" w:pos="284"/>
        </w:tabs>
        <w:spacing w:line="360" w:lineRule="auto"/>
        <w:jc w:val="both"/>
        <w:rPr>
          <w:rFonts w:ascii="Arial" w:hAnsi="Arial" w:cs="Arial"/>
          <w:highlight w:val="yellow"/>
        </w:rPr>
      </w:pPr>
      <w:r>
        <w:rPr>
          <w:rFonts w:ascii="Arial" w:hAnsi="Arial" w:cs="Arial"/>
          <w:b/>
          <w:bCs/>
        </w:rPr>
        <w:t xml:space="preserve">14- Artículo 153 de la Ley Nº 16.713: </w:t>
      </w:r>
      <w:r w:rsidRPr="00143792">
        <w:rPr>
          <w:rFonts w:ascii="Arial" w:hAnsi="Arial" w:cs="Arial"/>
          <w:bCs/>
        </w:rPr>
        <w:t>Durante p</w:t>
      </w:r>
      <w:r w:rsidRPr="00143792">
        <w:rPr>
          <w:rFonts w:ascii="Arial" w:hAnsi="Arial" w:cs="Arial"/>
        </w:rPr>
        <w:t>arte</w:t>
      </w:r>
      <w:r>
        <w:rPr>
          <w:rFonts w:ascii="Arial" w:hAnsi="Arial" w:cs="Arial"/>
        </w:rPr>
        <w:t xml:space="preserve"> del Ejercicio 2012 no se realizaron aportes al BPS por el 50% de las partidas abonadas al personal de la Intendencia, por concepto de conservación de instrumentos y conservación de equipos fotográficos. Las mismas son partidas de naturaleza parcialmente resarcitorias, según lo entendió el Tribunal de lo Contencioso Administrativo (Sentencia Nº 529/2010 del 09/08/10).</w:t>
      </w:r>
    </w:p>
    <w:p w:rsidR="00EC2CFC" w:rsidRDefault="008B3C4E" w:rsidP="008B3C4E">
      <w:pPr>
        <w:widowControl w:val="0"/>
        <w:tabs>
          <w:tab w:val="left" w:pos="284"/>
        </w:tabs>
        <w:spacing w:line="360" w:lineRule="auto"/>
        <w:jc w:val="both"/>
        <w:rPr>
          <w:rFonts w:ascii="Arial" w:hAnsi="Arial" w:cs="Arial"/>
        </w:rPr>
      </w:pPr>
      <w:r>
        <w:rPr>
          <w:rFonts w:ascii="Arial" w:hAnsi="Arial" w:cs="Arial"/>
          <w:b/>
          <w:bCs/>
        </w:rPr>
        <w:t xml:space="preserve">15- Artículo 157 de la Ley N° 16.713 y Resolución del Tribunal de Cuentas de fecha 22/01/03: </w:t>
      </w:r>
      <w:r>
        <w:rPr>
          <w:rFonts w:ascii="Arial" w:hAnsi="Arial" w:cs="Arial"/>
        </w:rPr>
        <w:t>En el Ejercicio 2012 no se efectuaron aportes al BPS por el 100% de las partidas abonadas al personal de la Intendencia por Viáticos Especiales, las cuales según el Tribunal de lo Contencioso Administrativo, son partidas de naturaleza remuneratoria (Sentencia Nº 529/2010 del 09/08/10).</w:t>
      </w:r>
    </w:p>
    <w:p w:rsidR="008B3C4E" w:rsidRDefault="008B3C4E" w:rsidP="008B3C4E">
      <w:pPr>
        <w:widowControl w:val="0"/>
        <w:tabs>
          <w:tab w:val="left" w:pos="284"/>
        </w:tabs>
        <w:spacing w:line="360" w:lineRule="auto"/>
        <w:jc w:val="both"/>
        <w:rPr>
          <w:rFonts w:ascii="Arial" w:hAnsi="Arial" w:cs="Arial"/>
          <w:highlight w:val="yellow"/>
        </w:rPr>
      </w:pPr>
      <w:r>
        <w:rPr>
          <w:rFonts w:ascii="Arial" w:hAnsi="Arial" w:cs="Arial"/>
        </w:rPr>
        <w:t xml:space="preserve"> </w:t>
      </w:r>
    </w:p>
    <w:p w:rsidR="008B3C4E" w:rsidRDefault="008B3C4E" w:rsidP="008B3C4E">
      <w:pPr>
        <w:widowControl w:val="0"/>
        <w:tabs>
          <w:tab w:val="left" w:pos="284"/>
        </w:tabs>
        <w:spacing w:line="360" w:lineRule="auto"/>
        <w:jc w:val="both"/>
        <w:rPr>
          <w:rFonts w:ascii="Arial" w:hAnsi="Arial" w:cs="Arial"/>
        </w:rPr>
      </w:pPr>
      <w:r>
        <w:rPr>
          <w:rFonts w:ascii="Arial" w:hAnsi="Arial" w:cs="Arial"/>
          <w:b/>
          <w:bCs/>
        </w:rPr>
        <w:lastRenderedPageBreak/>
        <w:t xml:space="preserve">16- Artículo 766 inciso 2 de la Ley Nº 16.736: </w:t>
      </w:r>
      <w:r>
        <w:rPr>
          <w:rFonts w:ascii="Arial" w:hAnsi="Arial" w:cs="Arial"/>
        </w:rPr>
        <w:t>La Intendencia mantiene documentos a pagar con vencimientos posteriores a la finalización del período de gobierno.</w:t>
      </w:r>
    </w:p>
    <w:p w:rsidR="008B3C4E" w:rsidRDefault="008B3C4E" w:rsidP="008B3C4E">
      <w:pPr>
        <w:spacing w:line="360" w:lineRule="auto"/>
        <w:jc w:val="both"/>
        <w:rPr>
          <w:rFonts w:ascii="Arial" w:hAnsi="Arial" w:cs="Arial"/>
          <w:b/>
          <w:bCs/>
          <w:color w:val="0000FF"/>
          <w:highlight w:val="yellow"/>
        </w:rPr>
      </w:pPr>
      <w:r>
        <w:rPr>
          <w:rFonts w:ascii="Arial" w:hAnsi="Arial" w:cs="Arial"/>
          <w:b/>
        </w:rPr>
        <w:t xml:space="preserve">17- Resolución del Tribunal de Cuentas de fecha 09/07/96 y Artículo 16 del TOCAF: </w:t>
      </w:r>
      <w:r>
        <w:rPr>
          <w:rFonts w:ascii="Arial" w:hAnsi="Arial" w:cs="Arial"/>
        </w:rPr>
        <w:t xml:space="preserve">Los gastos relativos a la Comisión Administradora del Mercado Modelo (CAMM) referentes a sueldos del personal, fueron imputados en su mayoría (82%) como gastos de funcionamiento y no como retribuciones personales. La citada Resolución establece que la CAMM cumple una actividad municipal en bienes de propiedad municipal, en la que se perciben recursos municipales, por lo tanto todo el régimen de funcionamiento de la misma debe ser bajo la normativa del Derecho Público, con todas las consecuencias que de ello se derivan.  </w:t>
      </w:r>
    </w:p>
    <w:p w:rsidR="008B3C4E" w:rsidRDefault="008B3C4E" w:rsidP="008B3C4E">
      <w:pPr>
        <w:spacing w:line="360" w:lineRule="auto"/>
        <w:jc w:val="both"/>
        <w:rPr>
          <w:rFonts w:ascii="Arial" w:hAnsi="Arial" w:cs="Arial"/>
          <w:snapToGrid w:val="0"/>
        </w:rPr>
      </w:pPr>
      <w:r>
        <w:rPr>
          <w:rFonts w:ascii="Arial" w:hAnsi="Arial" w:cs="Arial"/>
          <w:b/>
          <w:bCs/>
          <w:snapToGrid w:val="0"/>
        </w:rPr>
        <w:t xml:space="preserve">18- Resolución del Tribunal de Cuentas de fecha 28/01/04: </w:t>
      </w:r>
      <w:r>
        <w:rPr>
          <w:rFonts w:ascii="Arial" w:hAnsi="Arial" w:cs="Arial"/>
          <w:snapToGrid w:val="0"/>
        </w:rPr>
        <w:t xml:space="preserve">El documento presentado no se ajusta totalmente en su formulación a lo dispuesto por la citada Resolución, al no incluirse la totalidad de los estados que establece la misma. </w:t>
      </w:r>
    </w:p>
    <w:p w:rsidR="008B3C4E" w:rsidRDefault="008B3C4E" w:rsidP="008B3C4E">
      <w:pPr>
        <w:spacing w:line="360" w:lineRule="auto"/>
        <w:jc w:val="both"/>
        <w:rPr>
          <w:rFonts w:ascii="Arial" w:hAnsi="Arial" w:cs="Arial"/>
          <w:snapToGrid w:val="0"/>
          <w:highlight w:val="yellow"/>
        </w:rPr>
      </w:pPr>
      <w:r>
        <w:rPr>
          <w:rFonts w:ascii="Arial" w:hAnsi="Arial" w:cs="Arial"/>
          <w:b/>
        </w:rPr>
        <w:t xml:space="preserve">19- Resolución del Tribunal de Cuentas de fecha 11/05/05: </w:t>
      </w:r>
      <w:r>
        <w:rPr>
          <w:rFonts w:ascii="Arial" w:hAnsi="Arial" w:cs="Arial"/>
          <w:snapToGrid w:val="0"/>
        </w:rPr>
        <w:t>No se comunicó a este Tribunal lo dispuesto por esta norma, respecto a las concesiones</w:t>
      </w:r>
      <w:r>
        <w:rPr>
          <w:rFonts w:ascii="Arial" w:hAnsi="Arial" w:cs="Arial"/>
          <w:b/>
          <w:bCs/>
          <w:snapToGrid w:val="0"/>
        </w:rPr>
        <w:t xml:space="preserve"> </w:t>
      </w:r>
      <w:r>
        <w:rPr>
          <w:rFonts w:ascii="Arial" w:hAnsi="Arial" w:cs="Arial"/>
          <w:snapToGrid w:val="0"/>
        </w:rPr>
        <w:t>existentes durante el Ejercicio 2012.</w:t>
      </w:r>
    </w:p>
    <w:p w:rsidR="008B3C4E" w:rsidRDefault="008B3C4E" w:rsidP="008B3C4E">
      <w:pPr>
        <w:spacing w:line="360" w:lineRule="auto"/>
        <w:jc w:val="both"/>
        <w:rPr>
          <w:rFonts w:ascii="Arial" w:hAnsi="Arial" w:cs="Arial"/>
          <w:highlight w:val="yellow"/>
        </w:rPr>
      </w:pPr>
      <w:r>
        <w:rPr>
          <w:rFonts w:ascii="Arial" w:hAnsi="Arial" w:cs="Arial"/>
          <w:b/>
          <w:bCs/>
        </w:rPr>
        <w:t>20-</w:t>
      </w:r>
      <w:r>
        <w:rPr>
          <w:rFonts w:ascii="Arial" w:hAnsi="Arial" w:cs="Arial"/>
          <w:b/>
          <w:bCs/>
          <w:lang w:val="es-UY"/>
        </w:rPr>
        <w:t xml:space="preserve"> Ordenanza Nº 62 del Tribunal de Cuentas:</w:t>
      </w:r>
      <w:r>
        <w:rPr>
          <w:rFonts w:ascii="Arial" w:hAnsi="Arial" w:cs="Arial"/>
        </w:rPr>
        <w:t xml:space="preserve"> La Intendencia promulgó un decreto relativo a modificaciones de recursos en forma previa a que este Tribunal se hubiera expedido, no cumpliendo con el procedimiento dispuesto en la citada Ordenanza.</w:t>
      </w:r>
    </w:p>
    <w:p w:rsidR="008B3C4E" w:rsidRDefault="008B3C4E" w:rsidP="008B3C4E">
      <w:pPr>
        <w:pStyle w:val="Textoindependiente3"/>
        <w:jc w:val="both"/>
        <w:rPr>
          <w:rFonts w:ascii="Arial" w:hAnsi="Arial" w:cs="Arial"/>
          <w:b w:val="0"/>
          <w:bCs w:val="0"/>
        </w:rPr>
      </w:pPr>
      <w:r>
        <w:rPr>
          <w:rFonts w:ascii="Arial" w:hAnsi="Arial" w:cs="Arial"/>
          <w:kern w:val="0"/>
          <w:szCs w:val="24"/>
        </w:rPr>
        <w:t xml:space="preserve">21- Decreto Nº 191/007 de fecha 4 de junio de 2007: </w:t>
      </w:r>
      <w:r>
        <w:rPr>
          <w:rFonts w:ascii="Arial" w:hAnsi="Arial" w:cs="Arial"/>
          <w:b w:val="0"/>
          <w:bCs w:val="0"/>
        </w:rPr>
        <w:t xml:space="preserve">La Intendencia no dio publicidad en el sitio web www.comprasestatales.gub.uy de todos los actos de adjudicación de las licitaciones públicas y abreviadas, las contrataciones en régimen de excepción, las ampliaciones de las mismas y los actos de reiteración del gasto por observación del Tribunal de Cuentas. </w:t>
      </w:r>
    </w:p>
    <w:p w:rsidR="008B3C4E" w:rsidRDefault="008B3C4E" w:rsidP="008B3C4E">
      <w:pPr>
        <w:pStyle w:val="Textoindependiente3"/>
        <w:jc w:val="both"/>
        <w:rPr>
          <w:rFonts w:ascii="Arial" w:hAnsi="Arial" w:cs="Arial"/>
          <w:b w:val="0"/>
          <w:bCs w:val="0"/>
          <w:kern w:val="0"/>
          <w:szCs w:val="24"/>
          <w:highlight w:val="yellow"/>
        </w:rPr>
      </w:pPr>
      <w:r>
        <w:rPr>
          <w:rFonts w:ascii="Arial" w:hAnsi="Arial" w:cs="Arial"/>
        </w:rPr>
        <w:t>22- Convenio firmado el 03/12/91 con la Jefatura de Policía de</w:t>
      </w:r>
      <w:r>
        <w:rPr>
          <w:rFonts w:ascii="Arial" w:hAnsi="Arial" w:cs="Arial"/>
          <w:kern w:val="0"/>
          <w:szCs w:val="24"/>
        </w:rPr>
        <w:t xml:space="preserve"> Montevideo: </w:t>
      </w:r>
      <w:r>
        <w:rPr>
          <w:rFonts w:ascii="Arial" w:hAnsi="Arial" w:cs="Arial"/>
          <w:b w:val="0"/>
          <w:bCs w:val="0"/>
          <w:kern w:val="0"/>
          <w:szCs w:val="24"/>
        </w:rPr>
        <w:t>La Intendencia no ha vertido en tiempo y forma los fondos indisponibles, correspondientes a la Jefatura de Policía de Montevideo por multas vehiculares, desde el año 1998.</w:t>
      </w:r>
    </w:p>
    <w:p w:rsidR="008B3C4E" w:rsidRDefault="008B3C4E" w:rsidP="008B3C4E">
      <w:pPr>
        <w:pStyle w:val="Textoindependiente3"/>
        <w:jc w:val="both"/>
        <w:rPr>
          <w:rFonts w:ascii="Arial" w:hAnsi="Arial"/>
          <w:b w:val="0"/>
          <w:bCs w:val="0"/>
          <w:highlight w:val="yellow"/>
        </w:rPr>
      </w:pPr>
      <w:r>
        <w:rPr>
          <w:rFonts w:ascii="Arial" w:hAnsi="Arial" w:cs="Arial"/>
          <w:b w:val="0"/>
          <w:bCs w:val="0"/>
        </w:rPr>
        <w:lastRenderedPageBreak/>
        <w:t>Asimismo durante el Ejercicio, los Contadores Delegados y el Tribunal de Cuentas observaron gastos, los que fueron reiterados por el Ordenador y puestos en conocimiento de la Junta Departamental oportunamente, por los siguientes motivos: Artículo 13 de la Resolución de la Intendencia Nº 1.155/97, Artículos 13, 14, 20, 21, 23 y 63 del TOCAF.</w:t>
      </w:r>
    </w:p>
    <w:p w:rsidR="008B3C4E" w:rsidRDefault="008B3C4E" w:rsidP="008B3C4E">
      <w:pPr>
        <w:spacing w:line="360" w:lineRule="auto"/>
        <w:jc w:val="right"/>
        <w:rPr>
          <w:rFonts w:ascii="Arial" w:hAnsi="Arial" w:cs="Arial"/>
        </w:rPr>
      </w:pPr>
      <w:r>
        <w:rPr>
          <w:rFonts w:ascii="Arial" w:hAnsi="Arial" w:cs="Arial"/>
        </w:rPr>
        <w:t>Mo</w:t>
      </w:r>
      <w:r w:rsidR="00EC2CFC">
        <w:rPr>
          <w:rFonts w:ascii="Arial" w:hAnsi="Arial" w:cs="Arial"/>
        </w:rPr>
        <w:t>ntevideo, 16 de octubre de 2013</w:t>
      </w:r>
    </w:p>
    <w:p w:rsidR="008B3C4E" w:rsidRDefault="008B3C4E" w:rsidP="008B3C4E">
      <w:pPr>
        <w:pStyle w:val="Ttulo"/>
        <w:widowControl w:val="0"/>
        <w:jc w:val="center"/>
        <w:rPr>
          <w:rFonts w:cs="Arial"/>
          <w:sz w:val="24"/>
          <w:highlight w:val="yellow"/>
        </w:rPr>
      </w:pPr>
    </w:p>
    <w:p w:rsidR="008B3C4E" w:rsidRDefault="008B3C4E" w:rsidP="008B3C4E">
      <w:pPr>
        <w:rPr>
          <w:rFonts w:ascii="Arial" w:hAnsi="Arial" w:cs="Arial"/>
          <w:highlight w:val="yellow"/>
        </w:rPr>
      </w:pPr>
    </w:p>
    <w:p w:rsidR="008B3C4E" w:rsidRDefault="008B3C4E" w:rsidP="008B3C4E">
      <w:pPr>
        <w:pStyle w:val="Ttulo"/>
        <w:widowControl w:val="0"/>
        <w:jc w:val="center"/>
        <w:rPr>
          <w:rFonts w:cs="Arial"/>
          <w:sz w:val="24"/>
        </w:rPr>
      </w:pPr>
      <w:bookmarkStart w:id="1" w:name="_Toc368906188"/>
      <w:r>
        <w:rPr>
          <w:rFonts w:cs="Arial"/>
          <w:sz w:val="24"/>
        </w:rPr>
        <w:t xml:space="preserve"> INFORME A LA ADMINISTRACIÓN</w:t>
      </w:r>
      <w:bookmarkEnd w:id="1"/>
    </w:p>
    <w:p w:rsidR="008B3C4E" w:rsidRDefault="008B3C4E" w:rsidP="008B3C4E">
      <w:pPr>
        <w:pStyle w:val="Nombredireccin"/>
        <w:widowControl w:val="0"/>
        <w:spacing w:before="0" w:line="240" w:lineRule="auto"/>
        <w:rPr>
          <w:rFonts w:cs="Arial"/>
          <w:kern w:val="0"/>
          <w:szCs w:val="24"/>
        </w:rPr>
      </w:pPr>
    </w:p>
    <w:p w:rsidR="008B3C4E" w:rsidRDefault="008B3C4E" w:rsidP="008B3C4E">
      <w:pPr>
        <w:widowControl w:val="0"/>
        <w:spacing w:line="360" w:lineRule="auto"/>
        <w:jc w:val="both"/>
        <w:rPr>
          <w:rFonts w:ascii="Arial" w:hAnsi="Arial" w:cs="Arial"/>
        </w:rPr>
      </w:pPr>
      <w:r>
        <w:rPr>
          <w:rFonts w:ascii="Arial" w:hAnsi="Arial" w:cs="Arial"/>
        </w:rPr>
        <w:t xml:space="preserve">El Tribunal de Cuentas ha examinado la Rendición de Cuentas y Balance de Ejecución Presupuestal correspondiente al Ejercicio 2012 y ha emitido su correspondiente Dictamen. </w:t>
      </w:r>
    </w:p>
    <w:p w:rsidR="008B3C4E" w:rsidRDefault="008B3C4E" w:rsidP="008B3C4E">
      <w:pPr>
        <w:widowControl w:val="0"/>
        <w:spacing w:line="360" w:lineRule="auto"/>
        <w:jc w:val="both"/>
        <w:rPr>
          <w:rFonts w:ascii="Arial" w:hAnsi="Arial" w:cs="Arial"/>
        </w:rPr>
      </w:pPr>
      <w:r>
        <w:rPr>
          <w:rFonts w:ascii="Arial" w:hAnsi="Arial" w:cs="Arial"/>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 </w:t>
      </w:r>
    </w:p>
    <w:p w:rsidR="008B3C4E" w:rsidRDefault="008B3C4E" w:rsidP="008B3C4E">
      <w:pPr>
        <w:pStyle w:val="Nombredireccin"/>
        <w:widowControl w:val="0"/>
        <w:spacing w:before="0" w:line="240" w:lineRule="auto"/>
        <w:rPr>
          <w:rFonts w:cs="Arial"/>
          <w:kern w:val="0"/>
          <w:szCs w:val="24"/>
          <w:highlight w:val="yellow"/>
        </w:rPr>
      </w:pPr>
    </w:p>
    <w:p w:rsidR="008B3C4E" w:rsidRDefault="008B3C4E" w:rsidP="008B3C4E">
      <w:pPr>
        <w:pStyle w:val="Ttulo1"/>
        <w:rPr>
          <w:color w:val="FF0000"/>
          <w:kern w:val="1"/>
          <w:highlight w:val="yellow"/>
          <w:lang w:eastAsia="ar-SA"/>
        </w:rPr>
      </w:pPr>
      <w:bookmarkStart w:id="2" w:name="_Toc211365909"/>
      <w:bookmarkStart w:id="3" w:name="_Toc277345231"/>
      <w:bookmarkStart w:id="4" w:name="_Toc368906189"/>
      <w:r>
        <w:rPr>
          <w:kern w:val="1"/>
          <w:lang w:eastAsia="ar-SA"/>
        </w:rPr>
        <w:t>3.1 Resultado Acumulado al 31/12/20</w:t>
      </w:r>
      <w:bookmarkEnd w:id="2"/>
      <w:bookmarkEnd w:id="3"/>
      <w:r>
        <w:rPr>
          <w:kern w:val="1"/>
          <w:lang w:eastAsia="ar-SA"/>
        </w:rPr>
        <w:t>11</w:t>
      </w:r>
      <w:bookmarkEnd w:id="4"/>
    </w:p>
    <w:p w:rsidR="008B3C4E" w:rsidRDefault="008B3C4E" w:rsidP="008B3C4E">
      <w:pPr>
        <w:spacing w:line="360" w:lineRule="auto"/>
        <w:jc w:val="both"/>
        <w:rPr>
          <w:rFonts w:ascii="Arial" w:hAnsi="Arial" w:cs="Arial"/>
          <w:highlight w:val="green"/>
        </w:rPr>
      </w:pPr>
      <w:r>
        <w:rPr>
          <w:rFonts w:ascii="Arial" w:hAnsi="Arial" w:cs="Arial"/>
        </w:rPr>
        <w:t>Al 31/12/11 la Intendencia presentó un déficit acumulado de $ 1.095:490.876 sin incluir la Unidad Ejecutora de Saneamiento ni el Plan de Movilidad Urbana.</w:t>
      </w:r>
    </w:p>
    <w:p w:rsidR="008B3C4E" w:rsidRDefault="008B3C4E" w:rsidP="008B3C4E">
      <w:pPr>
        <w:spacing w:line="360" w:lineRule="auto"/>
        <w:jc w:val="both"/>
        <w:rPr>
          <w:rFonts w:ascii="Arial" w:hAnsi="Arial" w:cs="Arial"/>
          <w:highlight w:val="green"/>
        </w:rPr>
      </w:pPr>
      <w:r>
        <w:rPr>
          <w:rFonts w:ascii="Arial" w:hAnsi="Arial" w:cs="Arial"/>
        </w:rPr>
        <w:t xml:space="preserve">En cumplimiento de lo dictaminado por el Tribunal de Cuentas se incrementó el déficit acumulado por el ajuste de la Junta Departamental de Montevideo en               $ 936.257. </w:t>
      </w:r>
    </w:p>
    <w:p w:rsidR="008B3C4E" w:rsidRDefault="008B3C4E" w:rsidP="008B3C4E">
      <w:pPr>
        <w:spacing w:line="360" w:lineRule="auto"/>
        <w:jc w:val="both"/>
        <w:rPr>
          <w:rFonts w:ascii="Arial" w:hAnsi="Arial" w:cs="Arial"/>
          <w:highlight w:val="green"/>
        </w:rPr>
      </w:pPr>
      <w:r>
        <w:rPr>
          <w:rFonts w:ascii="Arial" w:hAnsi="Arial" w:cs="Arial"/>
        </w:rPr>
        <w:t xml:space="preserve">Además la Intendencia efectuó correctamente otros ajustes al saldo inicial del Resultado Acumulado, tales como: ingresos </w:t>
      </w:r>
      <w:proofErr w:type="spellStart"/>
      <w:r>
        <w:rPr>
          <w:rFonts w:ascii="Arial" w:hAnsi="Arial" w:cs="Arial"/>
        </w:rPr>
        <w:t>extrapresupuestales</w:t>
      </w:r>
      <w:proofErr w:type="spellEnd"/>
      <w:r>
        <w:rPr>
          <w:rFonts w:ascii="Arial" w:hAnsi="Arial" w:cs="Arial"/>
        </w:rPr>
        <w:t xml:space="preserve"> contabilizados como ingresos presupuestales; baja de residuos pasivos </w:t>
      </w:r>
      <w:proofErr w:type="spellStart"/>
      <w:r>
        <w:rPr>
          <w:rFonts w:ascii="Arial" w:hAnsi="Arial" w:cs="Arial"/>
        </w:rPr>
        <w:t>extrapresupuestales</w:t>
      </w:r>
      <w:proofErr w:type="spellEnd"/>
      <w:r>
        <w:rPr>
          <w:rFonts w:ascii="Arial" w:hAnsi="Arial" w:cs="Arial"/>
        </w:rPr>
        <w:t xml:space="preserve"> y presupuestales, depósitos </w:t>
      </w:r>
      <w:proofErr w:type="spellStart"/>
      <w:r>
        <w:rPr>
          <w:rFonts w:ascii="Arial" w:hAnsi="Arial" w:cs="Arial"/>
        </w:rPr>
        <w:t>extrapresupuestales</w:t>
      </w:r>
      <w:proofErr w:type="spellEnd"/>
      <w:r>
        <w:rPr>
          <w:rFonts w:ascii="Arial" w:hAnsi="Arial" w:cs="Arial"/>
        </w:rPr>
        <w:t xml:space="preserve"> registrados como </w:t>
      </w:r>
      <w:r>
        <w:rPr>
          <w:rFonts w:ascii="Arial" w:hAnsi="Arial" w:cs="Arial"/>
        </w:rPr>
        <w:lastRenderedPageBreak/>
        <w:t xml:space="preserve">presupuestales y  juicio con empresa </w:t>
      </w:r>
      <w:proofErr w:type="spellStart"/>
      <w:r>
        <w:rPr>
          <w:rFonts w:ascii="Arial" w:hAnsi="Arial" w:cs="Arial"/>
        </w:rPr>
        <w:t>Stiler</w:t>
      </w:r>
      <w:proofErr w:type="spellEnd"/>
      <w:r>
        <w:rPr>
          <w:rFonts w:ascii="Arial" w:hAnsi="Arial" w:cs="Arial"/>
        </w:rPr>
        <w:t xml:space="preserve">, los cuales conforman un importe de $ 54:068.525 el cual aumenta el referido déficit. </w:t>
      </w:r>
    </w:p>
    <w:p w:rsidR="008B3C4E" w:rsidRDefault="008B3C4E" w:rsidP="008B3C4E">
      <w:pPr>
        <w:spacing w:line="360" w:lineRule="auto"/>
        <w:jc w:val="both"/>
        <w:rPr>
          <w:rFonts w:ascii="Arial" w:hAnsi="Arial" w:cs="Arial"/>
        </w:rPr>
      </w:pPr>
      <w:r>
        <w:rPr>
          <w:rFonts w:ascii="Arial" w:hAnsi="Arial" w:cs="Arial"/>
        </w:rPr>
        <w:t>En virtud de lo expresado, el Resultado Acumulado Ajustado al 31/12/11 es deficitario en $ 1.150:495.658 para la Intendencia de Montevideo sin incluir la Unidad Ejecutora de Saneamiento ni el Plan de Movilidad Urbana.</w:t>
      </w:r>
    </w:p>
    <w:p w:rsidR="00EC2CFC" w:rsidRDefault="00EC2CFC" w:rsidP="008B3C4E">
      <w:pPr>
        <w:spacing w:line="360" w:lineRule="auto"/>
        <w:jc w:val="both"/>
        <w:rPr>
          <w:rFonts w:ascii="Arial" w:hAnsi="Arial" w:cs="Arial"/>
        </w:rPr>
      </w:pPr>
    </w:p>
    <w:p w:rsidR="008B3C4E" w:rsidRDefault="008B3C4E" w:rsidP="008B3C4E">
      <w:pPr>
        <w:pStyle w:val="Ttulo1"/>
      </w:pPr>
      <w:bookmarkStart w:id="5" w:name="_Toc211365910"/>
      <w:bookmarkStart w:id="6" w:name="_Toc277345232"/>
      <w:bookmarkStart w:id="7" w:name="_Toc368906190"/>
      <w:r>
        <w:rPr>
          <w:kern w:val="1"/>
          <w:lang w:eastAsia="ar-SA"/>
        </w:rPr>
        <w:t>3.2 Constataciones que no afectan la opinión respecto a los estados</w:t>
      </w:r>
      <w:bookmarkEnd w:id="5"/>
      <w:bookmarkEnd w:id="6"/>
      <w:bookmarkEnd w:id="7"/>
    </w:p>
    <w:p w:rsidR="008B3C4E" w:rsidRDefault="008B3C4E" w:rsidP="008B3C4E">
      <w:pPr>
        <w:pStyle w:val="Ttulo2"/>
        <w:widowControl w:val="0"/>
        <w:rPr>
          <w:rFonts w:cs="Arial"/>
        </w:rPr>
      </w:pPr>
      <w:bookmarkStart w:id="8" w:name="_Toc211365912"/>
      <w:bookmarkStart w:id="9" w:name="_Toc277345233"/>
      <w:bookmarkStart w:id="10" w:name="_Toc368906191"/>
      <w:r>
        <w:rPr>
          <w:rFonts w:cs="Arial"/>
        </w:rPr>
        <w:t>3.2.1 Ajustes al resultado del Ejercicio y al acumulado al 31/12/</w:t>
      </w:r>
      <w:bookmarkEnd w:id="8"/>
      <w:bookmarkEnd w:id="9"/>
      <w:r>
        <w:rPr>
          <w:rFonts w:cs="Arial"/>
        </w:rPr>
        <w:t>12</w:t>
      </w:r>
      <w:bookmarkEnd w:id="10"/>
    </w:p>
    <w:p w:rsidR="008B3C4E" w:rsidRDefault="008B3C4E" w:rsidP="008B3C4E">
      <w:pPr>
        <w:pStyle w:val="Textoindependiente"/>
        <w:spacing w:after="0" w:line="360" w:lineRule="auto"/>
        <w:rPr>
          <w:kern w:val="0"/>
        </w:rPr>
      </w:pPr>
      <w:r>
        <w:rPr>
          <w:kern w:val="0"/>
        </w:rPr>
        <w:t xml:space="preserve">En oportunidad del estudio de la Rendición de Cuentas de la Junta Departamental por el Ejercicio 2012, se ajustó el total ejecutado por la misma a $ 279:868.537, siendo lo expuesto por la Intendencia de $ 282:644.842. </w:t>
      </w:r>
    </w:p>
    <w:p w:rsidR="008B3C4E" w:rsidRDefault="008B3C4E" w:rsidP="008B3C4E">
      <w:pPr>
        <w:pStyle w:val="Textoindependiente"/>
        <w:spacing w:after="0" w:line="360" w:lineRule="auto"/>
      </w:pPr>
      <w:r>
        <w:t>La Junta Departamental dio de baja obligaciones presupuestales por un importe de $ 53.469 y tuvo en el Ejercicio resultados financieros por ingresos por concesión de cantina, reintegros de seguro de salud, diferencia de cambio, aportes de Organismos Nacionales y otros, por un importe de $ 635.519.</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El resultado del Ejercicio establecido por la Intendencia para el Ejercicio 2012 debe ajustarse en función de las consideraciones anteriores, por lo que el mismo asciende a un déficit de $ 495:182.901, sin incluir la Unidad Ejecutora de Saneamiento ni Plan de Movilidad Urbana.</w:t>
      </w:r>
    </w:p>
    <w:p w:rsidR="008B3C4E" w:rsidRDefault="008B3C4E" w:rsidP="008B3C4E">
      <w:pPr>
        <w:pStyle w:val="Textoindependiente"/>
        <w:spacing w:line="360" w:lineRule="auto"/>
        <w:rPr>
          <w:rFonts w:cs="Arial"/>
          <w:color w:val="FF0000"/>
          <w:kern w:val="0"/>
          <w:szCs w:val="24"/>
          <w:highlight w:val="yellow"/>
          <w:lang w:val="es-ES"/>
        </w:rPr>
      </w:pPr>
      <w:r>
        <w:rPr>
          <w:kern w:val="0"/>
        </w:rPr>
        <w:t>- Esto determina además, modificar el resultado acumulado presentado, el que queda establecido al 31/12/12 en $ 1.645:962.147 de déficit. A su vez, considerando la Unidad Ejecutora de Saneamiento y el Plan de Movilidad Urbana, el déficit asciende a $ 2.607:813.294.</w:t>
      </w:r>
    </w:p>
    <w:p w:rsidR="008B3C4E" w:rsidRDefault="008B3C4E" w:rsidP="008B3C4E">
      <w:pPr>
        <w:widowControl w:val="0"/>
        <w:spacing w:line="360" w:lineRule="auto"/>
        <w:jc w:val="both"/>
        <w:rPr>
          <w:rFonts w:ascii="Arial" w:hAnsi="Arial" w:cs="Arial"/>
        </w:rPr>
      </w:pPr>
      <w:r>
        <w:rPr>
          <w:rFonts w:ascii="Arial" w:hAnsi="Arial" w:cs="Arial"/>
        </w:rPr>
        <w:t>Dicho importe ajustado no incluye:</w:t>
      </w:r>
    </w:p>
    <w:p w:rsidR="008B3C4E" w:rsidRDefault="008B3C4E" w:rsidP="008B3C4E">
      <w:pPr>
        <w:widowControl w:val="0"/>
        <w:numPr>
          <w:ilvl w:val="0"/>
          <w:numId w:val="2"/>
        </w:numPr>
        <w:spacing w:line="360" w:lineRule="auto"/>
        <w:ind w:left="360" w:hanging="360"/>
        <w:jc w:val="both"/>
        <w:rPr>
          <w:rFonts w:ascii="Arial" w:hAnsi="Arial" w:cs="Arial"/>
        </w:rPr>
      </w:pPr>
      <w:r>
        <w:rPr>
          <w:rFonts w:ascii="Arial" w:hAnsi="Arial" w:cs="Arial"/>
        </w:rPr>
        <w:t xml:space="preserve">Inversiones comprometidas y no ejecutadas de la Intendencia de Montevideo las que ascienden a $ 912:322.516,73; las de la Unidad Ejecutora de Saneamiento que ascienden a $ 81:864.207,92 y las del Plan de Movilidad Urbana que ascienden a $ 311:922.828,59. </w:t>
      </w:r>
    </w:p>
    <w:p w:rsidR="008B3C4E" w:rsidRDefault="008B3C4E" w:rsidP="008B3C4E">
      <w:pPr>
        <w:widowControl w:val="0"/>
        <w:numPr>
          <w:ilvl w:val="0"/>
          <w:numId w:val="2"/>
        </w:numPr>
        <w:spacing w:line="360" w:lineRule="auto"/>
        <w:ind w:left="360" w:hanging="360"/>
        <w:jc w:val="both"/>
        <w:rPr>
          <w:rFonts w:ascii="Arial" w:hAnsi="Arial" w:cs="Arial"/>
        </w:rPr>
      </w:pPr>
      <w:r>
        <w:rPr>
          <w:rFonts w:ascii="Arial" w:hAnsi="Arial" w:cs="Arial"/>
        </w:rPr>
        <w:t xml:space="preserve">Obligaciones con el BID al 31/12/12 por concepto de: </w:t>
      </w:r>
      <w:r>
        <w:rPr>
          <w:rFonts w:ascii="Arial" w:hAnsi="Arial" w:cs="Arial"/>
          <w:bCs/>
        </w:rPr>
        <w:t xml:space="preserve">Proyecto </w:t>
      </w:r>
      <w:r>
        <w:rPr>
          <w:rFonts w:ascii="Arial" w:hAnsi="Arial" w:cs="Arial"/>
          <w:bCs/>
          <w:spacing w:val="-12"/>
        </w:rPr>
        <w:t xml:space="preserve">Saneamiento II, </w:t>
      </w:r>
      <w:r>
        <w:rPr>
          <w:rFonts w:ascii="Arial" w:hAnsi="Arial" w:cs="Arial"/>
        </w:rPr>
        <w:t xml:space="preserve">Proyecto de Saneamiento III, Proyecto de Saneamiento IV y Programa de Movilidad Urbana, que ascienden a U$S 204:257.037, las que expresadas </w:t>
      </w:r>
      <w:r>
        <w:rPr>
          <w:rFonts w:ascii="Arial" w:hAnsi="Arial" w:cs="Arial"/>
        </w:rPr>
        <w:lastRenderedPageBreak/>
        <w:t xml:space="preserve">en pesos uruguayos equivalen a $ 3.965:613.260. </w:t>
      </w:r>
    </w:p>
    <w:p w:rsidR="008B3C4E" w:rsidRDefault="008B3C4E" w:rsidP="008B3C4E">
      <w:pPr>
        <w:widowControl w:val="0"/>
        <w:numPr>
          <w:ilvl w:val="0"/>
          <w:numId w:val="2"/>
        </w:numPr>
        <w:spacing w:line="360" w:lineRule="auto"/>
        <w:jc w:val="both"/>
        <w:rPr>
          <w:rFonts w:ascii="Arial" w:hAnsi="Arial" w:cs="Arial"/>
          <w:color w:val="FF0000"/>
        </w:rPr>
      </w:pPr>
      <w:r>
        <w:rPr>
          <w:rFonts w:ascii="Arial" w:hAnsi="Arial" w:cs="Arial"/>
        </w:rPr>
        <w:t xml:space="preserve">Inversiones pagadas, no ejecutadas y sin afectación de créditos  correspondientes al contrato N° 1471 con </w:t>
      </w:r>
      <w:proofErr w:type="spellStart"/>
      <w:r>
        <w:rPr>
          <w:rFonts w:ascii="Arial" w:hAnsi="Arial" w:cs="Arial"/>
        </w:rPr>
        <w:t>Grinor</w:t>
      </w:r>
      <w:proofErr w:type="spellEnd"/>
      <w:r>
        <w:rPr>
          <w:rFonts w:ascii="Arial" w:hAnsi="Arial" w:cs="Arial"/>
        </w:rPr>
        <w:t xml:space="preserve"> S.A. por un importe de       U$S 4:782.179.</w:t>
      </w:r>
    </w:p>
    <w:p w:rsidR="008B3C4E" w:rsidRDefault="008B3C4E" w:rsidP="008B3C4E">
      <w:pPr>
        <w:widowControl w:val="0"/>
        <w:spacing w:line="360" w:lineRule="auto"/>
        <w:jc w:val="both"/>
        <w:rPr>
          <w:rFonts w:ascii="Arial" w:hAnsi="Arial" w:cs="Arial"/>
        </w:rPr>
      </w:pPr>
    </w:p>
    <w:p w:rsidR="008B3C4E" w:rsidRDefault="008B3C4E" w:rsidP="008B3C4E">
      <w:pPr>
        <w:pStyle w:val="Ttulo2"/>
        <w:widowControl w:val="0"/>
        <w:rPr>
          <w:rFonts w:cs="Arial"/>
          <w:highlight w:val="yellow"/>
        </w:rPr>
      </w:pPr>
      <w:bookmarkStart w:id="11" w:name="_Toc211365914"/>
      <w:bookmarkStart w:id="12" w:name="_Toc277345234"/>
      <w:bookmarkStart w:id="13" w:name="_Toc368906192"/>
      <w:r>
        <w:rPr>
          <w:rFonts w:cs="Arial"/>
        </w:rPr>
        <w:t>3.2.2 Juicios contra la Intendencia</w:t>
      </w:r>
      <w:bookmarkEnd w:id="11"/>
      <w:bookmarkEnd w:id="12"/>
      <w:bookmarkEnd w:id="13"/>
    </w:p>
    <w:p w:rsidR="008B3C4E" w:rsidRDefault="008B3C4E" w:rsidP="008B3C4E">
      <w:pPr>
        <w:pStyle w:val="Textoindependiente"/>
        <w:widowControl w:val="0"/>
        <w:spacing w:after="0" w:line="360" w:lineRule="auto"/>
        <w:rPr>
          <w:kern w:val="0"/>
        </w:rPr>
      </w:pPr>
      <w:bookmarkStart w:id="14" w:name="_Toc211365915"/>
      <w:r>
        <w:rPr>
          <w:kern w:val="0"/>
        </w:rPr>
        <w:t>Se solicitó información respecto a los juicios pendientes que mantenía esta Intendencia al 31/12/12. Según consta en nota de fecha 13/06/13, y que fuera incluida en el documento de la Rendición, la Directora del Servicio de Actividades Contenciosas, informa que en el 2012 se tramitaron 872 juicios contra el Organismo, de los cuales 424 carecen de contenido económico. Por los 448 restantes se pretende un total de $</w:t>
      </w:r>
      <w:r>
        <w:t>1.116:001.135,69</w:t>
      </w:r>
      <w:r>
        <w:rPr>
          <w:kern w:val="0"/>
        </w:rPr>
        <w:t>; U$S</w:t>
      </w:r>
      <w:r>
        <w:t>22:750.021,73 y Euros 74.955</w:t>
      </w:r>
      <w:r>
        <w:rPr>
          <w:kern w:val="0"/>
        </w:rPr>
        <w:t>; pero dado que se encuentran en trámite resulta imposible estimar los importes a pagar. Las eventuales erogaciones resultantes, no forman parte del Resultado Acumulado al 31/12/12.</w:t>
      </w:r>
    </w:p>
    <w:p w:rsidR="008B3C4E" w:rsidRDefault="008B3C4E" w:rsidP="008B3C4E">
      <w:pPr>
        <w:pStyle w:val="Textoindependiente"/>
        <w:widowControl w:val="0"/>
        <w:spacing w:after="0" w:line="360" w:lineRule="auto"/>
        <w:rPr>
          <w:color w:val="FF0000"/>
          <w:highlight w:val="yellow"/>
        </w:rPr>
      </w:pPr>
    </w:p>
    <w:p w:rsidR="008B3C4E" w:rsidRDefault="008B3C4E" w:rsidP="008B3C4E">
      <w:pPr>
        <w:pStyle w:val="Ttulo2"/>
        <w:widowControl w:val="0"/>
        <w:rPr>
          <w:rFonts w:cs="Arial"/>
        </w:rPr>
      </w:pPr>
      <w:bookmarkStart w:id="15" w:name="_Toc277345235"/>
      <w:bookmarkStart w:id="16" w:name="_Toc368906193"/>
      <w:bookmarkEnd w:id="14"/>
      <w:r>
        <w:rPr>
          <w:rFonts w:cs="Arial"/>
        </w:rPr>
        <w:t>3.2.3 Seguro emisario subacuático</w:t>
      </w:r>
      <w:bookmarkEnd w:id="15"/>
      <w:bookmarkEnd w:id="16"/>
    </w:p>
    <w:p w:rsidR="008B3C4E" w:rsidRDefault="008B3C4E" w:rsidP="008B3C4E">
      <w:pPr>
        <w:pStyle w:val="Textoindependiente"/>
        <w:widowControl w:val="0"/>
        <w:spacing w:after="0" w:line="360" w:lineRule="auto"/>
        <w:rPr>
          <w:rFonts w:cs="Arial"/>
          <w:kern w:val="0"/>
          <w:szCs w:val="24"/>
          <w:highlight w:val="yellow"/>
          <w:lang w:val="es-ES"/>
        </w:rPr>
      </w:pPr>
      <w:r>
        <w:rPr>
          <w:rFonts w:cs="Arial"/>
          <w:kern w:val="0"/>
          <w:szCs w:val="24"/>
          <w:lang w:val="es-ES"/>
        </w:rPr>
        <w:t xml:space="preserve">El emisario subacuático del sistema de saneamiento de Montevideo, ubicado en Punta Carretas, no tiene seguro contratado desde el 05/11/03, ya que el BSE no procedió a la renovación del mismo debido a las fallas detectadas. </w:t>
      </w:r>
      <w:bookmarkStart w:id="17" w:name="_Toc211365917"/>
    </w:p>
    <w:p w:rsidR="008B3C4E" w:rsidRDefault="008B3C4E" w:rsidP="008B3C4E">
      <w:pPr>
        <w:pStyle w:val="Textoindependiente"/>
        <w:widowControl w:val="0"/>
        <w:spacing w:after="0" w:line="360" w:lineRule="auto"/>
        <w:rPr>
          <w:rFonts w:cs="Arial"/>
          <w:color w:val="FF0000"/>
          <w:kern w:val="0"/>
          <w:szCs w:val="24"/>
          <w:lang w:val="es-ES"/>
        </w:rPr>
      </w:pPr>
    </w:p>
    <w:p w:rsidR="008B3C4E" w:rsidRDefault="008B3C4E" w:rsidP="008B3C4E">
      <w:pPr>
        <w:pStyle w:val="Ttulo2"/>
        <w:widowControl w:val="0"/>
        <w:rPr>
          <w:rFonts w:cs="Arial"/>
        </w:rPr>
      </w:pPr>
      <w:bookmarkStart w:id="18" w:name="_Toc277345237"/>
      <w:bookmarkStart w:id="19" w:name="_Toc368906194"/>
      <w:r>
        <w:rPr>
          <w:rFonts w:cs="Arial"/>
        </w:rPr>
        <w:t>3.2.4 Unidad de Auditoría Interna</w:t>
      </w:r>
      <w:bookmarkEnd w:id="18"/>
      <w:bookmarkEnd w:id="19"/>
    </w:p>
    <w:p w:rsidR="008B3C4E" w:rsidRDefault="008B3C4E" w:rsidP="008B3C4E">
      <w:pPr>
        <w:pStyle w:val="Textoindependiente"/>
        <w:widowControl w:val="0"/>
        <w:spacing w:after="0" w:line="360" w:lineRule="auto"/>
        <w:rPr>
          <w:rFonts w:cs="Arial"/>
          <w:highlight w:val="yellow"/>
          <w:lang w:val="es-ES"/>
        </w:rPr>
      </w:pPr>
      <w:r>
        <w:rPr>
          <w:rFonts w:cs="Arial"/>
          <w:lang w:val="es-ES"/>
        </w:rPr>
        <w:t>Del relevamiento efectuado de las tareas desarrolladas por esta Unidad, se verifica que no cumple con todas aquellas que le fueron asignadas por la Resolución de 13/08/01, ni cuenta con los recursos humanos necesarios a efectos de que los procedimientos que se ejecuten, provean de evidencia sustantiva directa sobre los errores e irregularidades que puedan presentarse en el Organismo.</w:t>
      </w:r>
    </w:p>
    <w:p w:rsidR="008B3C4E" w:rsidRDefault="008B3C4E" w:rsidP="008B3C4E">
      <w:pPr>
        <w:pStyle w:val="Textoindependiente"/>
        <w:widowControl w:val="0"/>
        <w:spacing w:after="0" w:line="240" w:lineRule="auto"/>
        <w:rPr>
          <w:rFonts w:cs="Arial"/>
          <w:highlight w:val="yellow"/>
          <w:lang w:val="es-ES"/>
        </w:rPr>
      </w:pPr>
    </w:p>
    <w:p w:rsidR="008B3C4E" w:rsidRDefault="008B3C4E" w:rsidP="008B3C4E">
      <w:pPr>
        <w:pStyle w:val="Ttulo1"/>
        <w:rPr>
          <w:kern w:val="1"/>
          <w:lang w:eastAsia="ar-SA"/>
        </w:rPr>
      </w:pPr>
      <w:bookmarkStart w:id="20" w:name="_Toc277345238"/>
      <w:bookmarkStart w:id="21" w:name="_Toc368906195"/>
      <w:r>
        <w:rPr>
          <w:kern w:val="1"/>
          <w:lang w:eastAsia="ar-SA"/>
        </w:rPr>
        <w:t>3.3 Incumplimiento de Normas</w:t>
      </w:r>
      <w:bookmarkEnd w:id="20"/>
      <w:bookmarkEnd w:id="21"/>
      <w:r>
        <w:rPr>
          <w:kern w:val="1"/>
          <w:lang w:eastAsia="ar-SA"/>
        </w:rPr>
        <w:t xml:space="preserve"> </w:t>
      </w:r>
      <w:bookmarkEnd w:id="17"/>
    </w:p>
    <w:p w:rsidR="008B3C4E" w:rsidRDefault="008B3C4E" w:rsidP="008B3C4E">
      <w:pPr>
        <w:widowControl w:val="0"/>
        <w:spacing w:line="360" w:lineRule="auto"/>
        <w:jc w:val="both"/>
        <w:rPr>
          <w:rFonts w:ascii="Arial" w:hAnsi="Arial" w:cs="Arial"/>
          <w:highlight w:val="yellow"/>
        </w:rPr>
      </w:pPr>
      <w:bookmarkStart w:id="22" w:name="_Toc277345239"/>
      <w:r>
        <w:rPr>
          <w:rFonts w:ascii="Arial" w:hAnsi="Arial" w:cs="Arial"/>
        </w:rPr>
        <w:t>En relación al incumplimiento de normas, corresponde realizar las siguientes precisiones:</w:t>
      </w:r>
    </w:p>
    <w:p w:rsidR="008B3C4E" w:rsidRDefault="008B3C4E" w:rsidP="008B3C4E">
      <w:pPr>
        <w:pStyle w:val="Ttulo2"/>
        <w:widowControl w:val="0"/>
        <w:rPr>
          <w:rFonts w:cs="Arial"/>
        </w:rPr>
      </w:pPr>
      <w:bookmarkStart w:id="23" w:name="_Toc368906196"/>
      <w:r>
        <w:rPr>
          <w:rFonts w:cs="Arial"/>
        </w:rPr>
        <w:lastRenderedPageBreak/>
        <w:t>3.3.1 Retiros Incentivados</w:t>
      </w:r>
      <w:bookmarkEnd w:id="22"/>
      <w:bookmarkEnd w:id="23"/>
      <w:r>
        <w:rPr>
          <w:rFonts w:cs="Arial"/>
        </w:rPr>
        <w:t xml:space="preserve"> </w:t>
      </w:r>
    </w:p>
    <w:p w:rsidR="008B3C4E" w:rsidRDefault="008B3C4E" w:rsidP="008B3C4E">
      <w:pPr>
        <w:widowControl w:val="0"/>
        <w:spacing w:line="360" w:lineRule="auto"/>
        <w:jc w:val="both"/>
        <w:rPr>
          <w:rFonts w:ascii="Arial" w:hAnsi="Arial" w:cs="Arial"/>
        </w:rPr>
      </w:pPr>
      <w:r>
        <w:rPr>
          <w:rFonts w:ascii="Arial" w:hAnsi="Arial" w:cs="Arial"/>
        </w:rPr>
        <w:t>El Artículo 47 del Presupuesto Quinquenal 2011-2015 faculta a la Intendencia a establecer un plan especial de retiro para los funcionarios de casino con causal jubilatoria mediante el otorgamiento de incentivos, sin establecer las condiciones del mismo.</w:t>
      </w:r>
    </w:p>
    <w:p w:rsidR="008B3C4E" w:rsidRDefault="008B3C4E" w:rsidP="008B3C4E">
      <w:pPr>
        <w:pStyle w:val="Textoindependiente"/>
        <w:widowControl w:val="0"/>
        <w:spacing w:after="0" w:line="360" w:lineRule="auto"/>
        <w:rPr>
          <w:rFonts w:cs="Arial"/>
          <w:bCs/>
          <w:kern w:val="0"/>
          <w:szCs w:val="24"/>
          <w:lang w:val="es-ES"/>
        </w:rPr>
      </w:pPr>
      <w:r>
        <w:rPr>
          <w:rFonts w:cs="Arial"/>
          <w:bCs/>
          <w:kern w:val="0"/>
          <w:szCs w:val="24"/>
          <w:lang w:val="es-ES"/>
        </w:rPr>
        <w:t xml:space="preserve">Asimismo, la reglamentación de lo dispuesto en el Artículo 36 no fue remitida a consideración de este Cuerpo. No obstante, la Intendencia abonó                       $ 125:675.125,28 por este concepto durante el Ejercicio 2012, sin que existiera disponibilidad presupuestal. </w:t>
      </w:r>
    </w:p>
    <w:p w:rsidR="008B3C4E" w:rsidRDefault="008B3C4E" w:rsidP="008B3C4E">
      <w:pPr>
        <w:pStyle w:val="Nombredireccin"/>
        <w:widowControl w:val="0"/>
        <w:spacing w:before="0" w:line="360" w:lineRule="auto"/>
        <w:rPr>
          <w:rFonts w:cs="Arial"/>
          <w:bCs/>
          <w:lang w:val="es-ES_tradnl"/>
        </w:rPr>
      </w:pPr>
      <w:r>
        <w:rPr>
          <w:rFonts w:cs="Arial"/>
          <w:bCs/>
          <w:lang w:val="es-ES_tradnl"/>
        </w:rPr>
        <w:t>Por lo expuesto, los incentivos mencionados no cumplieron con lo establecido en los Artículos 86 y 228 de la Constitución de la República y Artículo 15 del TOCAF.</w:t>
      </w:r>
    </w:p>
    <w:p w:rsidR="008B3C4E" w:rsidRDefault="008B3C4E" w:rsidP="008B3C4E">
      <w:pPr>
        <w:rPr>
          <w:lang w:val="es-ES_tradnl"/>
        </w:rPr>
      </w:pPr>
    </w:p>
    <w:p w:rsidR="008B3C4E" w:rsidRDefault="008B3C4E" w:rsidP="008B3C4E">
      <w:pPr>
        <w:pStyle w:val="Ttulo2"/>
        <w:widowControl w:val="0"/>
        <w:rPr>
          <w:rFonts w:cs="Arial"/>
          <w:highlight w:val="yellow"/>
        </w:rPr>
      </w:pPr>
      <w:bookmarkStart w:id="24" w:name="_Toc211365922"/>
      <w:bookmarkStart w:id="25" w:name="_Toc277345240"/>
      <w:bookmarkStart w:id="26" w:name="_Toc368906197"/>
      <w:r>
        <w:rPr>
          <w:rFonts w:cs="Arial"/>
        </w:rPr>
        <w:t>3.3.2 Artículo 297 de la Constitución de la República, Artículos 93 y 94 del Código Tributario, Artículos 236 a 241 de la Ley N° 13.637, Artículo 470 de la Ley N° 17.930</w:t>
      </w:r>
      <w:bookmarkEnd w:id="24"/>
      <w:bookmarkEnd w:id="25"/>
      <w:r>
        <w:rPr>
          <w:rFonts w:cs="Arial"/>
        </w:rPr>
        <w:t xml:space="preserve"> y Artículo 775 de la Ley Nº 18.719.</w:t>
      </w:r>
      <w:bookmarkEnd w:id="26"/>
    </w:p>
    <w:p w:rsidR="008B3C4E" w:rsidRDefault="008B3C4E" w:rsidP="008B3C4E">
      <w:pPr>
        <w:pStyle w:val="Textoindependiente"/>
        <w:widowControl w:val="0"/>
        <w:spacing w:after="0" w:line="360" w:lineRule="auto"/>
        <w:rPr>
          <w:rFonts w:cs="Arial"/>
        </w:rPr>
      </w:pPr>
      <w:r>
        <w:rPr>
          <w:rFonts w:cs="Arial"/>
        </w:rPr>
        <w:t>La alícuota aplicada para las multas con relación a la Contribución Inmobiliaria Rural es de un 1,5% diario hasta el décimo día en que queda fija en el 15%, en tanto que el recargo por mora vigente es del 2% mensual capitalizable.</w:t>
      </w:r>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 xml:space="preserve">La multa por mora tiene naturaleza punitiva, por lo que, su establecimiento así como su exoneración y/o quitas en el caso de este tributo, corresponden a la ley nacional, no siendo materia de regulación departamental. </w:t>
      </w:r>
    </w:p>
    <w:p w:rsidR="008B3C4E" w:rsidRDefault="008B3C4E" w:rsidP="008B3C4E">
      <w:pPr>
        <w:spacing w:line="360" w:lineRule="auto"/>
        <w:jc w:val="both"/>
        <w:rPr>
          <w:rFonts w:ascii="Arial" w:hAnsi="Arial" w:cs="Arial"/>
          <w:b/>
          <w:bCs/>
          <w:color w:val="FF0000"/>
        </w:rPr>
      </w:pPr>
      <w:r>
        <w:rPr>
          <w:rFonts w:ascii="Arial" w:hAnsi="Arial" w:cs="Arial"/>
        </w:rPr>
        <w:t>Asimismo, el</w:t>
      </w:r>
      <w:r>
        <w:rPr>
          <w:rFonts w:ascii="Arial" w:hAnsi="Arial" w:cs="Arial"/>
          <w:color w:val="FF0000"/>
        </w:rPr>
        <w:t xml:space="preserve"> </w:t>
      </w:r>
      <w:r>
        <w:rPr>
          <w:rFonts w:ascii="Arial" w:hAnsi="Arial" w:cs="Arial"/>
        </w:rPr>
        <w:t xml:space="preserve">Decreto N° 34.036 de fecha 15/12/11, contraviene la normativa al aprobar un régimen de facilidades para cancelar, entre otras, deudas tributarias por multas por Contribución Inmobiliaria Rural. </w:t>
      </w:r>
    </w:p>
    <w:p w:rsidR="008B3C4E" w:rsidRDefault="008B3C4E" w:rsidP="008B3C4E">
      <w:pPr>
        <w:widowControl w:val="0"/>
        <w:spacing w:line="360" w:lineRule="auto"/>
        <w:jc w:val="both"/>
        <w:rPr>
          <w:rFonts w:ascii="Arial" w:hAnsi="Arial"/>
          <w:bCs/>
          <w:highlight w:val="yellow"/>
        </w:rPr>
      </w:pPr>
      <w:r>
        <w:rPr>
          <w:rFonts w:ascii="Arial" w:hAnsi="Arial" w:cs="Arial"/>
          <w:iCs/>
          <w:lang w:val="es-MX"/>
        </w:rPr>
        <w:t>La regulación de los descuentos y bonificaciones excede la potestad tributaria del gobierno departamental por cuanto el citado impuesto tiene origen legal de carácter nacional siendo competencia del legislador nacional el establecimiento de tales bonificaciones y descuentos. No se cumplió con lo que establece</w:t>
      </w:r>
      <w:r>
        <w:rPr>
          <w:rFonts w:ascii="Arial" w:hAnsi="Arial"/>
          <w:bCs/>
        </w:rPr>
        <w:t xml:space="preserve"> el Artículo 775 de la Ley Nº 18.719, que dispone: “Facúltese a los Gobiernos Departamentales, previa autorización del Ministerio de Economía y Finanzas, a establecer, con respecto a la contribución inmobiliaria rural, iguales planes de </w:t>
      </w:r>
      <w:r>
        <w:rPr>
          <w:rFonts w:ascii="Arial" w:hAnsi="Arial"/>
          <w:bCs/>
        </w:rPr>
        <w:lastRenderedPageBreak/>
        <w:t xml:space="preserve">regularización de adeudos a los establecidos para la contribución urbana y suburbana”. </w:t>
      </w:r>
    </w:p>
    <w:p w:rsidR="008B3C4E" w:rsidRDefault="008B3C4E" w:rsidP="008B3C4E">
      <w:pPr>
        <w:widowControl w:val="0"/>
        <w:spacing w:line="360" w:lineRule="auto"/>
        <w:jc w:val="both"/>
        <w:rPr>
          <w:rFonts w:ascii="Arial" w:hAnsi="Arial" w:cs="Arial"/>
          <w:b/>
          <w:bCs/>
          <w:highlight w:val="yellow"/>
          <w:lang w:val="es-MX"/>
        </w:rPr>
      </w:pPr>
    </w:p>
    <w:p w:rsidR="008B3C4E" w:rsidRDefault="008B3C4E" w:rsidP="008B3C4E">
      <w:pPr>
        <w:pStyle w:val="Ttulo2"/>
      </w:pPr>
      <w:bookmarkStart w:id="27" w:name="_Toc211365918"/>
      <w:bookmarkStart w:id="28" w:name="_Toc277345241"/>
      <w:bookmarkStart w:id="29" w:name="_Toc368906198"/>
      <w:r>
        <w:rPr>
          <w:lang w:val="es-MX"/>
        </w:rPr>
        <w:t>3.3.3 Arqueos</w:t>
      </w:r>
      <w:r>
        <w:t xml:space="preserve"> de Fondos y Valores</w:t>
      </w:r>
      <w:bookmarkEnd w:id="27"/>
      <w:bookmarkEnd w:id="28"/>
      <w:bookmarkEnd w:id="29"/>
      <w:r>
        <w:t xml:space="preserve"> </w:t>
      </w:r>
    </w:p>
    <w:p w:rsidR="008B3C4E" w:rsidRDefault="008B3C4E" w:rsidP="008B3C4E">
      <w:pPr>
        <w:widowControl w:val="0"/>
        <w:spacing w:line="360" w:lineRule="auto"/>
        <w:jc w:val="both"/>
        <w:rPr>
          <w:rFonts w:ascii="Arial" w:hAnsi="Arial" w:cs="Arial"/>
          <w:lang w:val="es-MX"/>
        </w:rPr>
      </w:pPr>
      <w:r>
        <w:rPr>
          <w:rFonts w:ascii="Arial" w:hAnsi="Arial"/>
        </w:rPr>
        <w:t>La Unidad Central de Auditoría Interna efectúo 12 arqueos durante el Ejercicio 2012.</w:t>
      </w:r>
      <w:r>
        <w:rPr>
          <w:rFonts w:ascii="Arial" w:hAnsi="Arial" w:cs="Arial"/>
          <w:lang w:val="es-MX"/>
        </w:rPr>
        <w:t xml:space="preserve"> No se efectuaron una cantidad suficiente de</w:t>
      </w:r>
      <w:r>
        <w:rPr>
          <w:rFonts w:ascii="Arial" w:hAnsi="Arial"/>
        </w:rPr>
        <w:t xml:space="preserve"> arqueos en forma periódica en las distintas dependencias que manejan fondos,</w:t>
      </w:r>
      <w:r>
        <w:rPr>
          <w:rFonts w:ascii="Arial" w:hAnsi="Arial" w:cs="Arial"/>
          <w:lang w:val="es-MX"/>
        </w:rPr>
        <w:t xml:space="preserve"> a efectos de dar un adecuado cumplimiento a lo dispuesto por los Artículos 102 y 119 del TOCAF.</w:t>
      </w:r>
    </w:p>
    <w:p w:rsidR="008B3C4E" w:rsidRDefault="008B3C4E" w:rsidP="008B3C4E">
      <w:pPr>
        <w:widowControl w:val="0"/>
        <w:spacing w:line="360" w:lineRule="auto"/>
        <w:jc w:val="both"/>
        <w:rPr>
          <w:rFonts w:ascii="Arial" w:hAnsi="Arial" w:cs="Arial"/>
          <w:highlight w:val="yellow"/>
          <w:lang w:val="es-MX"/>
        </w:rPr>
      </w:pPr>
    </w:p>
    <w:p w:rsidR="008B3C4E" w:rsidRDefault="008B3C4E" w:rsidP="008B3C4E">
      <w:pPr>
        <w:pStyle w:val="Ttulo2"/>
        <w:rPr>
          <w:rFonts w:cs="Arial"/>
        </w:rPr>
      </w:pPr>
      <w:bookmarkStart w:id="30" w:name="_Toc368906199"/>
      <w:r>
        <w:rPr>
          <w:bCs/>
        </w:rPr>
        <w:t>3.3.4</w:t>
      </w:r>
      <w:r>
        <w:t xml:space="preserve"> Expropiaciones</w:t>
      </w:r>
      <w:bookmarkEnd w:id="30"/>
    </w:p>
    <w:p w:rsidR="008B3C4E" w:rsidRDefault="008B3C4E" w:rsidP="008B3C4E">
      <w:pPr>
        <w:pStyle w:val="Textoindependiente"/>
        <w:spacing w:after="0" w:line="360" w:lineRule="auto"/>
        <w:rPr>
          <w:rFonts w:cs="Arial"/>
        </w:rPr>
      </w:pPr>
      <w:r>
        <w:rPr>
          <w:rFonts w:cs="Arial"/>
        </w:rPr>
        <w:t>El Artículo 15 de la Ley Nº 3.958 en su Inciso 3) (en redacción conferida por el Artículo 278 de la Ley Nº 17.296), dispone la realización de emplazamiento, el que se hará por publicaciones a través de edictos con las indicaciones del caso sobre el inmueble a expropiar, publicándose en el Diario Oficial y en un periódico de los de mayor circulación en el Departamento, lo que no fue realizado.</w:t>
      </w:r>
    </w:p>
    <w:p w:rsidR="008B3C4E" w:rsidRDefault="008B3C4E" w:rsidP="008B3C4E">
      <w:pPr>
        <w:widowControl w:val="0"/>
        <w:spacing w:line="360" w:lineRule="auto"/>
        <w:jc w:val="both"/>
        <w:rPr>
          <w:rFonts w:ascii="Arial" w:hAnsi="Arial" w:cs="Arial"/>
          <w:highlight w:val="yellow"/>
          <w:lang w:val="es-ES_tradnl"/>
        </w:rPr>
      </w:pPr>
    </w:p>
    <w:p w:rsidR="008B3C4E" w:rsidRDefault="008B3C4E" w:rsidP="008B3C4E">
      <w:pPr>
        <w:pStyle w:val="Ttulo2"/>
        <w:widowControl w:val="0"/>
        <w:rPr>
          <w:rFonts w:cs="Arial"/>
        </w:rPr>
      </w:pPr>
      <w:bookmarkStart w:id="31" w:name="_Toc277345243"/>
      <w:bookmarkStart w:id="32" w:name="_Toc368906200"/>
      <w:r>
        <w:rPr>
          <w:rFonts w:cs="Arial"/>
        </w:rPr>
        <w:t>3.3.5 Incumplimiento del Inciso 2) del Artículo 766 de la Ley Nº 16.736</w:t>
      </w:r>
      <w:bookmarkEnd w:id="31"/>
      <w:bookmarkEnd w:id="32"/>
      <w:r>
        <w:rPr>
          <w:rFonts w:cs="Arial"/>
        </w:rPr>
        <w:t xml:space="preserve"> </w:t>
      </w:r>
    </w:p>
    <w:p w:rsidR="008B3C4E" w:rsidRDefault="008B3C4E" w:rsidP="008B3C4E">
      <w:pPr>
        <w:widowControl w:val="0"/>
        <w:spacing w:line="360" w:lineRule="auto"/>
        <w:jc w:val="both"/>
        <w:rPr>
          <w:rFonts w:ascii="Arial" w:hAnsi="Arial" w:cs="Arial"/>
          <w:highlight w:val="yellow"/>
        </w:rPr>
      </w:pPr>
      <w:r>
        <w:rPr>
          <w:rFonts w:ascii="Arial" w:hAnsi="Arial" w:cs="Arial"/>
        </w:rPr>
        <w:t xml:space="preserve">Se mantienen documentos a pagar por realización de obras públicas por la suma de U$S 4.504.033, que vencen con posterioridad al 30/06/15, los que exceden el período de gobierno. </w:t>
      </w:r>
    </w:p>
    <w:p w:rsidR="008B3C4E" w:rsidRDefault="008B3C4E" w:rsidP="008B3C4E">
      <w:pPr>
        <w:widowControl w:val="0"/>
        <w:spacing w:line="360" w:lineRule="auto"/>
        <w:jc w:val="both"/>
        <w:rPr>
          <w:rFonts w:ascii="Arial" w:hAnsi="Arial" w:cs="Arial"/>
        </w:rPr>
      </w:pPr>
    </w:p>
    <w:p w:rsidR="008B3C4E" w:rsidRDefault="008B3C4E" w:rsidP="008B3C4E">
      <w:pPr>
        <w:pStyle w:val="Ttulo2"/>
        <w:widowControl w:val="0"/>
        <w:rPr>
          <w:rFonts w:cs="Arial"/>
        </w:rPr>
      </w:pPr>
      <w:bookmarkStart w:id="33" w:name="_Toc241055479"/>
      <w:bookmarkStart w:id="34" w:name="_Toc277345244"/>
      <w:bookmarkStart w:id="35" w:name="_Toc368906201"/>
      <w:r>
        <w:rPr>
          <w:rFonts w:cs="Arial"/>
        </w:rPr>
        <w:t>3.3.</w:t>
      </w:r>
      <w:bookmarkEnd w:id="33"/>
      <w:r>
        <w:rPr>
          <w:rFonts w:cs="Arial"/>
        </w:rPr>
        <w:t>6 Resolución del Tribunal de Cuentas de fecha 28/01/04</w:t>
      </w:r>
      <w:bookmarkEnd w:id="34"/>
      <w:bookmarkEnd w:id="35"/>
    </w:p>
    <w:p w:rsidR="008B3C4E" w:rsidRDefault="008B3C4E" w:rsidP="008B3C4E">
      <w:pPr>
        <w:pStyle w:val="Sangradetextonormal"/>
        <w:widowControl w:val="0"/>
        <w:ind w:firstLine="0"/>
        <w:rPr>
          <w:bCs/>
        </w:rPr>
      </w:pPr>
      <w:r>
        <w:t xml:space="preserve">El documento presentado no incluye la siguiente información: </w:t>
      </w:r>
    </w:p>
    <w:p w:rsidR="008B3C4E" w:rsidRDefault="008B3C4E" w:rsidP="008B3C4E">
      <w:pPr>
        <w:pStyle w:val="Sangradetextonormal"/>
        <w:widowControl w:val="0"/>
        <w:numPr>
          <w:ilvl w:val="0"/>
          <w:numId w:val="3"/>
        </w:numPr>
        <w:tabs>
          <w:tab w:val="clear" w:pos="720"/>
          <w:tab w:val="num" w:pos="360"/>
        </w:tabs>
        <w:ind w:left="360"/>
      </w:pPr>
      <w:r>
        <w:t>Estado N°  5: Recursos con destino específico</w:t>
      </w:r>
    </w:p>
    <w:p w:rsidR="008B3C4E" w:rsidRDefault="008B3C4E" w:rsidP="008B3C4E">
      <w:pPr>
        <w:pStyle w:val="Sangradetextonormal"/>
        <w:widowControl w:val="0"/>
        <w:numPr>
          <w:ilvl w:val="0"/>
          <w:numId w:val="3"/>
        </w:numPr>
        <w:tabs>
          <w:tab w:val="clear" w:pos="720"/>
          <w:tab w:val="num" w:pos="360"/>
        </w:tabs>
        <w:ind w:left="360"/>
      </w:pPr>
      <w:r>
        <w:t>Estado N° 15: Existencia de activos</w:t>
      </w:r>
    </w:p>
    <w:p w:rsidR="008B3C4E" w:rsidRDefault="008B3C4E" w:rsidP="008B3C4E">
      <w:pPr>
        <w:pStyle w:val="Sangradetextonormal"/>
        <w:widowControl w:val="0"/>
        <w:numPr>
          <w:ilvl w:val="0"/>
          <w:numId w:val="3"/>
        </w:numPr>
        <w:tabs>
          <w:tab w:val="clear" w:pos="720"/>
          <w:tab w:val="num" w:pos="360"/>
        </w:tabs>
        <w:ind w:left="360"/>
      </w:pPr>
      <w:r>
        <w:t>Otras informaciones: detalle de los contratos de arrendamiento de obra y de servicios y detalle de actividades comerciales e industriales.</w:t>
      </w:r>
    </w:p>
    <w:p w:rsidR="008B3C4E" w:rsidRDefault="008B3C4E" w:rsidP="008B3C4E">
      <w:pPr>
        <w:pStyle w:val="Sangradetextonormal"/>
        <w:widowControl w:val="0"/>
        <w:ind w:firstLine="0"/>
      </w:pPr>
    </w:p>
    <w:p w:rsidR="008B3C4E" w:rsidRDefault="008B3C4E" w:rsidP="008B3C4E">
      <w:pPr>
        <w:pStyle w:val="Ttulo2"/>
        <w:widowControl w:val="0"/>
        <w:rPr>
          <w:rFonts w:cs="Arial"/>
          <w:highlight w:val="green"/>
        </w:rPr>
      </w:pPr>
      <w:bookmarkStart w:id="36" w:name="_Toc277345245"/>
      <w:bookmarkStart w:id="37" w:name="_Toc368906202"/>
      <w:bookmarkStart w:id="38" w:name="_Toc211365920"/>
      <w:r>
        <w:rPr>
          <w:rFonts w:cs="Arial"/>
        </w:rPr>
        <w:t>3.3.7 Ordenanza N° 62 del Tribunal de Cuentas</w:t>
      </w:r>
      <w:bookmarkEnd w:id="36"/>
      <w:bookmarkEnd w:id="37"/>
    </w:p>
    <w:p w:rsidR="008B3C4E" w:rsidRDefault="008B3C4E" w:rsidP="008B3C4E">
      <w:pPr>
        <w:widowControl w:val="0"/>
        <w:spacing w:line="360" w:lineRule="auto"/>
        <w:jc w:val="both"/>
        <w:rPr>
          <w:rFonts w:ascii="Arial" w:hAnsi="Arial" w:cs="Arial"/>
        </w:rPr>
      </w:pPr>
      <w:r>
        <w:rPr>
          <w:rFonts w:ascii="Arial" w:hAnsi="Arial" w:cs="Arial"/>
        </w:rPr>
        <w:t xml:space="preserve">La Intendencia promulgó el Decreto Nº 34.036 de fecha 15/12/11 a aplicarse en el Ejercicio 2012, relativo a modificaciones de recursos en forma previa a que </w:t>
      </w:r>
      <w:r>
        <w:rPr>
          <w:rFonts w:ascii="Arial" w:hAnsi="Arial" w:cs="Arial"/>
        </w:rPr>
        <w:lastRenderedPageBreak/>
        <w:t>este Tribunal se hubiera expedido, no cumpliendo con el procedimiento dispuesto en la citada Ordenanza.</w:t>
      </w:r>
    </w:p>
    <w:p w:rsidR="00FA3453" w:rsidRDefault="00FA3453" w:rsidP="008B3C4E">
      <w:pPr>
        <w:widowControl w:val="0"/>
        <w:spacing w:line="360" w:lineRule="auto"/>
        <w:jc w:val="both"/>
        <w:rPr>
          <w:rFonts w:ascii="Arial" w:hAnsi="Arial" w:cs="Arial"/>
        </w:rPr>
      </w:pPr>
    </w:p>
    <w:p w:rsidR="008B3C4E" w:rsidRDefault="008B3C4E" w:rsidP="008B3C4E">
      <w:pPr>
        <w:pStyle w:val="Ttulo2"/>
        <w:widowControl w:val="0"/>
        <w:rPr>
          <w:rFonts w:cs="Arial"/>
        </w:rPr>
      </w:pPr>
      <w:bookmarkStart w:id="39" w:name="_Toc277345248"/>
      <w:bookmarkStart w:id="40" w:name="_Toc368906203"/>
      <w:bookmarkStart w:id="41" w:name="_Toc77158916"/>
      <w:bookmarkStart w:id="42" w:name="_Toc79903566"/>
      <w:bookmarkEnd w:id="38"/>
      <w:r>
        <w:rPr>
          <w:rFonts w:cs="Arial"/>
        </w:rPr>
        <w:t>3.3.8 Convenio firmado el 03/12/91 con Jefatura de Policía de Montevideo</w:t>
      </w:r>
      <w:bookmarkEnd w:id="39"/>
      <w:bookmarkEnd w:id="40"/>
    </w:p>
    <w:p w:rsidR="008B3C4E" w:rsidRDefault="008B3C4E" w:rsidP="008B3C4E">
      <w:pPr>
        <w:pStyle w:val="Textoindependiente"/>
        <w:widowControl w:val="0"/>
        <w:spacing w:after="0" w:line="360" w:lineRule="auto"/>
        <w:rPr>
          <w:rFonts w:cs="Arial"/>
          <w:lang w:val="es-ES"/>
        </w:rPr>
      </w:pPr>
      <w:r>
        <w:rPr>
          <w:rFonts w:cs="Arial"/>
          <w:lang w:val="es-ES"/>
        </w:rPr>
        <w:t xml:space="preserve">Se ha constatado que desde el Ejercicio 1998 no se han vertido los montos correspondientes a multas de tránsito impuestas por la Jefatura de Policía de Montevideo por un monto de $ </w:t>
      </w:r>
      <w:r>
        <w:t>11:403.324</w:t>
      </w:r>
      <w:r>
        <w:rPr>
          <w:rFonts w:cs="Arial"/>
          <w:lang w:val="es-ES"/>
        </w:rPr>
        <w:t>, según se expone en el documento y en el informe presentado por la Intendencia de Montevideo.</w:t>
      </w:r>
    </w:p>
    <w:p w:rsidR="008044A4" w:rsidRDefault="008044A4" w:rsidP="008B3C4E">
      <w:pPr>
        <w:pStyle w:val="Textoindependiente"/>
        <w:widowControl w:val="0"/>
        <w:spacing w:after="0" w:line="360" w:lineRule="auto"/>
        <w:rPr>
          <w:rFonts w:cs="Arial"/>
          <w:color w:val="FF0000"/>
          <w:lang w:val="es-ES"/>
        </w:rPr>
      </w:pPr>
    </w:p>
    <w:p w:rsidR="008B3C4E" w:rsidRDefault="008B3C4E" w:rsidP="008B3C4E">
      <w:pPr>
        <w:pStyle w:val="Ttulo1"/>
        <w:rPr>
          <w:kern w:val="1"/>
          <w:lang w:eastAsia="ar-SA"/>
        </w:rPr>
      </w:pPr>
      <w:bookmarkStart w:id="43" w:name="_Toc211365930"/>
      <w:bookmarkStart w:id="44" w:name="_Toc277345249"/>
      <w:bookmarkStart w:id="45" w:name="_Toc368906204"/>
      <w:r>
        <w:rPr>
          <w:kern w:val="1"/>
          <w:lang w:eastAsia="ar-SA"/>
        </w:rPr>
        <w:t>3.4 Debilidades del Control Interno</w:t>
      </w:r>
      <w:bookmarkEnd w:id="43"/>
      <w:bookmarkEnd w:id="44"/>
      <w:bookmarkEnd w:id="45"/>
    </w:p>
    <w:p w:rsidR="008B3C4E" w:rsidRDefault="008B3C4E" w:rsidP="008B3C4E">
      <w:pPr>
        <w:pStyle w:val="Ttulo2"/>
        <w:widowControl w:val="0"/>
      </w:pPr>
      <w:bookmarkStart w:id="46" w:name="_Toc178494005"/>
      <w:bookmarkStart w:id="47" w:name="_Toc238899498"/>
      <w:bookmarkStart w:id="48" w:name="_Toc277345250"/>
      <w:bookmarkStart w:id="49" w:name="_Toc368906205"/>
      <w:bookmarkStart w:id="50" w:name="_Toc210448363"/>
      <w:bookmarkStart w:id="51" w:name="_Toc211365935"/>
      <w:r>
        <w:t>3.4.1 Respecto a recursos y manejo de fondos</w:t>
      </w:r>
      <w:bookmarkEnd w:id="46"/>
      <w:bookmarkEnd w:id="47"/>
      <w:bookmarkEnd w:id="48"/>
      <w:bookmarkEnd w:id="49"/>
    </w:p>
    <w:p w:rsidR="008B3C4E" w:rsidRDefault="008B3C4E" w:rsidP="008B3C4E">
      <w:pPr>
        <w:pStyle w:val="Ttulo2"/>
        <w:rPr>
          <w:noProof/>
          <w:kern w:val="0"/>
        </w:rPr>
      </w:pPr>
      <w:bookmarkStart w:id="52" w:name="_Toc277345251"/>
      <w:bookmarkStart w:id="53" w:name="_Toc368906206"/>
      <w:r>
        <w:rPr>
          <w:noProof/>
          <w:kern w:val="0"/>
        </w:rPr>
        <w:t>3.4.1.1 Arqueos de fondos</w:t>
      </w:r>
      <w:bookmarkEnd w:id="52"/>
      <w:bookmarkEnd w:id="53"/>
    </w:p>
    <w:p w:rsidR="008B3C4E" w:rsidRDefault="008B3C4E" w:rsidP="008B3C4E">
      <w:pPr>
        <w:widowControl w:val="0"/>
        <w:tabs>
          <w:tab w:val="left" w:pos="284"/>
        </w:tabs>
        <w:spacing w:line="360" w:lineRule="auto"/>
        <w:jc w:val="both"/>
        <w:rPr>
          <w:rFonts w:ascii="Arial" w:hAnsi="Arial" w:cs="Arial"/>
        </w:rPr>
      </w:pPr>
      <w:r>
        <w:rPr>
          <w:rFonts w:ascii="Arial" w:hAnsi="Arial" w:cs="Arial"/>
          <w:lang w:val="es-MX"/>
        </w:rPr>
        <w:t xml:space="preserve">No se realizaron arqueos sorpresivos y periódicos de fondos por Contaduría, </w:t>
      </w:r>
      <w:r>
        <w:rPr>
          <w:rFonts w:ascii="Arial" w:hAnsi="Arial" w:cs="Arial"/>
        </w:rPr>
        <w:t xml:space="preserve">en las distintas dependencias que manejan fondos a rendir cuentas. </w:t>
      </w:r>
    </w:p>
    <w:p w:rsidR="008B3C4E" w:rsidRDefault="008B3C4E" w:rsidP="008B3C4E">
      <w:pPr>
        <w:widowControl w:val="0"/>
        <w:tabs>
          <w:tab w:val="left" w:pos="284"/>
        </w:tabs>
        <w:spacing w:line="360" w:lineRule="auto"/>
        <w:jc w:val="both"/>
        <w:rPr>
          <w:rFonts w:ascii="Arial" w:hAnsi="Arial" w:cs="Arial"/>
          <w:highlight w:val="yellow"/>
        </w:rPr>
      </w:pPr>
    </w:p>
    <w:p w:rsidR="008B3C4E" w:rsidRDefault="008B3C4E" w:rsidP="008B3C4E">
      <w:pPr>
        <w:pStyle w:val="Ttulo2"/>
        <w:rPr>
          <w:rFonts w:cs="Arial"/>
        </w:rPr>
      </w:pPr>
      <w:bookmarkStart w:id="54" w:name="_Toc368906207"/>
      <w:r>
        <w:rPr>
          <w:noProof/>
          <w:kern w:val="0"/>
        </w:rPr>
        <w:t>3.4.1.2 Zoológico de Villa Dolores</w:t>
      </w:r>
      <w:bookmarkEnd w:id="54"/>
    </w:p>
    <w:p w:rsidR="008B3C4E" w:rsidRDefault="008B3C4E" w:rsidP="008B3C4E">
      <w:pPr>
        <w:widowControl w:val="0"/>
        <w:tabs>
          <w:tab w:val="left" w:pos="284"/>
        </w:tabs>
        <w:spacing w:line="360" w:lineRule="auto"/>
        <w:jc w:val="both"/>
        <w:rPr>
          <w:rFonts w:ascii="Arial" w:hAnsi="Arial" w:cs="Arial"/>
          <w:highlight w:val="yellow"/>
        </w:rPr>
      </w:pPr>
      <w:r>
        <w:rPr>
          <w:rFonts w:ascii="Arial" w:hAnsi="Arial" w:cs="Arial"/>
        </w:rPr>
        <w:t>No se realizaron controles sobre la recaudación del mismo.</w:t>
      </w:r>
    </w:p>
    <w:p w:rsidR="008B3C4E" w:rsidRDefault="008B3C4E" w:rsidP="008B3C4E">
      <w:pPr>
        <w:widowControl w:val="0"/>
        <w:tabs>
          <w:tab w:val="left" w:pos="284"/>
        </w:tabs>
        <w:spacing w:line="360" w:lineRule="auto"/>
        <w:jc w:val="both"/>
        <w:rPr>
          <w:rFonts w:ascii="Arial" w:hAnsi="Arial" w:cs="Arial"/>
          <w:highlight w:val="yellow"/>
        </w:rPr>
      </w:pPr>
    </w:p>
    <w:p w:rsidR="008B3C4E" w:rsidRDefault="008B3C4E" w:rsidP="008B3C4E">
      <w:pPr>
        <w:pStyle w:val="Ttulo2"/>
        <w:widowControl w:val="0"/>
        <w:rPr>
          <w:rFonts w:cs="Arial"/>
        </w:rPr>
      </w:pPr>
      <w:bookmarkStart w:id="55" w:name="_Toc178494019"/>
      <w:bookmarkStart w:id="56" w:name="_Toc238899511"/>
      <w:bookmarkStart w:id="57" w:name="_Toc277345255"/>
      <w:bookmarkStart w:id="58" w:name="_Toc368906208"/>
      <w:r>
        <w:rPr>
          <w:rFonts w:cs="Arial"/>
        </w:rPr>
        <w:t>3.4.2 Otras debilidades de control interno</w:t>
      </w:r>
      <w:bookmarkEnd w:id="55"/>
      <w:bookmarkEnd w:id="56"/>
      <w:bookmarkEnd w:id="57"/>
      <w:bookmarkEnd w:id="58"/>
    </w:p>
    <w:p w:rsidR="008B3C4E" w:rsidRDefault="008B3C4E" w:rsidP="008B3C4E">
      <w:pPr>
        <w:pStyle w:val="Ttulo2"/>
      </w:pPr>
      <w:bookmarkStart w:id="59" w:name="_Toc52263113"/>
      <w:bookmarkStart w:id="60" w:name="_Toc277345270"/>
      <w:bookmarkStart w:id="61" w:name="_Toc368906209"/>
      <w:bookmarkStart w:id="62" w:name="_Toc210448364"/>
      <w:bookmarkStart w:id="63" w:name="_Toc211365936"/>
      <w:bookmarkStart w:id="64" w:name="_Toc277345258"/>
      <w:bookmarkEnd w:id="50"/>
      <w:bookmarkEnd w:id="51"/>
      <w:r>
        <w:rPr>
          <w:noProof/>
          <w:kern w:val="0"/>
        </w:rPr>
        <w:t>3.4.2.1 Deudas con Organismos</w:t>
      </w:r>
      <w:bookmarkEnd w:id="59"/>
      <w:r>
        <w:rPr>
          <w:noProof/>
          <w:kern w:val="0"/>
        </w:rPr>
        <w:t xml:space="preserve"> Públicos y Privados</w:t>
      </w:r>
      <w:bookmarkEnd w:id="60"/>
      <w:bookmarkEnd w:id="61"/>
    </w:p>
    <w:p w:rsidR="008B3C4E" w:rsidRDefault="008B3C4E" w:rsidP="008B3C4E">
      <w:pPr>
        <w:pStyle w:val="Textoindependiente"/>
        <w:widowControl w:val="0"/>
        <w:spacing w:after="0" w:line="360" w:lineRule="auto"/>
        <w:rPr>
          <w:rFonts w:cs="Arial"/>
          <w:lang w:val="es-ES"/>
        </w:rPr>
      </w:pPr>
      <w:r>
        <w:rPr>
          <w:rFonts w:cs="Arial"/>
          <w:lang w:val="es-ES"/>
        </w:rPr>
        <w:t xml:space="preserve">No se efectuó </w:t>
      </w:r>
      <w:proofErr w:type="spellStart"/>
      <w:r>
        <w:rPr>
          <w:rFonts w:cs="Arial"/>
          <w:lang w:val="es-ES"/>
        </w:rPr>
        <w:t>circularización</w:t>
      </w:r>
      <w:proofErr w:type="spellEnd"/>
      <w:r>
        <w:rPr>
          <w:rFonts w:cs="Arial"/>
          <w:lang w:val="es-ES"/>
        </w:rPr>
        <w:t xml:space="preserve"> de saldos ni se presentaron las conciliaciones con los proveedores públicos y privados al 31 de diciembre de cada año. </w:t>
      </w:r>
    </w:p>
    <w:p w:rsidR="008B3C4E" w:rsidRDefault="008B3C4E" w:rsidP="008B3C4E">
      <w:pPr>
        <w:pStyle w:val="Textoindependiente"/>
        <w:widowControl w:val="0"/>
        <w:spacing w:after="0" w:line="360" w:lineRule="auto"/>
        <w:rPr>
          <w:rFonts w:cs="Arial"/>
          <w:highlight w:val="yellow"/>
          <w:lang w:val="es-ES"/>
        </w:rPr>
      </w:pPr>
    </w:p>
    <w:p w:rsidR="008B3C4E" w:rsidRDefault="008B3C4E" w:rsidP="008B3C4E">
      <w:pPr>
        <w:pStyle w:val="Ttulo2"/>
        <w:rPr>
          <w:noProof/>
          <w:kern w:val="0"/>
        </w:rPr>
      </w:pPr>
      <w:bookmarkStart w:id="65" w:name="_Toc368906210"/>
      <w:r>
        <w:rPr>
          <w:noProof/>
          <w:kern w:val="0"/>
        </w:rPr>
        <w:t>3.4.2.2 Resoluciones de reiteración</w:t>
      </w:r>
      <w:bookmarkEnd w:id="65"/>
    </w:p>
    <w:p w:rsidR="008B3C4E" w:rsidRDefault="008B3C4E" w:rsidP="008B3C4E">
      <w:pPr>
        <w:pStyle w:val="Textoindependiente"/>
        <w:spacing w:after="0" w:line="360" w:lineRule="auto"/>
        <w:rPr>
          <w:rFonts w:cs="Arial"/>
          <w:kern w:val="0"/>
          <w:szCs w:val="24"/>
          <w:lang w:val="es-ES"/>
        </w:rPr>
      </w:pPr>
      <w:r>
        <w:rPr>
          <w:rFonts w:cs="Arial"/>
          <w:kern w:val="0"/>
          <w:szCs w:val="24"/>
          <w:lang w:val="es-ES"/>
        </w:rPr>
        <w:t xml:space="preserve">En las resoluciones de reiteración correspondientes a retribuciones, no consta identificación de gastos reiterados por concepto </w:t>
      </w:r>
      <w:proofErr w:type="spellStart"/>
      <w:r>
        <w:rPr>
          <w:rFonts w:cs="Arial"/>
          <w:kern w:val="0"/>
          <w:szCs w:val="24"/>
          <w:lang w:val="es-ES"/>
        </w:rPr>
        <w:t>e</w:t>
      </w:r>
      <w:proofErr w:type="spellEnd"/>
      <w:r>
        <w:rPr>
          <w:rFonts w:cs="Arial"/>
          <w:kern w:val="0"/>
          <w:szCs w:val="24"/>
          <w:lang w:val="es-ES"/>
        </w:rPr>
        <w:t xml:space="preserve"> importe. </w:t>
      </w:r>
    </w:p>
    <w:p w:rsidR="008B3C4E" w:rsidRDefault="008B3C4E" w:rsidP="008B3C4E">
      <w:pPr>
        <w:pStyle w:val="Textoindependiente"/>
        <w:spacing w:after="0" w:line="360" w:lineRule="auto"/>
        <w:rPr>
          <w:rFonts w:cs="Arial"/>
          <w:kern w:val="0"/>
          <w:szCs w:val="24"/>
          <w:lang w:val="es-ES"/>
        </w:rPr>
      </w:pPr>
    </w:p>
    <w:p w:rsidR="008B3C4E" w:rsidRDefault="008B3C4E" w:rsidP="008B3C4E">
      <w:pPr>
        <w:pStyle w:val="Ttulo2"/>
        <w:rPr>
          <w:noProof/>
          <w:kern w:val="0"/>
        </w:rPr>
      </w:pPr>
      <w:bookmarkStart w:id="66" w:name="_Toc368906211"/>
      <w:r>
        <w:rPr>
          <w:noProof/>
          <w:kern w:val="0"/>
        </w:rPr>
        <w:t>3.4.2.3</w:t>
      </w:r>
      <w:r>
        <w:t xml:space="preserve"> </w:t>
      </w:r>
      <w:r>
        <w:rPr>
          <w:noProof/>
          <w:kern w:val="0"/>
        </w:rPr>
        <w:t>Asignación presupuestal de Casinos</w:t>
      </w:r>
      <w:bookmarkEnd w:id="66"/>
      <w:r>
        <w:rPr>
          <w:noProof/>
          <w:kern w:val="0"/>
        </w:rPr>
        <w:t xml:space="preserve"> </w:t>
      </w:r>
    </w:p>
    <w:p w:rsidR="008B3C4E" w:rsidRDefault="008B3C4E" w:rsidP="008B3C4E">
      <w:pPr>
        <w:pStyle w:val="Textoindependiente"/>
        <w:spacing w:after="0" w:line="360" w:lineRule="auto"/>
        <w:rPr>
          <w:rFonts w:cs="Arial"/>
          <w:kern w:val="0"/>
          <w:szCs w:val="24"/>
          <w:lang w:val="es-ES"/>
        </w:rPr>
      </w:pPr>
      <w:r>
        <w:rPr>
          <w:rFonts w:cs="Arial"/>
          <w:kern w:val="0"/>
          <w:szCs w:val="24"/>
          <w:lang w:val="es-ES"/>
        </w:rPr>
        <w:t xml:space="preserve">Las asignaciones presupuestales previstas para Casinos, se incluyeron a nivel de actividad en determinados programas. Por tratarse de actividades </w:t>
      </w:r>
      <w:r>
        <w:rPr>
          <w:rFonts w:cs="Arial"/>
          <w:kern w:val="0"/>
          <w:szCs w:val="24"/>
          <w:lang w:val="es-ES"/>
        </w:rPr>
        <w:lastRenderedPageBreak/>
        <w:t>comerciales relevantes, su exposición debe realizarse por programas específicos.</w:t>
      </w:r>
    </w:p>
    <w:p w:rsidR="008B3C4E" w:rsidRDefault="008B3C4E" w:rsidP="008B3C4E">
      <w:pPr>
        <w:pStyle w:val="Textoindependiente"/>
        <w:spacing w:after="0" w:line="360" w:lineRule="auto"/>
        <w:rPr>
          <w:rFonts w:cs="Arial"/>
          <w:kern w:val="0"/>
          <w:szCs w:val="24"/>
          <w:highlight w:val="yellow"/>
          <w:lang w:val="es-ES"/>
        </w:rPr>
      </w:pPr>
    </w:p>
    <w:p w:rsidR="008B3C4E" w:rsidRDefault="008B3C4E" w:rsidP="008B3C4E">
      <w:pPr>
        <w:pStyle w:val="Ttulo2"/>
        <w:rPr>
          <w:noProof/>
          <w:kern w:val="0"/>
          <w:highlight w:val="yellow"/>
        </w:rPr>
      </w:pPr>
      <w:bookmarkStart w:id="67" w:name="_Toc277345257"/>
      <w:bookmarkStart w:id="68" w:name="_Toc368906212"/>
      <w:r>
        <w:rPr>
          <w:noProof/>
          <w:kern w:val="0"/>
        </w:rPr>
        <w:t>3.4.2.4 Parque Tecnológico Industrial del Cerro (PTIC)</w:t>
      </w:r>
      <w:bookmarkEnd w:id="67"/>
      <w:bookmarkEnd w:id="68"/>
    </w:p>
    <w:p w:rsidR="008B3C4E" w:rsidRDefault="008B3C4E" w:rsidP="008B3C4E">
      <w:pPr>
        <w:pStyle w:val="Textoindependiente2"/>
        <w:widowControl w:val="0"/>
        <w:tabs>
          <w:tab w:val="num" w:pos="540"/>
        </w:tabs>
        <w:rPr>
          <w:rFonts w:cs="Arial"/>
          <w:snapToGrid/>
          <w:color w:val="auto"/>
          <w:highlight w:val="yellow"/>
        </w:rPr>
      </w:pPr>
      <w:r>
        <w:rPr>
          <w:rFonts w:cs="Arial"/>
        </w:rPr>
        <w:t>Las actuaciones practicadas por este Tribunal permitieron constatar irregularidades en la administración y manejo de los fondos por parte de la administración de la Comisión Administradora del Parque Tecnológico (CAPIT), fundamentalmente, como consecuencia de la inadecuada concentración de funciones, sin la correcta supervisión. Asimismo, se verificó que no existía una adecuada separación de las funciones de autorización, ejecución, control de las operaciones y de la custodia de los activos. Este Tribunal aprobó el dictamen correspondiente a dicha auditoría, por Resolución de fecha 09/01/13 (Expediente Nº 2012-17-1-0001356).</w:t>
      </w:r>
    </w:p>
    <w:p w:rsidR="008B3C4E" w:rsidRDefault="008B3C4E" w:rsidP="008B3C4E">
      <w:pPr>
        <w:pStyle w:val="Textoindependiente"/>
        <w:spacing w:after="0" w:line="360" w:lineRule="auto"/>
        <w:rPr>
          <w:rFonts w:cs="Arial"/>
          <w:kern w:val="0"/>
          <w:szCs w:val="24"/>
          <w:highlight w:val="yellow"/>
          <w:lang w:val="es-ES"/>
        </w:rPr>
      </w:pPr>
    </w:p>
    <w:p w:rsidR="008B3C4E" w:rsidRDefault="008B3C4E" w:rsidP="008B3C4E">
      <w:pPr>
        <w:pStyle w:val="Ttulo1"/>
        <w:rPr>
          <w:color w:val="FF0000"/>
          <w:kern w:val="1"/>
          <w:lang w:eastAsia="ar-SA"/>
        </w:rPr>
      </w:pPr>
      <w:bookmarkStart w:id="69" w:name="_Toc368906213"/>
      <w:r>
        <w:rPr>
          <w:kern w:val="1"/>
          <w:lang w:eastAsia="ar-SA"/>
        </w:rPr>
        <w:t>3.5 Recomendaciones</w:t>
      </w:r>
      <w:bookmarkEnd w:id="62"/>
      <w:bookmarkEnd w:id="63"/>
      <w:bookmarkEnd w:id="64"/>
      <w:bookmarkEnd w:id="69"/>
    </w:p>
    <w:p w:rsidR="008B3C4E" w:rsidRDefault="008B3C4E" w:rsidP="008B3C4E">
      <w:pPr>
        <w:pStyle w:val="Ttulo2"/>
        <w:rPr>
          <w:rFonts w:cs="Arial"/>
          <w:color w:val="FF0000"/>
        </w:rPr>
      </w:pPr>
      <w:bookmarkStart w:id="70" w:name="_Toc77158917"/>
      <w:bookmarkStart w:id="71" w:name="_Toc79903567"/>
      <w:bookmarkStart w:id="72" w:name="_Toc210448365"/>
      <w:bookmarkStart w:id="73" w:name="_Toc211365937"/>
      <w:bookmarkStart w:id="74" w:name="_Toc277345259"/>
      <w:bookmarkStart w:id="75" w:name="_Toc368906214"/>
      <w:bookmarkEnd w:id="41"/>
      <w:bookmarkEnd w:id="42"/>
      <w:r>
        <w:rPr>
          <w:rFonts w:cs="Arial"/>
        </w:rPr>
        <w:t>3.5.1 Recomendaciones del Ejercicio anterior cumplidas</w:t>
      </w:r>
      <w:bookmarkEnd w:id="70"/>
      <w:bookmarkEnd w:id="71"/>
      <w:bookmarkEnd w:id="72"/>
      <w:bookmarkEnd w:id="73"/>
      <w:bookmarkEnd w:id="74"/>
      <w:bookmarkEnd w:id="75"/>
    </w:p>
    <w:p w:rsidR="008B3C4E" w:rsidRDefault="008B3C4E" w:rsidP="008B3C4E">
      <w:pPr>
        <w:pStyle w:val="Ttulo2"/>
      </w:pPr>
      <w:bookmarkStart w:id="76" w:name="_Toc368906215"/>
      <w:r>
        <w:t>3.5.1.1 Artículos 7 y 32 de la Constitución de la República, referentes a expropiaciones</w:t>
      </w:r>
      <w:bookmarkEnd w:id="76"/>
    </w:p>
    <w:p w:rsidR="008B3C4E" w:rsidRDefault="008B3C4E" w:rsidP="008B3C4E">
      <w:pPr>
        <w:pStyle w:val="Textoindependiente"/>
        <w:spacing w:after="0" w:line="360" w:lineRule="auto"/>
        <w:rPr>
          <w:rFonts w:cs="Arial"/>
          <w:kern w:val="0"/>
          <w:szCs w:val="24"/>
          <w:lang w:val="es-ES"/>
        </w:rPr>
      </w:pPr>
      <w:r>
        <w:rPr>
          <w:lang w:val="es-ES"/>
        </w:rPr>
        <w:t>Se ha dado cumplimiento a lo establecido en los mencionados Artículos, al invocarse la existencia de una ley dictada por causas de necesidad o utilidad pública que permita la expropiación</w:t>
      </w:r>
      <w:r>
        <w:rPr>
          <w:rFonts w:cs="Arial"/>
          <w:kern w:val="0"/>
          <w:szCs w:val="24"/>
          <w:lang w:val="es-ES"/>
        </w:rPr>
        <w:t xml:space="preserve"> de bienes.</w:t>
      </w:r>
    </w:p>
    <w:p w:rsidR="008B3C4E" w:rsidRDefault="008B3C4E" w:rsidP="008B3C4E">
      <w:pPr>
        <w:pStyle w:val="Textoindependiente"/>
        <w:spacing w:after="0" w:line="360" w:lineRule="auto"/>
        <w:rPr>
          <w:lang w:val="es-ES"/>
        </w:rPr>
      </w:pPr>
    </w:p>
    <w:p w:rsidR="008B3C4E" w:rsidRDefault="008B3C4E" w:rsidP="008B3C4E">
      <w:pPr>
        <w:pStyle w:val="Ttulo2"/>
      </w:pPr>
      <w:bookmarkStart w:id="77" w:name="_Toc368906216"/>
      <w:r>
        <w:t>3.5.1.2 Recaudación del Mercado Modelo</w:t>
      </w:r>
      <w:bookmarkEnd w:id="77"/>
    </w:p>
    <w:p w:rsidR="008B3C4E" w:rsidRDefault="008B3C4E" w:rsidP="008B3C4E">
      <w:pPr>
        <w:pStyle w:val="Textoindependiente"/>
        <w:widowControl w:val="0"/>
        <w:spacing w:after="0" w:line="360" w:lineRule="auto"/>
        <w:rPr>
          <w:lang w:val="es-ES"/>
        </w:rPr>
      </w:pPr>
      <w:r>
        <w:rPr>
          <w:lang w:val="es-ES"/>
        </w:rPr>
        <w:t>Se deposita la recaudación del mismo en forma periódica y se realizan conciliaciones mensuales, dando cumplimiento a lo dispuesto por los Artículos 4, 5 y 11 del TOCAF.</w:t>
      </w:r>
    </w:p>
    <w:p w:rsidR="008B3C4E" w:rsidRDefault="008B3C4E" w:rsidP="008B3C4E">
      <w:pPr>
        <w:pStyle w:val="Textoindependiente"/>
        <w:widowControl w:val="0"/>
        <w:spacing w:after="0" w:line="360" w:lineRule="auto"/>
        <w:rPr>
          <w:lang w:val="es-ES"/>
        </w:rPr>
      </w:pPr>
    </w:p>
    <w:p w:rsidR="008B3C4E" w:rsidRDefault="008B3C4E" w:rsidP="008B3C4E">
      <w:pPr>
        <w:pStyle w:val="Ttulo2"/>
      </w:pPr>
      <w:bookmarkStart w:id="78" w:name="_Toc368906217"/>
      <w:r>
        <w:t>3.5.1.3 Partida salarial para Conservación de Instrumentos y para Conservación de Equipos Fotográficos</w:t>
      </w:r>
      <w:bookmarkEnd w:id="78"/>
    </w:p>
    <w:p w:rsidR="008B3C4E" w:rsidRDefault="008B3C4E" w:rsidP="008B3C4E">
      <w:pPr>
        <w:pStyle w:val="Textoindependiente"/>
        <w:widowControl w:val="0"/>
        <w:spacing w:after="0" w:line="360" w:lineRule="auto"/>
        <w:rPr>
          <w:lang w:val="es-ES"/>
        </w:rPr>
      </w:pPr>
      <w:r>
        <w:rPr>
          <w:rFonts w:cs="Arial"/>
          <w:lang w:val="es-ES"/>
        </w:rPr>
        <w:t xml:space="preserve">A partir del mes de octubre de 2012, la Intendencia corrigió la imputación de las partidas mencionadas, efectuando los aportes correspondientes al BPS por </w:t>
      </w:r>
      <w:r>
        <w:rPr>
          <w:rFonts w:cs="Arial"/>
          <w:lang w:val="es-ES"/>
        </w:rPr>
        <w:lastRenderedPageBreak/>
        <w:t>estar gravado el 50% de su monto (Sentencia del TCA de 09/08/10).</w:t>
      </w:r>
    </w:p>
    <w:p w:rsidR="008B3C4E" w:rsidRDefault="008B3C4E" w:rsidP="008B3C4E">
      <w:pPr>
        <w:pStyle w:val="Textoindependiente"/>
        <w:widowControl w:val="0"/>
        <w:spacing w:after="0" w:line="360" w:lineRule="auto"/>
        <w:rPr>
          <w:rFonts w:cs="Arial"/>
          <w:iCs/>
          <w:color w:val="FF0000"/>
          <w:highlight w:val="yellow"/>
          <w:lang w:val="es-ES"/>
        </w:rPr>
      </w:pPr>
    </w:p>
    <w:p w:rsidR="008B3C4E" w:rsidRDefault="008B3C4E" w:rsidP="008B3C4E">
      <w:pPr>
        <w:pStyle w:val="Ttulo2"/>
        <w:rPr>
          <w:rFonts w:cs="Arial"/>
          <w:highlight w:val="yellow"/>
        </w:rPr>
      </w:pPr>
      <w:bookmarkStart w:id="79" w:name="_Toc277345263"/>
      <w:bookmarkStart w:id="80" w:name="_Toc368906218"/>
      <w:r>
        <w:rPr>
          <w:rFonts w:cs="Arial"/>
        </w:rPr>
        <w:t>3.5.2 Recomendaciones del Ejercicio anterior no cumplidas</w:t>
      </w:r>
      <w:bookmarkEnd w:id="79"/>
      <w:bookmarkEnd w:id="80"/>
    </w:p>
    <w:p w:rsidR="008B3C4E" w:rsidRDefault="008B3C4E" w:rsidP="008B3C4E">
      <w:pPr>
        <w:pStyle w:val="Ttulo2"/>
        <w:rPr>
          <w:iCs/>
        </w:rPr>
      </w:pPr>
      <w:bookmarkStart w:id="81" w:name="_Toc368906219"/>
      <w:bookmarkStart w:id="82" w:name="_Toc277345264"/>
      <w:r>
        <w:rPr>
          <w:noProof/>
          <w:kern w:val="0"/>
        </w:rPr>
        <w:t>3.5.2.1 Artículo 15 Inciso 3 de la Ley Nº 3.958 (en la redacción dada por el Artículo 278 de la Ley Nº 17.296), referente a expropiaciones</w:t>
      </w:r>
      <w:bookmarkEnd w:id="81"/>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 xml:space="preserve">La Intendencia deberá efectuar en toda expropiación, la publicación en el diario de mayor circulación en el Departamento, a efectos de cumplir con la normativa vigente en la materia. </w:t>
      </w:r>
    </w:p>
    <w:p w:rsidR="008B3C4E" w:rsidRDefault="008B3C4E" w:rsidP="008B3C4E">
      <w:pPr>
        <w:pStyle w:val="Textoindependiente"/>
        <w:widowControl w:val="0"/>
        <w:spacing w:after="0" w:line="360" w:lineRule="auto"/>
        <w:rPr>
          <w:rFonts w:cs="Arial"/>
          <w:kern w:val="0"/>
          <w:szCs w:val="24"/>
          <w:highlight w:val="yellow"/>
          <w:lang w:val="es-ES"/>
        </w:rPr>
      </w:pPr>
    </w:p>
    <w:p w:rsidR="008B3C4E" w:rsidRDefault="008B3C4E" w:rsidP="008B3C4E">
      <w:pPr>
        <w:pStyle w:val="Ttulo2"/>
        <w:rPr>
          <w:noProof/>
          <w:kern w:val="0"/>
        </w:rPr>
      </w:pPr>
      <w:bookmarkStart w:id="83" w:name="_Toc368906220"/>
      <w:r>
        <w:rPr>
          <w:noProof/>
          <w:kern w:val="0"/>
        </w:rPr>
        <w:t>3.5.2.2 Retiros Incentivados</w:t>
      </w:r>
      <w:bookmarkEnd w:id="83"/>
    </w:p>
    <w:p w:rsidR="008B3C4E" w:rsidRDefault="008B3C4E" w:rsidP="008B3C4E">
      <w:pPr>
        <w:pStyle w:val="Textoindependiente"/>
        <w:spacing w:after="0" w:line="360" w:lineRule="auto"/>
        <w:rPr>
          <w:rFonts w:cs="Arial"/>
          <w:iCs/>
          <w:kern w:val="0"/>
          <w:szCs w:val="24"/>
          <w:lang w:val="es-ES"/>
        </w:rPr>
      </w:pPr>
      <w:r>
        <w:rPr>
          <w:rFonts w:cs="Arial"/>
          <w:iCs/>
          <w:kern w:val="0"/>
          <w:szCs w:val="24"/>
          <w:lang w:val="es-ES"/>
        </w:rPr>
        <w:t>A efectos de dar cumplimiento a lo dispuesto por el Artículo 86 de la Constitución de la República, la totalidad de las partidas otorgadas a los funcionarios deben haber sido establecidas y claramente determinadas en una instancia presupuestal.</w:t>
      </w:r>
    </w:p>
    <w:p w:rsidR="008B3C4E" w:rsidRDefault="008B3C4E" w:rsidP="008B3C4E">
      <w:pPr>
        <w:pStyle w:val="Textoindependiente"/>
        <w:spacing w:after="0" w:line="360" w:lineRule="auto"/>
        <w:rPr>
          <w:rFonts w:cs="Arial"/>
          <w:iCs/>
          <w:kern w:val="0"/>
          <w:szCs w:val="24"/>
          <w:lang w:val="es-ES"/>
        </w:rPr>
      </w:pPr>
    </w:p>
    <w:p w:rsidR="008B3C4E" w:rsidRDefault="008B3C4E" w:rsidP="008B3C4E">
      <w:pPr>
        <w:pStyle w:val="Ttulo2"/>
      </w:pPr>
      <w:bookmarkStart w:id="84" w:name="_Toc368906221"/>
      <w:r>
        <w:rPr>
          <w:noProof/>
          <w:kern w:val="0"/>
        </w:rPr>
        <w:t>3.5.2.3 Contribución Inmobiliaria Rural</w:t>
      </w:r>
      <w:bookmarkEnd w:id="84"/>
      <w:r>
        <w:rPr>
          <w:noProof/>
          <w:kern w:val="0"/>
        </w:rPr>
        <w:t xml:space="preserve"> </w:t>
      </w:r>
    </w:p>
    <w:p w:rsidR="008B3C4E" w:rsidRDefault="008B3C4E" w:rsidP="008B3C4E">
      <w:pPr>
        <w:pStyle w:val="Textoindependiente"/>
        <w:widowControl w:val="0"/>
        <w:spacing w:after="0" w:line="360" w:lineRule="auto"/>
        <w:rPr>
          <w:rFonts w:cs="Arial"/>
          <w:kern w:val="0"/>
          <w:szCs w:val="24"/>
          <w:lang w:val="es-ES" w:eastAsia="ar-SA"/>
        </w:rPr>
      </w:pPr>
      <w:r>
        <w:rPr>
          <w:rFonts w:cs="Arial"/>
          <w:kern w:val="0"/>
          <w:szCs w:val="24"/>
          <w:lang w:val="es-ES" w:eastAsia="ar-SA"/>
        </w:rPr>
        <w:t xml:space="preserve">La Comuna deberá abstenerse de aplicar exoneraciones y bonificaciones que no son de competencia de las entidades territoriales, sino que corresponden al titular o al sujeto activo de la potestad tributaria, que en el caso de la Contribución Inmobiliaria Rural es el gobierno nacional, de acuerdo con lo dispuesto por el Artículo 297 de la Constitución de la República en su Numeral 1). Este Artículo establece que los impuestos sobre la propiedad inmueble rural serán fijados por el Poder Legislativo, pero su recaudación y la totalidad de su producido, excepto el de los adicionales establecidos o que se establecieren, corresponderá a los Gobiernos Departamentales respectivos. </w:t>
      </w:r>
    </w:p>
    <w:p w:rsidR="008B3C4E" w:rsidRDefault="008B3C4E" w:rsidP="008B3C4E">
      <w:pPr>
        <w:pStyle w:val="Textoindependiente"/>
        <w:widowControl w:val="0"/>
        <w:spacing w:after="0" w:line="360" w:lineRule="auto"/>
        <w:rPr>
          <w:rFonts w:cs="Arial"/>
          <w:kern w:val="0"/>
          <w:szCs w:val="24"/>
          <w:highlight w:val="yellow"/>
          <w:lang w:val="es-ES" w:eastAsia="ar-SA"/>
        </w:rPr>
      </w:pPr>
    </w:p>
    <w:p w:rsidR="008B3C4E" w:rsidRDefault="008B3C4E" w:rsidP="008B3C4E">
      <w:pPr>
        <w:pStyle w:val="Ttulo2"/>
        <w:rPr>
          <w:iCs/>
        </w:rPr>
      </w:pPr>
      <w:bookmarkStart w:id="85" w:name="_Toc368906222"/>
      <w:bookmarkStart w:id="86" w:name="_Toc277345274"/>
      <w:r>
        <w:rPr>
          <w:noProof/>
          <w:kern w:val="0"/>
        </w:rPr>
        <w:t>3.5.2.4 Organizaciones no gubernamentales y Publicidad y propaganda</w:t>
      </w:r>
      <w:bookmarkEnd w:id="85"/>
    </w:p>
    <w:p w:rsidR="008B3C4E" w:rsidRDefault="008B3C4E" w:rsidP="008B3C4E">
      <w:pPr>
        <w:pStyle w:val="Textoindependiente"/>
        <w:widowControl w:val="0"/>
        <w:spacing w:after="0" w:line="360" w:lineRule="auto"/>
      </w:pPr>
      <w:r>
        <w:rPr>
          <w:lang w:val="es-ES"/>
        </w:rPr>
        <w:t xml:space="preserve">Se deberá tener en cuenta lo establecido en los Artículos 15 y 33 del </w:t>
      </w:r>
      <w:r>
        <w:t>TOCAF; y Artículo 211 Literal B) de la Constitución de la República, a efectos de cumplir con la normativa vigente.</w:t>
      </w:r>
    </w:p>
    <w:p w:rsidR="008B3C4E" w:rsidRDefault="008B3C4E" w:rsidP="008B3C4E">
      <w:pPr>
        <w:pStyle w:val="Ttulo2"/>
        <w:rPr>
          <w:noProof/>
          <w:kern w:val="0"/>
        </w:rPr>
      </w:pPr>
    </w:p>
    <w:p w:rsidR="00FA3453" w:rsidRPr="00FA3453" w:rsidRDefault="00FA3453" w:rsidP="00FA3453">
      <w:pPr>
        <w:pStyle w:val="Textoindependiente"/>
        <w:rPr>
          <w:lang w:val="es-ES"/>
        </w:rPr>
      </w:pPr>
    </w:p>
    <w:p w:rsidR="008B3C4E" w:rsidRDefault="008B3C4E" w:rsidP="008B3C4E">
      <w:pPr>
        <w:pStyle w:val="Ttulo2"/>
        <w:rPr>
          <w:noProof/>
          <w:kern w:val="0"/>
        </w:rPr>
      </w:pPr>
      <w:bookmarkStart w:id="87" w:name="_Toc368906223"/>
      <w:r>
        <w:rPr>
          <w:noProof/>
          <w:kern w:val="0"/>
        </w:rPr>
        <w:lastRenderedPageBreak/>
        <w:t>3.5.2.5 Donación Modal</w:t>
      </w:r>
      <w:bookmarkEnd w:id="87"/>
    </w:p>
    <w:p w:rsidR="008B3C4E" w:rsidRDefault="008B3C4E" w:rsidP="008B3C4E">
      <w:pPr>
        <w:pStyle w:val="Textoindependiente"/>
        <w:widowControl w:val="0"/>
        <w:spacing w:after="0" w:line="360" w:lineRule="auto"/>
      </w:pPr>
      <w:r>
        <w:rPr>
          <w:lang w:val="es-ES"/>
        </w:rPr>
        <w:t xml:space="preserve">La Intendencia deberá tener en cuenta al efectuar contratos de Donaciones </w:t>
      </w:r>
      <w:r>
        <w:t>Modales que los mismos contengan los elementos que la legislación aplicable establece para su calificación como tales. En caso de tratarse de gastos, deberán aplicarse los procedimientos establecidos en el Artículo 33 del TOCAF.</w:t>
      </w:r>
    </w:p>
    <w:p w:rsidR="008B3C4E" w:rsidRDefault="008B3C4E" w:rsidP="008B3C4E">
      <w:pPr>
        <w:pStyle w:val="Textoindependiente"/>
        <w:widowControl w:val="0"/>
        <w:spacing w:after="0" w:line="360" w:lineRule="auto"/>
        <w:rPr>
          <w:highlight w:val="yellow"/>
        </w:rPr>
      </w:pPr>
    </w:p>
    <w:p w:rsidR="008B3C4E" w:rsidRDefault="008B3C4E" w:rsidP="008B3C4E">
      <w:pPr>
        <w:pStyle w:val="Ttulo2"/>
      </w:pPr>
      <w:bookmarkStart w:id="88" w:name="_Toc368906224"/>
      <w:r>
        <w:rPr>
          <w:noProof/>
          <w:kern w:val="0"/>
        </w:rPr>
        <w:t>3.5.2.6 Seguro de caución de fidelidad</w:t>
      </w:r>
      <w:bookmarkEnd w:id="86"/>
      <w:bookmarkEnd w:id="88"/>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A efectos de cumplir con lo establecido en los Artículos 90 y 137 del TOCAF, la Intendencia deberá contratar un seguro de caución de fidelidad respecto a todos los funcionarios que manejen fondos o valores.</w:t>
      </w:r>
    </w:p>
    <w:p w:rsidR="008B3C4E" w:rsidRDefault="008B3C4E" w:rsidP="008B3C4E">
      <w:pPr>
        <w:pStyle w:val="Textoindependiente"/>
        <w:widowControl w:val="0"/>
        <w:spacing w:after="0" w:line="360" w:lineRule="auto"/>
        <w:rPr>
          <w:rFonts w:cs="Arial"/>
          <w:kern w:val="0"/>
          <w:szCs w:val="24"/>
          <w:highlight w:val="yellow"/>
          <w:lang w:val="es-ES"/>
        </w:rPr>
      </w:pPr>
    </w:p>
    <w:p w:rsidR="008B3C4E" w:rsidRDefault="008B3C4E" w:rsidP="008B3C4E">
      <w:pPr>
        <w:pStyle w:val="Ttulo2"/>
        <w:rPr>
          <w:noProof/>
          <w:kern w:val="0"/>
        </w:rPr>
      </w:pPr>
      <w:bookmarkStart w:id="89" w:name="_Toc368906225"/>
      <w:bookmarkStart w:id="90" w:name="_Toc78193778"/>
      <w:r>
        <w:rPr>
          <w:noProof/>
          <w:kern w:val="0"/>
        </w:rPr>
        <w:t>3.5.2.7 Gestión patrimonial</w:t>
      </w:r>
      <w:bookmarkEnd w:id="89"/>
    </w:p>
    <w:p w:rsidR="008B3C4E" w:rsidRDefault="008B3C4E" w:rsidP="008B3C4E">
      <w:pPr>
        <w:pStyle w:val="Textoindependiente"/>
        <w:widowControl w:val="0"/>
        <w:spacing w:after="0" w:line="360" w:lineRule="auto"/>
        <w:rPr>
          <w:rFonts w:cs="Arial"/>
        </w:rPr>
      </w:pPr>
      <w:r>
        <w:rPr>
          <w:rFonts w:cs="Arial"/>
          <w:noProof/>
        </w:rPr>
        <w:t>Se deberá dar cumplimiento a lo dispuesto en la Ordenanza N° 81 de este</w:t>
      </w:r>
      <w:r>
        <w:rPr>
          <w:rFonts w:cs="Arial"/>
        </w:rPr>
        <w:t xml:space="preserve"> </w:t>
      </w:r>
      <w:bookmarkEnd w:id="90"/>
      <w:r>
        <w:rPr>
          <w:rFonts w:cs="Arial"/>
        </w:rPr>
        <w:t>Tribunal en cuanto a la presentación de Estados Contables.</w:t>
      </w:r>
    </w:p>
    <w:p w:rsidR="008B3C4E" w:rsidRDefault="008B3C4E" w:rsidP="008B3C4E">
      <w:pPr>
        <w:pStyle w:val="Textoindependiente"/>
        <w:widowControl w:val="0"/>
        <w:spacing w:after="0" w:line="360" w:lineRule="auto"/>
        <w:rPr>
          <w:rFonts w:cs="Arial"/>
          <w:color w:val="FF0000"/>
          <w:kern w:val="0"/>
          <w:szCs w:val="24"/>
          <w:highlight w:val="yellow"/>
          <w:lang w:val="es-ES"/>
        </w:rPr>
      </w:pPr>
    </w:p>
    <w:p w:rsidR="008B3C4E" w:rsidRDefault="008B3C4E" w:rsidP="008B3C4E">
      <w:pPr>
        <w:pStyle w:val="Ttulo2"/>
        <w:rPr>
          <w:noProof/>
          <w:kern w:val="0"/>
        </w:rPr>
      </w:pPr>
      <w:bookmarkStart w:id="91" w:name="_Toc177977186"/>
      <w:bookmarkStart w:id="92" w:name="_Toc208913259"/>
      <w:bookmarkStart w:id="93" w:name="_Toc277345276"/>
      <w:bookmarkStart w:id="94" w:name="_Toc368906226"/>
      <w:r>
        <w:rPr>
          <w:noProof/>
          <w:kern w:val="0"/>
        </w:rPr>
        <w:t>3.5.2.8 Inventario de bienes de uso</w:t>
      </w:r>
      <w:bookmarkEnd w:id="91"/>
      <w:bookmarkEnd w:id="92"/>
      <w:bookmarkEnd w:id="93"/>
      <w:bookmarkEnd w:id="94"/>
    </w:p>
    <w:p w:rsidR="008B3C4E" w:rsidRDefault="008B3C4E" w:rsidP="008B3C4E">
      <w:pPr>
        <w:widowControl w:val="0"/>
        <w:spacing w:line="360" w:lineRule="auto"/>
        <w:jc w:val="both"/>
        <w:rPr>
          <w:rFonts w:ascii="Arial" w:hAnsi="Arial" w:cs="Arial"/>
        </w:rPr>
      </w:pPr>
      <w:r>
        <w:rPr>
          <w:rFonts w:ascii="Arial" w:hAnsi="Arial" w:cs="Arial"/>
        </w:rPr>
        <w:t xml:space="preserve">Se deberá incluir en el documento de Rendición de Cuentas, copia del inventario de todos los activos que integran el patrimonio al cierre del Ejercicio. Además la Intendencia debe mantener actualizado dicho inventario, tal como lo establece el Artículo 97 del TOCAF, el cual dispone que, en cuanto a los activos, el sistema contable </w:t>
      </w:r>
      <w:proofErr w:type="gramStart"/>
      <w:r>
        <w:rPr>
          <w:rFonts w:ascii="Arial" w:hAnsi="Arial" w:cs="Arial"/>
        </w:rPr>
        <w:t>debe</w:t>
      </w:r>
      <w:proofErr w:type="gramEnd"/>
      <w:r>
        <w:rPr>
          <w:rFonts w:ascii="Arial" w:hAnsi="Arial" w:cs="Arial"/>
        </w:rPr>
        <w:t xml:space="preserve"> registrar como mínimo, las existencias y movimientos, con especial determinación de los que integran el patrimonio del Estado por ejecución del Presupuesto o por otros conceptos.</w:t>
      </w:r>
    </w:p>
    <w:p w:rsidR="008B3C4E" w:rsidRDefault="008B3C4E" w:rsidP="008B3C4E">
      <w:pPr>
        <w:widowControl w:val="0"/>
        <w:spacing w:line="360" w:lineRule="auto"/>
        <w:jc w:val="both"/>
        <w:rPr>
          <w:rFonts w:ascii="Arial" w:hAnsi="Arial" w:cs="Arial"/>
        </w:rPr>
      </w:pPr>
    </w:p>
    <w:p w:rsidR="008B3C4E" w:rsidRDefault="008B3C4E" w:rsidP="008B3C4E">
      <w:pPr>
        <w:pStyle w:val="Ttulo2"/>
      </w:pPr>
      <w:bookmarkStart w:id="95" w:name="_Toc368906227"/>
      <w:r>
        <w:t>3.5.2.9 Arqueo de fondos y valores</w:t>
      </w:r>
      <w:bookmarkEnd w:id="82"/>
      <w:bookmarkEnd w:id="95"/>
      <w:r>
        <w:t xml:space="preserve"> </w:t>
      </w:r>
    </w:p>
    <w:p w:rsidR="008B3C4E" w:rsidRDefault="008B3C4E" w:rsidP="008B3C4E">
      <w:pPr>
        <w:pStyle w:val="Textoindependiente"/>
        <w:widowControl w:val="0"/>
        <w:spacing w:after="0" w:line="360" w:lineRule="auto"/>
        <w:rPr>
          <w:rFonts w:cs="Arial"/>
        </w:rPr>
      </w:pPr>
      <w:r>
        <w:rPr>
          <w:rFonts w:cs="Arial"/>
          <w:lang w:val="es-MX"/>
        </w:rPr>
        <w:t xml:space="preserve">La Contaduría debe realizar arqueos sorpresivos y periódicos </w:t>
      </w:r>
      <w:r>
        <w:rPr>
          <w:rFonts w:cs="Arial"/>
        </w:rPr>
        <w:t xml:space="preserve">en las distintas dependencias que manejan fondos a rendir cuentas (Artículos 102 y 119 del TOCAF). </w:t>
      </w:r>
    </w:p>
    <w:p w:rsidR="008B3C4E" w:rsidRDefault="008B3C4E" w:rsidP="008B3C4E">
      <w:pPr>
        <w:pStyle w:val="Textoindependiente"/>
        <w:widowControl w:val="0"/>
        <w:spacing w:after="0" w:line="360" w:lineRule="auto"/>
        <w:rPr>
          <w:rFonts w:cs="Arial"/>
          <w:highlight w:val="yellow"/>
        </w:rPr>
      </w:pPr>
    </w:p>
    <w:p w:rsidR="008B3C4E" w:rsidRDefault="008B3C4E" w:rsidP="008B3C4E">
      <w:pPr>
        <w:pStyle w:val="Ttulo2"/>
      </w:pPr>
      <w:bookmarkStart w:id="96" w:name="_Toc368906228"/>
      <w:bookmarkStart w:id="97" w:name="_Toc277345267"/>
      <w:bookmarkStart w:id="98" w:name="_Toc277345265"/>
      <w:r>
        <w:t>3.5.2.10 Comisiones CAVM</w:t>
      </w:r>
      <w:bookmarkEnd w:id="96"/>
      <w:r>
        <w:t xml:space="preserve"> </w:t>
      </w:r>
      <w:bookmarkEnd w:id="97"/>
    </w:p>
    <w:p w:rsidR="008B3C4E" w:rsidRDefault="008B3C4E" w:rsidP="008B3C4E">
      <w:pPr>
        <w:pStyle w:val="Textoindependiente"/>
        <w:widowControl w:val="0"/>
        <w:spacing w:after="0" w:line="360" w:lineRule="auto"/>
        <w:rPr>
          <w:rFonts w:cs="Arial"/>
        </w:rPr>
      </w:pPr>
      <w:r>
        <w:rPr>
          <w:rFonts w:cs="Arial"/>
        </w:rPr>
        <w:t xml:space="preserve">La Intendencia deberá instrumentar procedimientos que le permitan controlar los ingresos y la correcta tramitación de los egresos, así como el cumplimiento </w:t>
      </w:r>
      <w:r>
        <w:rPr>
          <w:rFonts w:cs="Arial"/>
        </w:rPr>
        <w:lastRenderedPageBreak/>
        <w:t>de las disposiciones legales correspondientes. Además, deberá incluir esta información en la Rendición de Cuentas, a los efectos de que ésta represente la totalidad de lo ejecutado en recursos y gastos del período.</w:t>
      </w:r>
    </w:p>
    <w:p w:rsidR="008B3C4E" w:rsidRDefault="008B3C4E" w:rsidP="008B3C4E">
      <w:pPr>
        <w:pStyle w:val="Textoindependiente"/>
        <w:widowControl w:val="0"/>
        <w:spacing w:after="0" w:line="360" w:lineRule="auto"/>
        <w:rPr>
          <w:rFonts w:cs="Arial"/>
          <w:highlight w:val="yellow"/>
        </w:rPr>
      </w:pPr>
    </w:p>
    <w:p w:rsidR="008B3C4E" w:rsidRDefault="008B3C4E" w:rsidP="008B3C4E">
      <w:pPr>
        <w:pStyle w:val="Ttulo2"/>
      </w:pPr>
      <w:bookmarkStart w:id="99" w:name="_Toc277345266"/>
      <w:bookmarkStart w:id="100" w:name="_Toc368906229"/>
      <w:r>
        <w:t>3.5.2.11 Aportes al BPS</w:t>
      </w:r>
      <w:bookmarkEnd w:id="99"/>
      <w:bookmarkEnd w:id="100"/>
    </w:p>
    <w:p w:rsidR="008B3C4E" w:rsidRDefault="008B3C4E" w:rsidP="008B3C4E">
      <w:pPr>
        <w:pStyle w:val="Textoindependiente"/>
        <w:widowControl w:val="0"/>
        <w:spacing w:after="0" w:line="360" w:lineRule="auto"/>
        <w:rPr>
          <w:rFonts w:cs="Arial"/>
          <w:lang w:val="es-ES"/>
        </w:rPr>
      </w:pPr>
      <w:r>
        <w:rPr>
          <w:rFonts w:cs="Arial"/>
          <w:lang w:val="es-ES"/>
        </w:rPr>
        <w:t>Según lo acordado por el Tribunal en Sesió</w:t>
      </w:r>
      <w:r w:rsidR="008044A4">
        <w:rPr>
          <w:rFonts w:cs="Arial"/>
          <w:lang w:val="es-ES"/>
        </w:rPr>
        <w:t>n de fecha 22/01/03 (Carpeta N°</w:t>
      </w:r>
      <w:r>
        <w:rPr>
          <w:rFonts w:cs="Arial"/>
          <w:lang w:val="es-ES"/>
        </w:rPr>
        <w:t>196.226) y lo establecido por el Tribunal de lo Contencioso Administrativo (TCA) en la Sentencia N° 529/2010 de fecha 09/08/10, la Intendencia debe efectuar los aportes al BPS por el 100% de la materia gravada de la partida Viáticos Especiales.</w:t>
      </w:r>
    </w:p>
    <w:p w:rsidR="008B3C4E" w:rsidRDefault="008B3C4E" w:rsidP="008B3C4E">
      <w:pPr>
        <w:pStyle w:val="Textoindependiente"/>
        <w:widowControl w:val="0"/>
        <w:spacing w:after="0" w:line="360" w:lineRule="auto"/>
        <w:rPr>
          <w:rFonts w:cs="Arial"/>
          <w:lang w:val="es-ES"/>
        </w:rPr>
      </w:pPr>
    </w:p>
    <w:p w:rsidR="008B3C4E" w:rsidRDefault="008B3C4E" w:rsidP="008B3C4E">
      <w:pPr>
        <w:pStyle w:val="Ttulo2"/>
      </w:pPr>
      <w:bookmarkStart w:id="101" w:name="_Toc368906230"/>
      <w:r>
        <w:t>3.5.2.12 Documentos a pagar que exceden el período de gobierno</w:t>
      </w:r>
      <w:bookmarkEnd w:id="101"/>
    </w:p>
    <w:p w:rsidR="008B3C4E" w:rsidRDefault="008B3C4E" w:rsidP="008B3C4E">
      <w:pPr>
        <w:pStyle w:val="Textoindependiente"/>
        <w:widowControl w:val="0"/>
        <w:spacing w:after="0" w:line="360" w:lineRule="auto"/>
        <w:rPr>
          <w:rFonts w:cs="Arial"/>
          <w:lang w:val="es-ES"/>
        </w:rPr>
      </w:pPr>
      <w:r>
        <w:rPr>
          <w:rFonts w:cs="Arial"/>
          <w:lang w:val="es-ES"/>
        </w:rPr>
        <w:t>Se deberá tener en cuenta lo que establece el Artículo 766 Inciso 2 de la Ley Nº 16.736.</w:t>
      </w:r>
    </w:p>
    <w:p w:rsidR="008B3C4E" w:rsidRDefault="008B3C4E" w:rsidP="008B3C4E">
      <w:pPr>
        <w:pStyle w:val="Textoindependiente"/>
        <w:widowControl w:val="0"/>
        <w:spacing w:after="0" w:line="360" w:lineRule="auto"/>
        <w:rPr>
          <w:rFonts w:cs="Arial"/>
          <w:lang w:val="es-ES"/>
        </w:rPr>
      </w:pPr>
    </w:p>
    <w:p w:rsidR="008B3C4E" w:rsidRDefault="008B3C4E" w:rsidP="008B3C4E">
      <w:pPr>
        <w:pStyle w:val="Ttulo2"/>
      </w:pPr>
      <w:bookmarkStart w:id="102" w:name="_Toc277345278"/>
      <w:bookmarkStart w:id="103" w:name="_Toc368906231"/>
      <w:r>
        <w:t>3.5.2.13 Instructivo del Tribunal de Cuentas</w:t>
      </w:r>
      <w:bookmarkEnd w:id="102"/>
      <w:bookmarkEnd w:id="103"/>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Las Rendiciones de Cuentas que remitan los Gobiernos Departamentales, conforme a lo dispuesto en el Artículo 214 por remisión del Artículo 222 de la Constitución de la República, se deben presentar de acuerdo al modelo establecido por la Resolución de este Tribunal del 28/01/04.</w:t>
      </w:r>
    </w:p>
    <w:p w:rsidR="008B3C4E" w:rsidRDefault="008B3C4E" w:rsidP="008B3C4E">
      <w:pPr>
        <w:pStyle w:val="Textoindependiente"/>
        <w:widowControl w:val="0"/>
        <w:spacing w:after="0" w:line="360" w:lineRule="auto"/>
        <w:rPr>
          <w:rFonts w:cs="Arial"/>
          <w:kern w:val="0"/>
          <w:szCs w:val="24"/>
          <w:highlight w:val="yellow"/>
          <w:lang w:val="es-ES"/>
        </w:rPr>
      </w:pPr>
    </w:p>
    <w:p w:rsidR="008B3C4E" w:rsidRDefault="008B3C4E" w:rsidP="008B3C4E">
      <w:pPr>
        <w:pStyle w:val="Ttulo2"/>
        <w:rPr>
          <w:rFonts w:cs="Arial"/>
          <w:noProof/>
          <w:kern w:val="0"/>
        </w:rPr>
      </w:pPr>
      <w:bookmarkStart w:id="104" w:name="_Toc177977195"/>
      <w:bookmarkStart w:id="105" w:name="_Toc208913270"/>
      <w:bookmarkStart w:id="106" w:name="_Toc277345275"/>
      <w:bookmarkStart w:id="107" w:name="_Toc368906232"/>
      <w:r>
        <w:rPr>
          <w:rFonts w:cs="Arial"/>
          <w:noProof/>
          <w:kern w:val="0"/>
        </w:rPr>
        <w:t>3.5.2.14 Concesiones</w:t>
      </w:r>
      <w:bookmarkEnd w:id="104"/>
      <w:bookmarkEnd w:id="105"/>
      <w:bookmarkEnd w:id="106"/>
      <w:bookmarkEnd w:id="107"/>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A efectos de dar cumplimiento a lo dispuesto por la Resolución del Tribunal de Cuentas de fecha 11/05/05, previamente a aprobar, modificar o rescindir concesiones contractuales de obras o de servicios deberán remitirse los antecedentes a este Tribunal.</w:t>
      </w:r>
    </w:p>
    <w:p w:rsidR="008B3C4E" w:rsidRDefault="008B3C4E" w:rsidP="008B3C4E">
      <w:pPr>
        <w:pStyle w:val="Textoindependiente"/>
        <w:widowControl w:val="0"/>
        <w:spacing w:after="0" w:line="360" w:lineRule="auto"/>
        <w:rPr>
          <w:rFonts w:cs="Arial"/>
        </w:rPr>
      </w:pPr>
      <w:r>
        <w:rPr>
          <w:rFonts w:cs="Arial"/>
        </w:rPr>
        <w:t>Asimismo, se deben comunicar a este Tribunal antes del 31 de enero y del 31 de julio de cada año, los informes correspondientes al semestre anterior producidos por las Comisiones de Control u Oficinas que tengan a su cargo la verificación del cumplimiento de los contratos correspondientes.</w:t>
      </w:r>
    </w:p>
    <w:p w:rsidR="008B3C4E" w:rsidRDefault="008B3C4E" w:rsidP="008B3C4E">
      <w:pPr>
        <w:pStyle w:val="Textoindependiente"/>
        <w:widowControl w:val="0"/>
        <w:spacing w:after="0" w:line="360" w:lineRule="auto"/>
        <w:rPr>
          <w:rFonts w:cs="Arial"/>
          <w:highlight w:val="yellow"/>
          <w:lang w:val="es-ES"/>
        </w:rPr>
      </w:pPr>
    </w:p>
    <w:p w:rsidR="008B3C4E" w:rsidRDefault="008B3C4E" w:rsidP="008B3C4E">
      <w:pPr>
        <w:pStyle w:val="Ttulo2"/>
        <w:rPr>
          <w:noProof/>
          <w:kern w:val="0"/>
        </w:rPr>
      </w:pPr>
      <w:bookmarkStart w:id="108" w:name="_Toc208222893"/>
      <w:bookmarkStart w:id="109" w:name="_Toc239140112"/>
      <w:bookmarkStart w:id="110" w:name="_Toc277345277"/>
      <w:bookmarkStart w:id="111" w:name="_Toc368906233"/>
      <w:r>
        <w:rPr>
          <w:noProof/>
          <w:kern w:val="0"/>
        </w:rPr>
        <w:t>3.5.2.15 Modificaciones de recursos</w:t>
      </w:r>
      <w:bookmarkEnd w:id="108"/>
      <w:bookmarkEnd w:id="109"/>
      <w:bookmarkEnd w:id="110"/>
      <w:bookmarkEnd w:id="111"/>
      <w:r>
        <w:rPr>
          <w:noProof/>
          <w:kern w:val="0"/>
        </w:rPr>
        <w:t xml:space="preserve"> </w:t>
      </w:r>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lastRenderedPageBreak/>
        <w:t>De acuerdo a lo establecido por la Ordenanza N° 62, toda creación o modificación de recursos debe ser sometida a dictamen de este Tribunal por la respectiva Junta Departamental, previamente a su aprobación.</w:t>
      </w:r>
    </w:p>
    <w:p w:rsidR="008B3C4E" w:rsidRDefault="008B3C4E" w:rsidP="008B3C4E">
      <w:pPr>
        <w:pStyle w:val="Textoindependiente"/>
        <w:widowControl w:val="0"/>
        <w:spacing w:after="0" w:line="360" w:lineRule="auto"/>
        <w:rPr>
          <w:rFonts w:cs="Arial"/>
          <w:iCs/>
          <w:lang w:val="es-ES"/>
        </w:rPr>
      </w:pPr>
    </w:p>
    <w:p w:rsidR="008B3C4E" w:rsidRDefault="008B3C4E" w:rsidP="008B3C4E">
      <w:pPr>
        <w:pStyle w:val="Ttulo2"/>
      </w:pPr>
      <w:bookmarkStart w:id="112" w:name="_Toc277345272"/>
      <w:bookmarkStart w:id="113" w:name="_Toc368906234"/>
      <w:r>
        <w:rPr>
          <w:noProof/>
          <w:kern w:val="0"/>
        </w:rPr>
        <w:t>3.5.2.16 Publicidad de las compras</w:t>
      </w:r>
      <w:bookmarkEnd w:id="112"/>
      <w:bookmarkEnd w:id="113"/>
    </w:p>
    <w:p w:rsidR="008B3C4E" w:rsidRDefault="008B3C4E" w:rsidP="008B3C4E">
      <w:pPr>
        <w:pStyle w:val="Textoindependiente"/>
        <w:widowControl w:val="0"/>
        <w:spacing w:after="0" w:line="360" w:lineRule="auto"/>
      </w:pPr>
      <w:r>
        <w:rPr>
          <w:spacing w:val="-8"/>
        </w:rPr>
        <w:t>La Intendencia deberá dar cumplimiento a lo establecido en el Decreto Nº</w:t>
      </w:r>
      <w:r>
        <w:t xml:space="preserve"> 191/007 de fecha 4 de junio de 2007 respecto a la publicidad en el sitio web.</w:t>
      </w:r>
      <w:bookmarkStart w:id="114" w:name="_Toc277345273"/>
    </w:p>
    <w:p w:rsidR="008B3C4E" w:rsidRDefault="008B3C4E" w:rsidP="008B3C4E">
      <w:pPr>
        <w:pStyle w:val="Textoindependiente"/>
        <w:widowControl w:val="0"/>
        <w:spacing w:after="0" w:line="360" w:lineRule="auto"/>
      </w:pPr>
    </w:p>
    <w:p w:rsidR="008B3C4E" w:rsidRDefault="008B3C4E" w:rsidP="008B3C4E">
      <w:pPr>
        <w:pStyle w:val="Ttulo2"/>
      </w:pPr>
      <w:bookmarkStart w:id="115" w:name="_Toc368906235"/>
      <w:bookmarkEnd w:id="114"/>
      <w:r>
        <w:t>3.5.2.17 Fondos Indisponibles</w:t>
      </w:r>
      <w:bookmarkEnd w:id="98"/>
      <w:bookmarkEnd w:id="115"/>
      <w:r>
        <w:t xml:space="preserve"> </w:t>
      </w:r>
    </w:p>
    <w:p w:rsidR="008B3C4E" w:rsidRDefault="008B3C4E" w:rsidP="008B3C4E">
      <w:pPr>
        <w:widowControl w:val="0"/>
        <w:spacing w:line="360" w:lineRule="auto"/>
        <w:jc w:val="both"/>
        <w:rPr>
          <w:rFonts w:ascii="Arial" w:hAnsi="Arial" w:cs="Arial"/>
          <w:color w:val="FF0000"/>
        </w:rPr>
      </w:pPr>
      <w:r>
        <w:rPr>
          <w:rFonts w:ascii="Arial" w:hAnsi="Arial" w:cs="Arial"/>
        </w:rPr>
        <w:t>La Intendencia debe verter en tiempo los saldos adeudados a la Jefatura de Policía de Montevideo</w:t>
      </w:r>
      <w:r>
        <w:rPr>
          <w:rFonts w:ascii="Arial" w:hAnsi="Arial" w:cs="Arial"/>
          <w:bCs/>
        </w:rPr>
        <w:t xml:space="preserve"> por </w:t>
      </w:r>
      <w:r>
        <w:rPr>
          <w:rFonts w:ascii="Arial" w:hAnsi="Arial" w:cs="Arial"/>
        </w:rPr>
        <w:t>los montos que se recaudan por concepto de multas de tránsito aplicadas por la Policía.</w:t>
      </w:r>
      <w:r>
        <w:rPr>
          <w:rFonts w:ascii="Arial" w:hAnsi="Arial" w:cs="Arial"/>
          <w:color w:val="FF0000"/>
        </w:rPr>
        <w:t xml:space="preserve"> </w:t>
      </w:r>
    </w:p>
    <w:p w:rsidR="008B3C4E" w:rsidRDefault="008B3C4E" w:rsidP="008B3C4E">
      <w:pPr>
        <w:widowControl w:val="0"/>
        <w:spacing w:line="360" w:lineRule="auto"/>
        <w:jc w:val="both"/>
        <w:rPr>
          <w:rFonts w:ascii="Arial" w:hAnsi="Arial" w:cs="Arial"/>
          <w:color w:val="FF0000"/>
          <w:highlight w:val="yellow"/>
        </w:rPr>
      </w:pPr>
    </w:p>
    <w:p w:rsidR="008B3C4E" w:rsidRDefault="008B3C4E" w:rsidP="008B3C4E">
      <w:pPr>
        <w:pStyle w:val="Ttulo2"/>
        <w:rPr>
          <w:iCs/>
        </w:rPr>
      </w:pPr>
      <w:bookmarkStart w:id="116" w:name="_Toc277345279"/>
      <w:bookmarkStart w:id="117" w:name="_Toc368906236"/>
      <w:bookmarkStart w:id="118" w:name="_Toc277345269"/>
      <w:r>
        <w:rPr>
          <w:noProof/>
          <w:kern w:val="0"/>
        </w:rPr>
        <w:t>3.5.2.18 Unidad de Auditoría Interna</w:t>
      </w:r>
      <w:bookmarkEnd w:id="116"/>
      <w:bookmarkEnd w:id="117"/>
    </w:p>
    <w:p w:rsidR="008B3C4E" w:rsidRDefault="008B3C4E" w:rsidP="008B3C4E">
      <w:pPr>
        <w:pStyle w:val="Textoindependiente"/>
        <w:widowControl w:val="0"/>
        <w:spacing w:after="0" w:line="360" w:lineRule="auto"/>
        <w:rPr>
          <w:rFonts w:cs="Arial"/>
          <w:lang w:val="es-ES"/>
        </w:rPr>
      </w:pPr>
      <w:r>
        <w:rPr>
          <w:rFonts w:cs="Arial"/>
          <w:lang w:val="es-ES"/>
        </w:rPr>
        <w:t>Se debe dotar a la Unidad de Auditoría Interna de los recursos humanos y materiales, a efectos de que cumpla con los objetivos y funciones que le fueron asignadas en la Resolución del Intendente de fecha 13/08/01, evaluando en forma sistemática y permanente el funcionamiento del Organismo.</w:t>
      </w:r>
    </w:p>
    <w:p w:rsidR="008B3C4E" w:rsidRDefault="008B3C4E" w:rsidP="008B3C4E">
      <w:pPr>
        <w:pStyle w:val="Textoindependiente"/>
        <w:widowControl w:val="0"/>
        <w:spacing w:after="0" w:line="360" w:lineRule="auto"/>
        <w:rPr>
          <w:rFonts w:cs="Arial"/>
          <w:lang w:val="es-ES"/>
        </w:rPr>
      </w:pPr>
    </w:p>
    <w:p w:rsidR="008B3C4E" w:rsidRDefault="008B3C4E" w:rsidP="008B3C4E">
      <w:pPr>
        <w:pStyle w:val="Ttulo2"/>
        <w:rPr>
          <w:iCs/>
          <w:smallCaps/>
          <w:color w:val="FF0000"/>
        </w:rPr>
      </w:pPr>
      <w:bookmarkStart w:id="119" w:name="_Toc368906237"/>
      <w:r>
        <w:rPr>
          <w:noProof/>
          <w:kern w:val="0"/>
        </w:rPr>
        <w:t>3.5.2.19 Convenios de Pagos</w:t>
      </w:r>
      <w:bookmarkEnd w:id="118"/>
      <w:bookmarkEnd w:id="119"/>
      <w:r>
        <w:rPr>
          <w:iCs/>
          <w:smallCaps/>
          <w:color w:val="FF0000"/>
        </w:rPr>
        <w:t xml:space="preserve"> </w:t>
      </w:r>
    </w:p>
    <w:p w:rsidR="008B3C4E" w:rsidRDefault="008B3C4E" w:rsidP="008B3C4E">
      <w:pPr>
        <w:pStyle w:val="Textoindependiente"/>
        <w:widowControl w:val="0"/>
        <w:spacing w:after="0" w:line="360" w:lineRule="auto"/>
        <w:rPr>
          <w:rFonts w:cs="Arial"/>
          <w:lang w:val="es-ES"/>
        </w:rPr>
      </w:pPr>
      <w:r>
        <w:rPr>
          <w:rFonts w:cs="Arial"/>
          <w:lang w:val="es-ES"/>
        </w:rPr>
        <w:t>En el estado de determinación del Resultado Acumulado al cierre del Ejercicio se deberán exponer, en forma separada, la totalidad de los montos adeudados por concepto de Obligaciones Presupuestales Impagas, por los que se han firmado convenios de pago.</w:t>
      </w:r>
    </w:p>
    <w:p w:rsidR="008B3C4E" w:rsidRDefault="008B3C4E" w:rsidP="008B3C4E">
      <w:pPr>
        <w:pStyle w:val="Textoindependiente"/>
        <w:widowControl w:val="0"/>
        <w:spacing w:after="0" w:line="360" w:lineRule="auto"/>
        <w:rPr>
          <w:rFonts w:cs="Arial"/>
          <w:highlight w:val="yellow"/>
          <w:lang w:val="es-ES"/>
        </w:rPr>
      </w:pPr>
    </w:p>
    <w:p w:rsidR="008B3C4E" w:rsidRDefault="008B3C4E" w:rsidP="008B3C4E">
      <w:pPr>
        <w:pStyle w:val="Ttulo2"/>
        <w:rPr>
          <w:noProof/>
          <w:kern w:val="0"/>
        </w:rPr>
      </w:pPr>
      <w:bookmarkStart w:id="120" w:name="_Toc368906238"/>
      <w:r>
        <w:rPr>
          <w:noProof/>
          <w:kern w:val="0"/>
        </w:rPr>
        <w:t xml:space="preserve">3.5.2.20 </w:t>
      </w:r>
      <w:bookmarkEnd w:id="120"/>
      <w:r>
        <w:rPr>
          <w:noProof/>
          <w:kern w:val="0"/>
        </w:rPr>
        <w:t>Contribución Inmobiliaria Rural – Planes de Regularización</w:t>
      </w:r>
    </w:p>
    <w:p w:rsidR="008B3C4E" w:rsidRDefault="008B3C4E" w:rsidP="008B3C4E">
      <w:pPr>
        <w:pStyle w:val="Textoindependiente"/>
        <w:widowControl w:val="0"/>
        <w:spacing w:after="0" w:line="360" w:lineRule="auto"/>
        <w:rPr>
          <w:bCs/>
        </w:rPr>
      </w:pPr>
      <w:r>
        <w:rPr>
          <w:rFonts w:cs="Arial"/>
          <w:bCs/>
          <w:kern w:val="0"/>
          <w:szCs w:val="24"/>
        </w:rPr>
        <w:t xml:space="preserve">La Intendencia deberá tramitar la autorización al Ministerio de Economía y Finanzas, con respecto a la Contribución Inmobiliaria Rural, al momento de establecer </w:t>
      </w:r>
      <w:r>
        <w:rPr>
          <w:bCs/>
        </w:rPr>
        <w:t xml:space="preserve">iguales planes de regularización de adeudos a los establecidos para la contribución urbana y suburbana. </w:t>
      </w:r>
    </w:p>
    <w:p w:rsidR="008B3C4E" w:rsidRDefault="008B3C4E" w:rsidP="008B3C4E">
      <w:pPr>
        <w:pStyle w:val="Textoindependiente"/>
        <w:widowControl w:val="0"/>
        <w:spacing w:after="0" w:line="360" w:lineRule="auto"/>
        <w:rPr>
          <w:bCs/>
        </w:rPr>
      </w:pPr>
    </w:p>
    <w:p w:rsidR="0007701A" w:rsidRDefault="0007701A" w:rsidP="008B3C4E">
      <w:pPr>
        <w:pStyle w:val="Textoindependiente"/>
        <w:widowControl w:val="0"/>
        <w:spacing w:after="0" w:line="360" w:lineRule="auto"/>
        <w:rPr>
          <w:bCs/>
        </w:rPr>
      </w:pPr>
    </w:p>
    <w:p w:rsidR="008B3C4E" w:rsidRDefault="008B3C4E" w:rsidP="008B3C4E">
      <w:pPr>
        <w:pStyle w:val="Ttulo2"/>
        <w:rPr>
          <w:rFonts w:cs="Arial"/>
        </w:rPr>
      </w:pPr>
      <w:bookmarkStart w:id="121" w:name="_Toc368906239"/>
      <w:r>
        <w:rPr>
          <w:rFonts w:cs="Arial"/>
        </w:rPr>
        <w:lastRenderedPageBreak/>
        <w:t>3.5.2.21 Fondos fijos del Mercado Modelo</w:t>
      </w:r>
      <w:bookmarkEnd w:id="121"/>
    </w:p>
    <w:p w:rsidR="008B3C4E" w:rsidRDefault="008B3C4E" w:rsidP="008B3C4E">
      <w:pPr>
        <w:spacing w:line="360" w:lineRule="auto"/>
        <w:jc w:val="both"/>
        <w:rPr>
          <w:rFonts w:ascii="Arial" w:hAnsi="Arial" w:cs="Arial"/>
        </w:rPr>
      </w:pPr>
      <w:r>
        <w:rPr>
          <w:rFonts w:ascii="Arial" w:hAnsi="Arial" w:cs="Arial"/>
          <w:bCs/>
        </w:rPr>
        <w:t>No se deberán efectuar pagos a servicios públicos con los fondos fijos, como lo</w:t>
      </w:r>
      <w:r>
        <w:rPr>
          <w:rFonts w:ascii="Arial" w:hAnsi="Arial" w:cs="Arial"/>
        </w:rPr>
        <w:t xml:space="preserve"> establecen el Artículo 89 del TOCAF y la </w:t>
      </w:r>
      <w:r w:rsidR="0007701A">
        <w:rPr>
          <w:rFonts w:ascii="Arial" w:hAnsi="Arial" w:cs="Arial"/>
        </w:rPr>
        <w:t>Resolución de la Intendencia Nº</w:t>
      </w:r>
      <w:r>
        <w:rPr>
          <w:rFonts w:ascii="Arial" w:hAnsi="Arial" w:cs="Arial"/>
        </w:rPr>
        <w:t>1.155/97 de 14/04/97.</w:t>
      </w:r>
    </w:p>
    <w:p w:rsidR="008B3C4E" w:rsidRDefault="008B3C4E" w:rsidP="008B3C4E">
      <w:pPr>
        <w:pStyle w:val="Nombredireccin"/>
        <w:spacing w:before="0" w:line="360" w:lineRule="auto"/>
        <w:rPr>
          <w:rFonts w:cs="Arial"/>
          <w:kern w:val="0"/>
          <w:szCs w:val="24"/>
          <w:highlight w:val="yellow"/>
        </w:rPr>
      </w:pPr>
    </w:p>
    <w:p w:rsidR="008B3C4E" w:rsidRDefault="008B3C4E" w:rsidP="008B3C4E">
      <w:pPr>
        <w:pStyle w:val="Ttulo2"/>
        <w:rPr>
          <w:rFonts w:cs="Arial"/>
          <w:color w:val="FF0000"/>
        </w:rPr>
      </w:pPr>
      <w:bookmarkStart w:id="122" w:name="_Toc210448366"/>
      <w:bookmarkStart w:id="123" w:name="_Toc211365938"/>
      <w:bookmarkStart w:id="124" w:name="_Toc277345280"/>
      <w:bookmarkStart w:id="125" w:name="_Toc368906240"/>
      <w:r>
        <w:rPr>
          <w:rFonts w:cs="Arial"/>
        </w:rPr>
        <w:t>3.5.3 Recomendaciones del Ejercicio</w:t>
      </w:r>
      <w:bookmarkEnd w:id="122"/>
      <w:bookmarkEnd w:id="123"/>
      <w:bookmarkEnd w:id="124"/>
      <w:bookmarkEnd w:id="125"/>
    </w:p>
    <w:p w:rsidR="008B3C4E" w:rsidRDefault="008B3C4E" w:rsidP="008B3C4E">
      <w:pPr>
        <w:pStyle w:val="Textoindependiente"/>
        <w:widowControl w:val="0"/>
        <w:spacing w:after="0" w:line="360" w:lineRule="auto"/>
        <w:rPr>
          <w:rFonts w:cs="Arial"/>
          <w:kern w:val="0"/>
          <w:szCs w:val="24"/>
          <w:lang w:val="es-ES"/>
        </w:rPr>
      </w:pPr>
      <w:r>
        <w:rPr>
          <w:rFonts w:cs="Arial"/>
          <w:kern w:val="0"/>
          <w:szCs w:val="24"/>
          <w:lang w:val="es-ES"/>
        </w:rPr>
        <w:t>Se reiteran las recomendaciones del Ejercicio anterior no cumplidas y se agregan las siguientes:</w:t>
      </w:r>
    </w:p>
    <w:p w:rsidR="008B3C4E" w:rsidRDefault="008B3C4E" w:rsidP="008B3C4E">
      <w:pPr>
        <w:pStyle w:val="Textoindependiente"/>
        <w:widowControl w:val="0"/>
        <w:spacing w:after="0" w:line="360" w:lineRule="auto"/>
        <w:rPr>
          <w:rFonts w:cs="Arial"/>
          <w:kern w:val="0"/>
          <w:szCs w:val="24"/>
          <w:lang w:val="es-ES"/>
        </w:rPr>
      </w:pPr>
    </w:p>
    <w:p w:rsidR="008B3C4E" w:rsidRDefault="008B3C4E" w:rsidP="008B3C4E">
      <w:pPr>
        <w:pStyle w:val="Ttulo2"/>
        <w:rPr>
          <w:rFonts w:cs="Arial"/>
        </w:rPr>
      </w:pPr>
      <w:bookmarkStart w:id="126" w:name="_Toc368906241"/>
      <w:r>
        <w:rPr>
          <w:rFonts w:cs="Arial"/>
        </w:rPr>
        <w:t>3.5.3.1 Zoológico de Villa Dolores</w:t>
      </w:r>
      <w:bookmarkEnd w:id="126"/>
    </w:p>
    <w:p w:rsidR="008B3C4E" w:rsidRDefault="008B3C4E" w:rsidP="008B3C4E">
      <w:pPr>
        <w:pStyle w:val="Textoindependiente"/>
        <w:widowControl w:val="0"/>
        <w:spacing w:after="0" w:line="360" w:lineRule="auto"/>
        <w:rPr>
          <w:rFonts w:cs="Arial"/>
        </w:rPr>
      </w:pPr>
      <w:r>
        <w:rPr>
          <w:rFonts w:cs="Arial"/>
        </w:rPr>
        <w:t>Deberán instrumentarse mecanismos que permitan realizar un adecuado control sobre la recaudación del mismo.</w:t>
      </w:r>
    </w:p>
    <w:p w:rsidR="008B3C4E" w:rsidRDefault="008B3C4E" w:rsidP="008B3C4E">
      <w:pPr>
        <w:pStyle w:val="Textoindependiente"/>
        <w:widowControl w:val="0"/>
        <w:spacing w:after="0" w:line="360" w:lineRule="auto"/>
        <w:rPr>
          <w:rFonts w:cs="Arial"/>
          <w:kern w:val="0"/>
          <w:szCs w:val="24"/>
          <w:lang w:val="es-ES"/>
        </w:rPr>
      </w:pPr>
    </w:p>
    <w:p w:rsidR="008B3C4E" w:rsidRDefault="008B3C4E" w:rsidP="008B3C4E">
      <w:pPr>
        <w:pStyle w:val="Ttulo2"/>
        <w:rPr>
          <w:highlight w:val="yellow"/>
        </w:rPr>
      </w:pPr>
      <w:bookmarkStart w:id="127" w:name="_Toc368906242"/>
      <w:r>
        <w:t>3.5.3.2 Parque Tecnológico Industrial del Cerro (PTIC)</w:t>
      </w:r>
      <w:bookmarkEnd w:id="127"/>
    </w:p>
    <w:p w:rsidR="008B3C4E" w:rsidRDefault="008B3C4E" w:rsidP="008B3C4E">
      <w:pPr>
        <w:pStyle w:val="Textoindependiente"/>
        <w:widowControl w:val="0"/>
        <w:spacing w:after="0" w:line="360" w:lineRule="auto"/>
        <w:rPr>
          <w:rFonts w:cs="Arial"/>
          <w:lang w:val="es-UY"/>
        </w:rPr>
      </w:pPr>
      <w:r>
        <w:rPr>
          <w:rFonts w:cs="Arial"/>
        </w:rPr>
        <w:t xml:space="preserve">La Intendencia deberá instrumentar </w:t>
      </w:r>
      <w:r>
        <w:rPr>
          <w:rFonts w:cs="Arial"/>
          <w:lang w:val="es-UY"/>
        </w:rPr>
        <w:t>Manuales de Procedimientos y de Funciones, que establezcan claramente las competencias, responsabilidades de cada cargo y los procedimientos a aplicar, de forma que exista una adecuada separación de funciones y oposición de intereses.</w:t>
      </w:r>
    </w:p>
    <w:p w:rsidR="008B3C4E" w:rsidRDefault="008B3C4E" w:rsidP="008B3C4E">
      <w:pPr>
        <w:pStyle w:val="Textoindependiente"/>
        <w:widowControl w:val="0"/>
        <w:spacing w:after="0" w:line="360" w:lineRule="auto"/>
        <w:rPr>
          <w:rFonts w:cs="Arial"/>
          <w:kern w:val="0"/>
          <w:szCs w:val="24"/>
          <w:lang w:val="es-UY"/>
        </w:rPr>
      </w:pPr>
    </w:p>
    <w:p w:rsidR="008B3C4E" w:rsidRDefault="008B3C4E" w:rsidP="008B3C4E">
      <w:pPr>
        <w:pStyle w:val="Ttulo2"/>
      </w:pPr>
      <w:bookmarkStart w:id="128" w:name="_Toc368906243"/>
      <w:r>
        <w:rPr>
          <w:noProof/>
          <w:kern w:val="0"/>
        </w:rPr>
        <w:t>3.5.3.3 Control Interno</w:t>
      </w:r>
      <w:bookmarkEnd w:id="128"/>
    </w:p>
    <w:p w:rsidR="008B3C4E" w:rsidRDefault="008B3C4E" w:rsidP="008B3C4E">
      <w:pPr>
        <w:pStyle w:val="Textoindependiente"/>
        <w:widowControl w:val="0"/>
        <w:spacing w:after="0" w:line="360" w:lineRule="auto"/>
        <w:rPr>
          <w:highlight w:val="yellow"/>
        </w:rPr>
      </w:pPr>
      <w:r>
        <w:t>La Intendencia debería disponer las medidas necesarias para subsanar las  debilidades de control interno expuestas en el capítulo 3.4.</w:t>
      </w:r>
    </w:p>
    <w:p w:rsidR="008B3C4E" w:rsidRDefault="008B3C4E" w:rsidP="008B3C4E">
      <w:pPr>
        <w:pStyle w:val="Textoindependiente"/>
        <w:widowControl w:val="0"/>
        <w:spacing w:after="0" w:line="360" w:lineRule="auto"/>
        <w:jc w:val="right"/>
        <w:rPr>
          <w:rFonts w:cs="Arial"/>
          <w:color w:val="FF0000"/>
          <w:highlight w:val="yellow"/>
          <w:lang w:val="es-ES"/>
        </w:rPr>
      </w:pPr>
      <w:r>
        <w:rPr>
          <w:rFonts w:cs="Arial"/>
        </w:rPr>
        <w:t>Mo</w:t>
      </w:r>
      <w:r w:rsidR="00FA3453">
        <w:rPr>
          <w:rFonts w:cs="Arial"/>
        </w:rPr>
        <w:t>ntevideo, 16 de octubre de 2013</w:t>
      </w:r>
    </w:p>
    <w:p w:rsidR="008044A4" w:rsidRDefault="008044A4" w:rsidP="008B3C4E">
      <w:pPr>
        <w:pStyle w:val="Textoindependiente"/>
        <w:widowControl w:val="0"/>
        <w:spacing w:after="0" w:line="360" w:lineRule="auto"/>
        <w:rPr>
          <w:rFonts w:cs="Arial"/>
          <w:color w:val="FF0000"/>
          <w:highlight w:val="yellow"/>
          <w:lang w:val="es-ES"/>
        </w:rPr>
      </w:pPr>
    </w:p>
    <w:p w:rsidR="008B3C4E" w:rsidRDefault="00FA3453" w:rsidP="00FA3453">
      <w:pPr>
        <w:spacing w:line="360" w:lineRule="auto"/>
        <w:rPr>
          <w:rFonts w:ascii="Arial" w:hAnsi="Arial" w:cs="Arial"/>
          <w:b/>
          <w:lang w:val="es-MX"/>
        </w:rPr>
      </w:pPr>
      <w:r w:rsidRPr="00FA3453">
        <w:rPr>
          <w:rFonts w:ascii="Arial" w:hAnsi="Arial" w:cs="Arial"/>
          <w:b/>
          <w:lang w:val="es-MX"/>
        </w:rPr>
        <w:t xml:space="preserve">Oficio remitido al </w:t>
      </w:r>
      <w:r w:rsidR="008B3C4E" w:rsidRPr="00FA3453">
        <w:rPr>
          <w:rFonts w:ascii="Arial" w:hAnsi="Arial" w:cs="Arial"/>
          <w:b/>
          <w:lang w:val="es-MX"/>
        </w:rPr>
        <w:t>Sr. Presidente del Banco de Previsión Social</w:t>
      </w:r>
      <w:r w:rsidRPr="00FA3453">
        <w:rPr>
          <w:rFonts w:ascii="Arial" w:hAnsi="Arial" w:cs="Arial"/>
          <w:b/>
          <w:lang w:val="es-MX"/>
        </w:rPr>
        <w:t xml:space="preserve"> </w:t>
      </w:r>
      <w:r w:rsidR="008B3C4E" w:rsidRPr="00FA3453">
        <w:rPr>
          <w:rFonts w:ascii="Arial" w:hAnsi="Arial" w:cs="Arial"/>
          <w:b/>
          <w:lang w:val="es-MX"/>
        </w:rPr>
        <w:t>Maestro Ernesto Murro</w:t>
      </w:r>
      <w:r w:rsidRPr="00FA3453">
        <w:rPr>
          <w:rFonts w:ascii="Arial" w:hAnsi="Arial" w:cs="Arial"/>
          <w:b/>
          <w:lang w:val="es-MX"/>
        </w:rPr>
        <w:t>.-</w:t>
      </w:r>
    </w:p>
    <w:p w:rsidR="0070105B" w:rsidRPr="00FA3453" w:rsidRDefault="0070105B" w:rsidP="00FA3453">
      <w:pPr>
        <w:spacing w:line="360" w:lineRule="auto"/>
        <w:rPr>
          <w:rFonts w:ascii="Arial" w:hAnsi="Arial" w:cs="Arial"/>
          <w:b/>
          <w:lang w:val="es-MX"/>
        </w:rPr>
      </w:pPr>
    </w:p>
    <w:p w:rsidR="008B3C4E" w:rsidRDefault="008B3C4E" w:rsidP="008B3C4E">
      <w:pPr>
        <w:pStyle w:val="Sangradetextonormal"/>
      </w:pPr>
      <w:r>
        <w:t>Comunicamos a Usted que en el curso de la auditoría practicada en la Intendencia de Montevideo, en oportunidad de informar respecto de la Rendición de Cuentas correspondiente al Ejercicio 2012, se constató que la Intendencia no efectuó los aportes al Banco de Previsión Social por el 100% para la partida de “Viáticos Especiales”.</w:t>
      </w:r>
    </w:p>
    <w:p w:rsidR="008B3C4E" w:rsidRPr="0070105B" w:rsidRDefault="0070105B" w:rsidP="008B3C4E">
      <w:pPr>
        <w:spacing w:line="360" w:lineRule="auto"/>
        <w:rPr>
          <w:rFonts w:ascii="Arial" w:hAnsi="Arial" w:cs="Arial"/>
          <w:b/>
          <w:lang w:val="es-MX"/>
        </w:rPr>
      </w:pPr>
      <w:r w:rsidRPr="0070105B">
        <w:rPr>
          <w:rFonts w:ascii="Arial" w:hAnsi="Arial" w:cs="Arial"/>
          <w:b/>
          <w:lang w:val="es-MX"/>
        </w:rPr>
        <w:lastRenderedPageBreak/>
        <w:t xml:space="preserve">Oficio remitido al </w:t>
      </w:r>
      <w:r w:rsidR="008B3C4E" w:rsidRPr="0070105B">
        <w:rPr>
          <w:rFonts w:ascii="Arial" w:hAnsi="Arial" w:cs="Arial"/>
          <w:b/>
          <w:lang w:val="es-MX"/>
        </w:rPr>
        <w:t xml:space="preserve">Sr. Ministro del Interior Eduardo </w:t>
      </w:r>
      <w:proofErr w:type="spellStart"/>
      <w:r w:rsidR="008B3C4E" w:rsidRPr="0070105B">
        <w:rPr>
          <w:rFonts w:ascii="Arial" w:hAnsi="Arial" w:cs="Arial"/>
          <w:b/>
          <w:lang w:val="es-MX"/>
        </w:rPr>
        <w:t>Bonomi</w:t>
      </w:r>
      <w:proofErr w:type="spellEnd"/>
      <w:r w:rsidRPr="0070105B">
        <w:rPr>
          <w:rFonts w:ascii="Arial" w:hAnsi="Arial" w:cs="Arial"/>
          <w:b/>
          <w:lang w:val="es-MX"/>
        </w:rPr>
        <w:t>.-</w:t>
      </w:r>
    </w:p>
    <w:p w:rsidR="0070105B" w:rsidRDefault="0070105B" w:rsidP="008B3C4E">
      <w:pPr>
        <w:spacing w:line="360" w:lineRule="auto"/>
        <w:rPr>
          <w:rFonts w:ascii="Arial" w:hAnsi="Arial" w:cs="Arial"/>
          <w:lang w:val="es-MX"/>
        </w:rPr>
      </w:pPr>
    </w:p>
    <w:p w:rsidR="008B3C4E" w:rsidRDefault="008B3C4E" w:rsidP="008B3C4E">
      <w:pPr>
        <w:pStyle w:val="Sangradetextonormal"/>
      </w:pPr>
      <w:r>
        <w:t>Comunicamos a Usted que en el curso de la auditoría practicada en la Intendencia de Montevideo, en oportunidad de informar respecto de la Rendición de Cuentas correspondiente al Ejercicio 2012, se ha constatado que desde el Ejercicio 1998 no se han vertido la totalidad de los montos correspondientes a multas de tránsito impuestas por la Jefatura de Policía de Montevideo por un monto de $11.403.324,12; según se expone en el documento y el informe presentado por la Intendencia de Montevideo.</w:t>
      </w:r>
    </w:p>
    <w:p w:rsidR="00944A69" w:rsidRDefault="00944A69" w:rsidP="00944A69">
      <w:pPr>
        <w:pStyle w:val="Sangradetextonormal"/>
        <w:ind w:firstLine="0"/>
      </w:pPr>
    </w:p>
    <w:p w:rsidR="00944A69" w:rsidRDefault="00944A69" w:rsidP="00944A69">
      <w:pPr>
        <w:pStyle w:val="Sangradetextonormal"/>
        <w:ind w:firstLine="0"/>
      </w:pPr>
      <w:r>
        <w:t>cc</w:t>
      </w:r>
    </w:p>
    <w:sectPr w:rsidR="00944A69" w:rsidSect="000F2780">
      <w:pgSz w:w="11906" w:h="16838"/>
      <w:pgMar w:top="3402" w:right="170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2DD8"/>
    <w:multiLevelType w:val="hybridMultilevel"/>
    <w:tmpl w:val="E2F45042"/>
    <w:lvl w:ilvl="0" w:tplc="7214F360">
      <w:start w:val="1"/>
      <w:numFmt w:val="lowerLetter"/>
      <w:lvlText w:val="%1)"/>
      <w:lvlJc w:val="left"/>
      <w:pPr>
        <w:tabs>
          <w:tab w:val="num" w:pos="360"/>
        </w:tabs>
        <w:ind w:left="340" w:hanging="340"/>
      </w:pPr>
      <w:rPr>
        <w:rFonts w:ascii="Arial" w:hAnsi="Arial"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3E3227"/>
    <w:multiLevelType w:val="hybridMultilevel"/>
    <w:tmpl w:val="2806B990"/>
    <w:lvl w:ilvl="0" w:tplc="1F0ED79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402403C"/>
    <w:multiLevelType w:val="hybridMultilevel"/>
    <w:tmpl w:val="C2CE1358"/>
    <w:lvl w:ilvl="0" w:tplc="54C0A74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80"/>
    <w:rsid w:val="0007701A"/>
    <w:rsid w:val="000C4EE1"/>
    <w:rsid w:val="000F2780"/>
    <w:rsid w:val="002937CF"/>
    <w:rsid w:val="0070105B"/>
    <w:rsid w:val="008044A4"/>
    <w:rsid w:val="008B3C4E"/>
    <w:rsid w:val="00944A69"/>
    <w:rsid w:val="009956E7"/>
    <w:rsid w:val="00EC2CFC"/>
    <w:rsid w:val="00F97D5F"/>
    <w:rsid w:val="00FA34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8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B3C4E"/>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8B3C4E"/>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B3C4E"/>
    <w:pPr>
      <w:spacing w:after="240" w:line="240" w:lineRule="atLeast"/>
      <w:jc w:val="both"/>
    </w:pPr>
    <w:rPr>
      <w:rFonts w:ascii="Arial" w:hAnsi="Arial"/>
      <w:kern w:val="18"/>
      <w:szCs w:val="20"/>
      <w:lang w:val="es-ES_tradnl"/>
    </w:rPr>
  </w:style>
  <w:style w:type="character" w:customStyle="1" w:styleId="TextoindependienteCar">
    <w:name w:val="Texto independiente Car"/>
    <w:basedOn w:val="Fuentedeprrafopredeter"/>
    <w:link w:val="Textoindependiente"/>
    <w:semiHidden/>
    <w:rsid w:val="008B3C4E"/>
    <w:rPr>
      <w:rFonts w:ascii="Arial" w:eastAsia="Times New Roman" w:hAnsi="Arial" w:cs="Times New Roman"/>
      <w:kern w:val="18"/>
      <w:sz w:val="24"/>
      <w:szCs w:val="20"/>
      <w:lang w:val="es-ES_tradnl" w:eastAsia="es-ES"/>
    </w:rPr>
  </w:style>
  <w:style w:type="paragraph" w:styleId="Ttulo">
    <w:name w:val="Title"/>
    <w:basedOn w:val="Normal"/>
    <w:next w:val="Normal"/>
    <w:link w:val="TtuloCar"/>
    <w:qFormat/>
    <w:rsid w:val="008B3C4E"/>
    <w:pPr>
      <w:spacing w:line="360" w:lineRule="auto"/>
      <w:outlineLvl w:val="0"/>
    </w:pPr>
    <w:rPr>
      <w:rFonts w:ascii="Arial" w:hAnsi="Arial"/>
      <w:b/>
      <w:caps/>
      <w:kern w:val="18"/>
      <w:sz w:val="28"/>
      <w:szCs w:val="20"/>
    </w:rPr>
  </w:style>
  <w:style w:type="character" w:customStyle="1" w:styleId="TtuloCar">
    <w:name w:val="Título Car"/>
    <w:basedOn w:val="Fuentedeprrafopredeter"/>
    <w:link w:val="Ttulo"/>
    <w:rsid w:val="008B3C4E"/>
    <w:rPr>
      <w:rFonts w:ascii="Arial" w:eastAsia="Times New Roman" w:hAnsi="Arial" w:cs="Times New Roman"/>
      <w:b/>
      <w:caps/>
      <w:kern w:val="18"/>
      <w:sz w:val="28"/>
      <w:szCs w:val="20"/>
      <w:lang w:val="es-ES" w:eastAsia="es-ES"/>
    </w:rPr>
  </w:style>
  <w:style w:type="paragraph" w:styleId="Subttulo">
    <w:name w:val="Subtitle"/>
    <w:basedOn w:val="Normal"/>
    <w:next w:val="Textoindependiente"/>
    <w:link w:val="SubttuloCar"/>
    <w:qFormat/>
    <w:rsid w:val="008B3C4E"/>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8B3C4E"/>
    <w:rPr>
      <w:rFonts w:ascii="Bookman Old Style" w:eastAsia="Times New Roman" w:hAnsi="Bookman Old Style" w:cs="Times New Roman"/>
      <w:b/>
      <w:kern w:val="1"/>
      <w:sz w:val="24"/>
      <w:szCs w:val="20"/>
      <w:lang w:val="es-ES" w:eastAsia="ar-SA"/>
    </w:rPr>
  </w:style>
  <w:style w:type="paragraph" w:styleId="Textoindependiente3">
    <w:name w:val="Body Text 3"/>
    <w:basedOn w:val="Normal"/>
    <w:link w:val="Textoindependiente3Car"/>
    <w:semiHidden/>
    <w:rsid w:val="008B3C4E"/>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8B3C4E"/>
    <w:rPr>
      <w:rFonts w:ascii="Bookman Old Style" w:eastAsia="Times New Roman" w:hAnsi="Bookman Old Style" w:cs="Times New Roman"/>
      <w:b/>
      <w:bCs/>
      <w:kern w:val="18"/>
      <w:sz w:val="24"/>
      <w:szCs w:val="20"/>
      <w:lang w:val="es-ES" w:eastAsia="es-ES"/>
    </w:rPr>
  </w:style>
  <w:style w:type="paragraph" w:styleId="Encabezado">
    <w:name w:val="header"/>
    <w:basedOn w:val="Normal"/>
    <w:link w:val="EncabezadoCar"/>
    <w:semiHidden/>
    <w:rsid w:val="008B3C4E"/>
    <w:pPr>
      <w:tabs>
        <w:tab w:val="center" w:pos="4419"/>
        <w:tab w:val="right" w:pos="8838"/>
      </w:tabs>
    </w:pPr>
    <w:rPr>
      <w:rFonts w:ascii="Arial" w:hAnsi="Arial"/>
    </w:rPr>
  </w:style>
  <w:style w:type="character" w:customStyle="1" w:styleId="EncabezadoCar">
    <w:name w:val="Encabezado Car"/>
    <w:basedOn w:val="Fuentedeprrafopredeter"/>
    <w:link w:val="Encabezado"/>
    <w:semiHidden/>
    <w:rsid w:val="008B3C4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B3C4E"/>
    <w:rPr>
      <w:rFonts w:ascii="Arial" w:eastAsia="Times New Roman" w:hAnsi="Arial" w:cs="Arial"/>
      <w:b/>
      <w:kern w:val="18"/>
      <w:sz w:val="24"/>
      <w:szCs w:val="20"/>
      <w:lang w:val="es-ES" w:eastAsia="es-ES"/>
    </w:rPr>
  </w:style>
  <w:style w:type="character" w:customStyle="1" w:styleId="Ttulo2Car">
    <w:name w:val="Título 2 Car"/>
    <w:basedOn w:val="Fuentedeprrafopredeter"/>
    <w:link w:val="Ttulo2"/>
    <w:rsid w:val="008B3C4E"/>
    <w:rPr>
      <w:rFonts w:ascii="Arial" w:eastAsia="Times New Roman" w:hAnsi="Arial" w:cs="Times New Roman"/>
      <w:b/>
      <w:kern w:val="18"/>
      <w:sz w:val="24"/>
      <w:szCs w:val="20"/>
      <w:lang w:val="es-ES" w:eastAsia="es-ES"/>
    </w:rPr>
  </w:style>
  <w:style w:type="paragraph" w:customStyle="1" w:styleId="Nombredireccin">
    <w:name w:val="Nombre dirección"/>
    <w:basedOn w:val="Normal"/>
    <w:next w:val="Normal"/>
    <w:rsid w:val="008B3C4E"/>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rsid w:val="008B3C4E"/>
    <w:pPr>
      <w:spacing w:line="360" w:lineRule="auto"/>
      <w:ind w:firstLine="993"/>
      <w:jc w:val="both"/>
    </w:pPr>
    <w:rPr>
      <w:rFonts w:ascii="Arial" w:hAnsi="Arial" w:cs="Arial"/>
      <w:szCs w:val="20"/>
    </w:rPr>
  </w:style>
  <w:style w:type="character" w:customStyle="1" w:styleId="SangradetextonormalCar">
    <w:name w:val="Sangría de texto normal Car"/>
    <w:basedOn w:val="Fuentedeprrafopredeter"/>
    <w:link w:val="Sangradetextonormal"/>
    <w:semiHidden/>
    <w:rsid w:val="008B3C4E"/>
    <w:rPr>
      <w:rFonts w:ascii="Arial" w:eastAsia="Times New Roman" w:hAnsi="Arial" w:cs="Arial"/>
      <w:sz w:val="24"/>
      <w:szCs w:val="20"/>
      <w:lang w:val="es-ES" w:eastAsia="es-ES"/>
    </w:rPr>
  </w:style>
  <w:style w:type="paragraph" w:styleId="Textoindependiente2">
    <w:name w:val="Body Text 2"/>
    <w:basedOn w:val="Normal"/>
    <w:link w:val="Textoindependiente2Car"/>
    <w:semiHidden/>
    <w:rsid w:val="008B3C4E"/>
    <w:pPr>
      <w:tabs>
        <w:tab w:val="left" w:pos="10350"/>
      </w:tabs>
      <w:spacing w:line="360" w:lineRule="auto"/>
      <w:jc w:val="both"/>
    </w:pPr>
    <w:rPr>
      <w:rFonts w:ascii="Arial" w:hAnsi="Arial"/>
      <w:snapToGrid w:val="0"/>
      <w:color w:val="000000"/>
    </w:rPr>
  </w:style>
  <w:style w:type="character" w:customStyle="1" w:styleId="Textoindependiente2Car">
    <w:name w:val="Texto independiente 2 Car"/>
    <w:basedOn w:val="Fuentedeprrafopredeter"/>
    <w:link w:val="Textoindependiente2"/>
    <w:semiHidden/>
    <w:rsid w:val="008B3C4E"/>
    <w:rPr>
      <w:rFonts w:ascii="Arial" w:eastAsia="Times New Roman" w:hAnsi="Arial" w:cs="Times New Roman"/>
      <w:snapToGrid w:val="0"/>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8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B3C4E"/>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8B3C4E"/>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B3C4E"/>
    <w:pPr>
      <w:spacing w:after="240" w:line="240" w:lineRule="atLeast"/>
      <w:jc w:val="both"/>
    </w:pPr>
    <w:rPr>
      <w:rFonts w:ascii="Arial" w:hAnsi="Arial"/>
      <w:kern w:val="18"/>
      <w:szCs w:val="20"/>
      <w:lang w:val="es-ES_tradnl"/>
    </w:rPr>
  </w:style>
  <w:style w:type="character" w:customStyle="1" w:styleId="TextoindependienteCar">
    <w:name w:val="Texto independiente Car"/>
    <w:basedOn w:val="Fuentedeprrafopredeter"/>
    <w:link w:val="Textoindependiente"/>
    <w:semiHidden/>
    <w:rsid w:val="008B3C4E"/>
    <w:rPr>
      <w:rFonts w:ascii="Arial" w:eastAsia="Times New Roman" w:hAnsi="Arial" w:cs="Times New Roman"/>
      <w:kern w:val="18"/>
      <w:sz w:val="24"/>
      <w:szCs w:val="20"/>
      <w:lang w:val="es-ES_tradnl" w:eastAsia="es-ES"/>
    </w:rPr>
  </w:style>
  <w:style w:type="paragraph" w:styleId="Ttulo">
    <w:name w:val="Title"/>
    <w:basedOn w:val="Normal"/>
    <w:next w:val="Normal"/>
    <w:link w:val="TtuloCar"/>
    <w:qFormat/>
    <w:rsid w:val="008B3C4E"/>
    <w:pPr>
      <w:spacing w:line="360" w:lineRule="auto"/>
      <w:outlineLvl w:val="0"/>
    </w:pPr>
    <w:rPr>
      <w:rFonts w:ascii="Arial" w:hAnsi="Arial"/>
      <w:b/>
      <w:caps/>
      <w:kern w:val="18"/>
      <w:sz w:val="28"/>
      <w:szCs w:val="20"/>
    </w:rPr>
  </w:style>
  <w:style w:type="character" w:customStyle="1" w:styleId="TtuloCar">
    <w:name w:val="Título Car"/>
    <w:basedOn w:val="Fuentedeprrafopredeter"/>
    <w:link w:val="Ttulo"/>
    <w:rsid w:val="008B3C4E"/>
    <w:rPr>
      <w:rFonts w:ascii="Arial" w:eastAsia="Times New Roman" w:hAnsi="Arial" w:cs="Times New Roman"/>
      <w:b/>
      <w:caps/>
      <w:kern w:val="18"/>
      <w:sz w:val="28"/>
      <w:szCs w:val="20"/>
      <w:lang w:val="es-ES" w:eastAsia="es-ES"/>
    </w:rPr>
  </w:style>
  <w:style w:type="paragraph" w:styleId="Subttulo">
    <w:name w:val="Subtitle"/>
    <w:basedOn w:val="Normal"/>
    <w:next w:val="Textoindependiente"/>
    <w:link w:val="SubttuloCar"/>
    <w:qFormat/>
    <w:rsid w:val="008B3C4E"/>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8B3C4E"/>
    <w:rPr>
      <w:rFonts w:ascii="Bookman Old Style" w:eastAsia="Times New Roman" w:hAnsi="Bookman Old Style" w:cs="Times New Roman"/>
      <w:b/>
      <w:kern w:val="1"/>
      <w:sz w:val="24"/>
      <w:szCs w:val="20"/>
      <w:lang w:val="es-ES" w:eastAsia="ar-SA"/>
    </w:rPr>
  </w:style>
  <w:style w:type="paragraph" w:styleId="Textoindependiente3">
    <w:name w:val="Body Text 3"/>
    <w:basedOn w:val="Normal"/>
    <w:link w:val="Textoindependiente3Car"/>
    <w:semiHidden/>
    <w:rsid w:val="008B3C4E"/>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8B3C4E"/>
    <w:rPr>
      <w:rFonts w:ascii="Bookman Old Style" w:eastAsia="Times New Roman" w:hAnsi="Bookman Old Style" w:cs="Times New Roman"/>
      <w:b/>
      <w:bCs/>
      <w:kern w:val="18"/>
      <w:sz w:val="24"/>
      <w:szCs w:val="20"/>
      <w:lang w:val="es-ES" w:eastAsia="es-ES"/>
    </w:rPr>
  </w:style>
  <w:style w:type="paragraph" w:styleId="Encabezado">
    <w:name w:val="header"/>
    <w:basedOn w:val="Normal"/>
    <w:link w:val="EncabezadoCar"/>
    <w:semiHidden/>
    <w:rsid w:val="008B3C4E"/>
    <w:pPr>
      <w:tabs>
        <w:tab w:val="center" w:pos="4419"/>
        <w:tab w:val="right" w:pos="8838"/>
      </w:tabs>
    </w:pPr>
    <w:rPr>
      <w:rFonts w:ascii="Arial" w:hAnsi="Arial"/>
    </w:rPr>
  </w:style>
  <w:style w:type="character" w:customStyle="1" w:styleId="EncabezadoCar">
    <w:name w:val="Encabezado Car"/>
    <w:basedOn w:val="Fuentedeprrafopredeter"/>
    <w:link w:val="Encabezado"/>
    <w:semiHidden/>
    <w:rsid w:val="008B3C4E"/>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B3C4E"/>
    <w:rPr>
      <w:rFonts w:ascii="Arial" w:eastAsia="Times New Roman" w:hAnsi="Arial" w:cs="Arial"/>
      <w:b/>
      <w:kern w:val="18"/>
      <w:sz w:val="24"/>
      <w:szCs w:val="20"/>
      <w:lang w:val="es-ES" w:eastAsia="es-ES"/>
    </w:rPr>
  </w:style>
  <w:style w:type="character" w:customStyle="1" w:styleId="Ttulo2Car">
    <w:name w:val="Título 2 Car"/>
    <w:basedOn w:val="Fuentedeprrafopredeter"/>
    <w:link w:val="Ttulo2"/>
    <w:rsid w:val="008B3C4E"/>
    <w:rPr>
      <w:rFonts w:ascii="Arial" w:eastAsia="Times New Roman" w:hAnsi="Arial" w:cs="Times New Roman"/>
      <w:b/>
      <w:kern w:val="18"/>
      <w:sz w:val="24"/>
      <w:szCs w:val="20"/>
      <w:lang w:val="es-ES" w:eastAsia="es-ES"/>
    </w:rPr>
  </w:style>
  <w:style w:type="paragraph" w:customStyle="1" w:styleId="Nombredireccin">
    <w:name w:val="Nombre dirección"/>
    <w:basedOn w:val="Normal"/>
    <w:next w:val="Normal"/>
    <w:rsid w:val="008B3C4E"/>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rsid w:val="008B3C4E"/>
    <w:pPr>
      <w:spacing w:line="360" w:lineRule="auto"/>
      <w:ind w:firstLine="993"/>
      <w:jc w:val="both"/>
    </w:pPr>
    <w:rPr>
      <w:rFonts w:ascii="Arial" w:hAnsi="Arial" w:cs="Arial"/>
      <w:szCs w:val="20"/>
    </w:rPr>
  </w:style>
  <w:style w:type="character" w:customStyle="1" w:styleId="SangradetextonormalCar">
    <w:name w:val="Sangría de texto normal Car"/>
    <w:basedOn w:val="Fuentedeprrafopredeter"/>
    <w:link w:val="Sangradetextonormal"/>
    <w:semiHidden/>
    <w:rsid w:val="008B3C4E"/>
    <w:rPr>
      <w:rFonts w:ascii="Arial" w:eastAsia="Times New Roman" w:hAnsi="Arial" w:cs="Arial"/>
      <w:sz w:val="24"/>
      <w:szCs w:val="20"/>
      <w:lang w:val="es-ES" w:eastAsia="es-ES"/>
    </w:rPr>
  </w:style>
  <w:style w:type="paragraph" w:styleId="Textoindependiente2">
    <w:name w:val="Body Text 2"/>
    <w:basedOn w:val="Normal"/>
    <w:link w:val="Textoindependiente2Car"/>
    <w:semiHidden/>
    <w:rsid w:val="008B3C4E"/>
    <w:pPr>
      <w:tabs>
        <w:tab w:val="left" w:pos="10350"/>
      </w:tabs>
      <w:spacing w:line="360" w:lineRule="auto"/>
      <w:jc w:val="both"/>
    </w:pPr>
    <w:rPr>
      <w:rFonts w:ascii="Arial" w:hAnsi="Arial"/>
      <w:snapToGrid w:val="0"/>
      <w:color w:val="000000"/>
    </w:rPr>
  </w:style>
  <w:style w:type="character" w:customStyle="1" w:styleId="Textoindependiente2Car">
    <w:name w:val="Texto independiente 2 Car"/>
    <w:basedOn w:val="Fuentedeprrafopredeter"/>
    <w:link w:val="Textoindependiente2"/>
    <w:semiHidden/>
    <w:rsid w:val="008B3C4E"/>
    <w:rPr>
      <w:rFonts w:ascii="Arial" w:eastAsia="Times New Roman" w:hAnsi="Arial" w:cs="Times New Roman"/>
      <w:snapToGrid w:val="0"/>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4994</Words>
  <Characters>27468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43704168</dc:creator>
  <cp:keywords/>
  <dc:description/>
  <cp:lastModifiedBy> </cp:lastModifiedBy>
  <cp:revision>5</cp:revision>
  <dcterms:created xsi:type="dcterms:W3CDTF">2013-10-30T20:03:00Z</dcterms:created>
  <dcterms:modified xsi:type="dcterms:W3CDTF">2013-11-21T17:15:00Z</dcterms:modified>
</cp:coreProperties>
</file>