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85E" w:rsidRDefault="00B0685E">
      <w:pPr>
        <w:tabs>
          <w:tab w:val="center" w:pos="4253"/>
        </w:tabs>
        <w:suppressAutoHyphens/>
        <w:jc w:val="center"/>
        <w:rPr>
          <w:rFonts w:ascii="Helvetica" w:hAnsi="Helvetica"/>
          <w:b/>
          <w:lang w:val="es-ES_tradnl"/>
        </w:rPr>
      </w:pPr>
      <w:bookmarkStart w:id="0" w:name="_GoBack"/>
      <w:bookmarkEnd w:id="0"/>
      <w:r>
        <w:rPr>
          <w:rFonts w:ascii="Helvetica" w:hAnsi="Helvetica"/>
          <w:b/>
          <w:lang w:val="es-ES_tradnl"/>
        </w:rPr>
        <w:t>RESOLUCION ADOPTADA POR EL</w:t>
      </w:r>
    </w:p>
    <w:p w:rsidR="00B0685E" w:rsidRDefault="00B0685E">
      <w:pPr>
        <w:tabs>
          <w:tab w:val="left" w:pos="-720"/>
        </w:tabs>
        <w:suppressAutoHyphens/>
        <w:jc w:val="center"/>
        <w:rPr>
          <w:rFonts w:ascii="Helvetica" w:hAnsi="Helvetica"/>
          <w:b/>
          <w:lang w:val="es-ES_tradnl"/>
        </w:rPr>
      </w:pPr>
    </w:p>
    <w:p w:rsidR="00B0685E" w:rsidRDefault="00B0685E">
      <w:pPr>
        <w:tabs>
          <w:tab w:val="center" w:pos="4253"/>
        </w:tabs>
        <w:suppressAutoHyphens/>
        <w:jc w:val="center"/>
        <w:rPr>
          <w:rFonts w:ascii="Helvetica" w:hAnsi="Helvetica"/>
          <w:b/>
          <w:lang w:val="es-ES_tradnl"/>
        </w:rPr>
      </w:pPr>
      <w:r>
        <w:rPr>
          <w:rFonts w:ascii="Helvetica" w:hAnsi="Helvetica"/>
          <w:b/>
          <w:lang w:val="es-ES_tradnl"/>
        </w:rPr>
        <w:t>TRIBUNAL DE CUENTAS</w:t>
      </w:r>
    </w:p>
    <w:p w:rsidR="00B0685E" w:rsidRDefault="00B0685E">
      <w:pPr>
        <w:tabs>
          <w:tab w:val="left" w:pos="-720"/>
        </w:tabs>
        <w:suppressAutoHyphens/>
        <w:jc w:val="center"/>
        <w:rPr>
          <w:rFonts w:ascii="Helvetica" w:hAnsi="Helvetica"/>
          <w:b/>
          <w:lang w:val="es-ES_tradnl"/>
        </w:rPr>
      </w:pPr>
    </w:p>
    <w:p w:rsidR="00B0685E" w:rsidRDefault="00B0685E">
      <w:pPr>
        <w:tabs>
          <w:tab w:val="center" w:pos="4253"/>
        </w:tabs>
        <w:suppressAutoHyphens/>
        <w:jc w:val="center"/>
        <w:rPr>
          <w:rFonts w:ascii="Helvetica" w:hAnsi="Helvetica"/>
          <w:b/>
          <w:lang w:val="es-ES_tradnl"/>
        </w:rPr>
      </w:pPr>
      <w:r>
        <w:rPr>
          <w:rFonts w:ascii="Helvetica" w:hAnsi="Helvetica"/>
          <w:b/>
          <w:lang w:val="es-ES_tradnl"/>
        </w:rPr>
        <w:t>EN SESION DE FECHA 30 DE OCTUBRE DE 2013</w:t>
      </w:r>
    </w:p>
    <w:p w:rsidR="00B0685E" w:rsidRDefault="00B0685E">
      <w:pPr>
        <w:tabs>
          <w:tab w:val="center" w:pos="4253"/>
        </w:tabs>
        <w:suppressAutoHyphens/>
        <w:jc w:val="center"/>
        <w:rPr>
          <w:rFonts w:ascii="Helvetica" w:hAnsi="Helvetica"/>
          <w:b/>
          <w:lang w:val="es-ES_tradnl"/>
        </w:rPr>
      </w:pPr>
    </w:p>
    <w:p w:rsidR="00B0685E" w:rsidRPr="00B0685E" w:rsidRDefault="00B0685E">
      <w:pPr>
        <w:tabs>
          <w:tab w:val="center" w:pos="4253"/>
        </w:tabs>
        <w:suppressAutoHyphens/>
        <w:jc w:val="center"/>
        <w:rPr>
          <w:rFonts w:ascii="Helvetica" w:hAnsi="Helvetica"/>
          <w:b/>
          <w:lang w:val="es-UY"/>
        </w:rPr>
      </w:pPr>
      <w:r w:rsidRPr="00B0685E">
        <w:rPr>
          <w:rFonts w:ascii="Helvetica" w:hAnsi="Helvetica"/>
          <w:b/>
          <w:lang w:val="es-UY"/>
        </w:rPr>
        <w:t xml:space="preserve">(E. E. Nº 2013-17-1-0003280, </w:t>
      </w:r>
      <w:proofErr w:type="spellStart"/>
      <w:r w:rsidRPr="00B0685E">
        <w:rPr>
          <w:rFonts w:ascii="Helvetica" w:hAnsi="Helvetica"/>
          <w:b/>
          <w:lang w:val="es-UY"/>
        </w:rPr>
        <w:t>Ent</w:t>
      </w:r>
      <w:proofErr w:type="spellEnd"/>
      <w:r w:rsidRPr="00B0685E">
        <w:rPr>
          <w:rFonts w:ascii="Helvetica" w:hAnsi="Helvetica"/>
          <w:b/>
          <w:lang w:val="es-UY"/>
        </w:rPr>
        <w:t>. N° 2922/13)</w:t>
      </w:r>
    </w:p>
    <w:p w:rsidR="00B0685E" w:rsidRPr="00B0685E" w:rsidRDefault="00B0685E">
      <w:pPr>
        <w:rPr>
          <w:lang w:val="es-UY"/>
        </w:rPr>
      </w:pPr>
    </w:p>
    <w:p w:rsidR="0080364C" w:rsidRPr="0042510C" w:rsidRDefault="0080364C">
      <w:pPr>
        <w:rPr>
          <w:rFonts w:ascii="Bookman Old Style" w:hAnsi="Bookman Old Style"/>
          <w:lang w:val="es-UY"/>
        </w:rPr>
      </w:pPr>
    </w:p>
    <w:p w:rsidR="001D5ADD" w:rsidRDefault="001D5ADD" w:rsidP="0042510C">
      <w:pPr>
        <w:pStyle w:val="Encabezado"/>
        <w:tabs>
          <w:tab w:val="left" w:pos="708"/>
        </w:tabs>
        <w:spacing w:line="360" w:lineRule="auto"/>
        <w:ind w:firstLine="851"/>
        <w:jc w:val="both"/>
        <w:rPr>
          <w:rFonts w:ascii="Arial" w:hAnsi="Arial"/>
        </w:rPr>
      </w:pPr>
      <w:r>
        <w:rPr>
          <w:rFonts w:ascii="Arial" w:hAnsi="Arial"/>
          <w:b/>
        </w:rPr>
        <w:t>VISTO:</w:t>
      </w:r>
      <w:r>
        <w:rPr>
          <w:rFonts w:ascii="Arial" w:hAnsi="Arial"/>
        </w:rPr>
        <w:t xml:space="preserve"> que este Tribunal ha examinado el Estado de Ejecución Presupuestal de la Administración Nacional de Usinas y Trasmisiones Eléctricas (UTE) correspondiente al Ejercicio 2012;</w:t>
      </w:r>
    </w:p>
    <w:p w:rsidR="001D5ADD" w:rsidRDefault="001D5ADD" w:rsidP="0042510C">
      <w:pPr>
        <w:pStyle w:val="Encabezado"/>
        <w:tabs>
          <w:tab w:val="left" w:pos="708"/>
        </w:tabs>
        <w:spacing w:line="360" w:lineRule="auto"/>
        <w:ind w:firstLine="851"/>
        <w:jc w:val="both"/>
        <w:rPr>
          <w:rFonts w:ascii="Arial" w:hAnsi="Arial"/>
        </w:rPr>
      </w:pPr>
      <w:r>
        <w:rPr>
          <w:rFonts w:ascii="Arial" w:hAnsi="Arial"/>
          <w:b/>
        </w:rPr>
        <w:t>RESULTANDO:</w:t>
      </w:r>
      <w:r>
        <w:rPr>
          <w:rFonts w:ascii="Arial" w:hAnsi="Arial"/>
        </w:rPr>
        <w:t xml:space="preserve"> que el examen fue realizado de </w:t>
      </w:r>
      <w:r>
        <w:rPr>
          <w:rFonts w:ascii="Arial" w:hAnsi="Arial" w:cs="Arial"/>
        </w:rPr>
        <w:t>acuerdo con los Principios Fundamentales de Auditoría (ISSAI 100, 200, 300 y 400) y las Directrices de Auditoría Financiera (ISSAI 1000 a 2999) de la Organización Internacional de Entidades Fiscalizadoras Superiores (INTOSAI);</w:t>
      </w:r>
    </w:p>
    <w:p w:rsidR="001D5ADD" w:rsidRDefault="001D5ADD" w:rsidP="0042510C">
      <w:pPr>
        <w:pStyle w:val="Encabezado"/>
        <w:tabs>
          <w:tab w:val="left" w:pos="708"/>
        </w:tabs>
        <w:spacing w:line="360" w:lineRule="auto"/>
        <w:ind w:firstLine="851"/>
        <w:jc w:val="both"/>
        <w:rPr>
          <w:rFonts w:ascii="Arial" w:hAnsi="Arial"/>
        </w:rPr>
      </w:pPr>
      <w:r>
        <w:rPr>
          <w:rFonts w:ascii="Arial" w:hAnsi="Arial"/>
          <w:b/>
        </w:rPr>
        <w:t>CONSIDERANDO:</w:t>
      </w:r>
      <w:r>
        <w:rPr>
          <w:rFonts w:ascii="Arial" w:hAnsi="Arial"/>
        </w:rPr>
        <w:t xml:space="preserve"> que las conclusiones y evidencias obtenidas son las que se expresan en el Informe de Auditoría, que incluye Dictamen e Informe a la Administración;</w:t>
      </w:r>
    </w:p>
    <w:p w:rsidR="001D5ADD" w:rsidRDefault="001D5ADD" w:rsidP="0042510C">
      <w:pPr>
        <w:pStyle w:val="Encabezado"/>
        <w:tabs>
          <w:tab w:val="left" w:pos="708"/>
        </w:tabs>
        <w:spacing w:line="360" w:lineRule="auto"/>
        <w:ind w:firstLine="851"/>
        <w:jc w:val="both"/>
        <w:rPr>
          <w:rFonts w:ascii="Arial" w:hAnsi="Arial"/>
        </w:rPr>
      </w:pPr>
      <w:r>
        <w:rPr>
          <w:rFonts w:ascii="Arial" w:hAnsi="Arial"/>
          <w:b/>
        </w:rPr>
        <w:t>ATENTO:</w:t>
      </w:r>
      <w:r>
        <w:rPr>
          <w:rFonts w:ascii="Arial" w:hAnsi="Arial"/>
        </w:rPr>
        <w:t xml:space="preserve"> a lo dispuesto por el Artículo 211 Literal C) de la Constitución de la República;</w:t>
      </w:r>
    </w:p>
    <w:p w:rsidR="001D5ADD" w:rsidRDefault="001D5ADD" w:rsidP="001D5ADD">
      <w:pPr>
        <w:pStyle w:val="Ttulo2"/>
        <w:spacing w:after="120"/>
        <w:ind w:firstLine="709"/>
        <w:rPr>
          <w:rFonts w:ascii="Arial" w:hAnsi="Arial"/>
        </w:rPr>
      </w:pPr>
      <w:r>
        <w:rPr>
          <w:rFonts w:ascii="Arial" w:hAnsi="Arial"/>
        </w:rPr>
        <w:t>EL TRIBUNAL ACUERDA</w:t>
      </w:r>
    </w:p>
    <w:p w:rsidR="001D5ADD" w:rsidRDefault="001D5ADD" w:rsidP="001D5ADD">
      <w:pPr>
        <w:spacing w:line="360" w:lineRule="auto"/>
        <w:ind w:left="426" w:hanging="426"/>
        <w:jc w:val="both"/>
        <w:rPr>
          <w:rFonts w:ascii="Arial" w:hAnsi="Arial"/>
        </w:rPr>
      </w:pPr>
      <w:r w:rsidRPr="001D5ADD">
        <w:rPr>
          <w:rFonts w:ascii="Arial" w:hAnsi="Arial"/>
          <w:b/>
        </w:rPr>
        <w:t>1)</w:t>
      </w:r>
      <w:r>
        <w:rPr>
          <w:rFonts w:ascii="Arial" w:hAnsi="Arial"/>
        </w:rPr>
        <w:t xml:space="preserve"> Emitir su Dictamen Constitucional respecto al Estado de Ejecución Presupuestal correspondiente al ejercicio 2012 de la Administración Nacional de Usinas y Trasmisiones Eléctricas, en los términos del informe que se adjunta;</w:t>
      </w:r>
    </w:p>
    <w:p w:rsidR="001D5ADD" w:rsidRDefault="001D5ADD" w:rsidP="001D5ADD">
      <w:pPr>
        <w:spacing w:line="360" w:lineRule="auto"/>
        <w:ind w:left="426" w:hanging="426"/>
        <w:jc w:val="both"/>
        <w:rPr>
          <w:rFonts w:ascii="Arial" w:hAnsi="Arial"/>
        </w:rPr>
      </w:pPr>
      <w:r w:rsidRPr="001D5ADD">
        <w:rPr>
          <w:rFonts w:ascii="Arial" w:hAnsi="Arial"/>
          <w:b/>
        </w:rPr>
        <w:t>2)</w:t>
      </w:r>
      <w:r>
        <w:rPr>
          <w:rFonts w:ascii="Arial" w:hAnsi="Arial"/>
        </w:rPr>
        <w:t xml:space="preserve">   Comunicar al Poder Ejecutivo, a la Oficina de Planeamiento y Presupuesto, al Organismo y a los Contadores Delegados;</w:t>
      </w:r>
    </w:p>
    <w:p w:rsidR="001D5ADD" w:rsidRDefault="001D5ADD" w:rsidP="001D5ADD">
      <w:pPr>
        <w:spacing w:line="360" w:lineRule="auto"/>
        <w:jc w:val="both"/>
        <w:rPr>
          <w:rFonts w:ascii="Arial" w:hAnsi="Arial"/>
        </w:rPr>
      </w:pPr>
      <w:r w:rsidRPr="001D5ADD">
        <w:rPr>
          <w:rFonts w:ascii="Arial" w:hAnsi="Arial"/>
          <w:b/>
        </w:rPr>
        <w:t>3)</w:t>
      </w:r>
      <w:r>
        <w:rPr>
          <w:rFonts w:ascii="Arial" w:hAnsi="Arial"/>
        </w:rPr>
        <w:t xml:space="preserve">  Oficiar al Servicio Oficial de Difusión, Radiotelevisión y Espectáculos; y</w:t>
      </w:r>
    </w:p>
    <w:p w:rsidR="001D5ADD" w:rsidRDefault="001D5ADD" w:rsidP="001D5ADD">
      <w:pPr>
        <w:spacing w:line="360" w:lineRule="auto"/>
        <w:jc w:val="both"/>
        <w:rPr>
          <w:rFonts w:ascii="Arial" w:hAnsi="Arial"/>
        </w:rPr>
      </w:pPr>
      <w:r w:rsidRPr="001D5ADD">
        <w:rPr>
          <w:rFonts w:ascii="Arial" w:hAnsi="Arial"/>
          <w:b/>
        </w:rPr>
        <w:t>4)</w:t>
      </w:r>
      <w:r>
        <w:rPr>
          <w:rFonts w:ascii="Arial" w:hAnsi="Arial"/>
        </w:rPr>
        <w:t xml:space="preserve">  Dar cuenta a la Asamblea General.</w:t>
      </w:r>
    </w:p>
    <w:p w:rsidR="001D5ADD" w:rsidRDefault="001D5ADD">
      <w:pPr>
        <w:rPr>
          <w:rFonts w:ascii="Arial" w:hAnsi="Arial" w:cs="Arial"/>
        </w:rPr>
      </w:pPr>
    </w:p>
    <w:p w:rsidR="0042510C" w:rsidRDefault="0042510C">
      <w:pPr>
        <w:rPr>
          <w:rFonts w:ascii="Arial" w:hAnsi="Arial" w:cs="Arial"/>
        </w:rPr>
      </w:pPr>
    </w:p>
    <w:p w:rsidR="0042510C" w:rsidRPr="00FA2BA8" w:rsidRDefault="0042510C" w:rsidP="0042510C">
      <w:pPr>
        <w:pStyle w:val="Ttulo"/>
        <w:widowControl w:val="0"/>
        <w:rPr>
          <w:rFonts w:cs="Arial"/>
          <w:bCs w:val="0"/>
        </w:rPr>
      </w:pPr>
      <w:r w:rsidRPr="00FA2BA8">
        <w:rPr>
          <w:rFonts w:cs="Arial"/>
        </w:rPr>
        <w:lastRenderedPageBreak/>
        <w:t>DICTAMEN</w:t>
      </w:r>
    </w:p>
    <w:p w:rsidR="0042510C" w:rsidRDefault="0042510C">
      <w:pPr>
        <w:pStyle w:val="Ttulo"/>
        <w:widowControl w:val="0"/>
        <w:jc w:val="left"/>
        <w:rPr>
          <w:rFonts w:cs="Arial"/>
          <w:highlight w:val="yellow"/>
        </w:rPr>
      </w:pPr>
    </w:p>
    <w:p w:rsidR="0042510C" w:rsidRDefault="0042510C">
      <w:pPr>
        <w:pStyle w:val="Textoindependiente"/>
        <w:widowControl w:val="0"/>
        <w:rPr>
          <w:rFonts w:ascii="Arial" w:hAnsi="Arial" w:cs="Arial"/>
        </w:rPr>
      </w:pPr>
      <w:r>
        <w:rPr>
          <w:rFonts w:ascii="Arial" w:hAnsi="Arial" w:cs="Arial"/>
        </w:rPr>
        <w:t xml:space="preserve">El Tribunal de Cuentas ha examinado el Estado de Ejecución Presupuestal de la Administración Nacional de Usinas y Trasmisiones Eléctricas (UTE) correspondiente al período 1° de enero al 31 de diciembre de 2012. </w:t>
      </w:r>
    </w:p>
    <w:p w:rsidR="0042510C" w:rsidRDefault="0042510C">
      <w:pPr>
        <w:pStyle w:val="Textoindependiente"/>
        <w:widowControl w:val="0"/>
        <w:tabs>
          <w:tab w:val="num" w:pos="142"/>
        </w:tabs>
        <w:rPr>
          <w:rFonts w:ascii="Arial" w:hAnsi="Arial" w:cs="Arial"/>
        </w:rPr>
      </w:pPr>
      <w:r>
        <w:rPr>
          <w:rFonts w:ascii="Arial" w:hAnsi="Arial" w:cs="Arial"/>
        </w:rPr>
        <w:t>El Tribunal de Cuentas también ha auditado el cumplimiento por parte de UTE de la normativa vigente relacionada con el estado que es objeto de examen.</w:t>
      </w:r>
    </w:p>
    <w:p w:rsidR="0042510C" w:rsidRDefault="0042510C">
      <w:pPr>
        <w:pStyle w:val="Textoindependiente"/>
        <w:widowControl w:val="0"/>
        <w:tabs>
          <w:tab w:val="num" w:pos="142"/>
        </w:tabs>
        <w:rPr>
          <w:rFonts w:ascii="Arial" w:hAnsi="Arial" w:cs="Arial"/>
        </w:rPr>
      </w:pPr>
      <w:r>
        <w:rPr>
          <w:rFonts w:ascii="Arial" w:hAnsi="Arial" w:cs="Arial"/>
        </w:rPr>
        <w:t xml:space="preserve"> </w:t>
      </w:r>
    </w:p>
    <w:p w:rsidR="0042510C" w:rsidRDefault="0042510C">
      <w:pPr>
        <w:pStyle w:val="Textoindependiente"/>
        <w:widowControl w:val="0"/>
        <w:tabs>
          <w:tab w:val="num" w:pos="142"/>
        </w:tabs>
        <w:rPr>
          <w:rFonts w:ascii="Arial" w:hAnsi="Arial" w:cs="Arial"/>
          <w:b/>
          <w:bCs/>
        </w:rPr>
      </w:pPr>
      <w:r>
        <w:rPr>
          <w:rFonts w:ascii="Arial" w:hAnsi="Arial" w:cs="Arial"/>
          <w:b/>
          <w:bCs/>
        </w:rPr>
        <w:t>Responsabilidad de la Dirección</w:t>
      </w:r>
    </w:p>
    <w:p w:rsidR="0042510C" w:rsidRDefault="0042510C">
      <w:pPr>
        <w:pStyle w:val="Textoindependiente"/>
        <w:widowControl w:val="0"/>
        <w:rPr>
          <w:rFonts w:ascii="Arial" w:hAnsi="Arial" w:cs="Arial"/>
        </w:rPr>
      </w:pPr>
      <w:r>
        <w:rPr>
          <w:rFonts w:ascii="Arial" w:hAnsi="Arial" w:cs="Arial"/>
        </w:rPr>
        <w:t>La Dirección de UTE es responsable por la preparación y la razonable presentación de dicho estado, de acuerdo con las disposiciones legales vigentes, las normas y criterios establecidos en el TOCAF, en la Ordenanza    N° 75 del Tribunal de Cuentas y en el presupuesto vigente. Esta responsabilidad incluye diseñar, implementar y mantener un sistema de control interno adecuado para la preparación y presentación razonable de estados que estén libres de errores significativos, ya sea debido a fraude o error, seleccionar y aplicar políticas  contables apropiadas.</w:t>
      </w:r>
    </w:p>
    <w:p w:rsidR="0042510C" w:rsidRDefault="0042510C">
      <w:pPr>
        <w:pStyle w:val="Textoindependiente"/>
        <w:widowControl w:val="0"/>
        <w:rPr>
          <w:rFonts w:ascii="Arial" w:hAnsi="Arial" w:cs="Arial"/>
        </w:rPr>
      </w:pPr>
    </w:p>
    <w:p w:rsidR="0042510C" w:rsidRDefault="0042510C">
      <w:pPr>
        <w:pStyle w:val="Textoindependiente"/>
        <w:widowControl w:val="0"/>
        <w:rPr>
          <w:rFonts w:ascii="Arial" w:hAnsi="Arial" w:cs="Arial"/>
          <w:b/>
          <w:bCs/>
        </w:rPr>
      </w:pPr>
      <w:r>
        <w:rPr>
          <w:rFonts w:ascii="Arial" w:hAnsi="Arial" w:cs="Arial"/>
          <w:b/>
          <w:bCs/>
        </w:rPr>
        <w:t xml:space="preserve">Responsabilidad del Auditor      </w:t>
      </w:r>
    </w:p>
    <w:p w:rsidR="0042510C" w:rsidRDefault="0042510C">
      <w:pPr>
        <w:pStyle w:val="Textoindependiente"/>
        <w:widowControl w:val="0"/>
        <w:rPr>
          <w:rFonts w:ascii="Arial" w:hAnsi="Arial" w:cs="Arial"/>
        </w:rPr>
      </w:pPr>
      <w:r>
        <w:rPr>
          <w:rFonts w:ascii="Arial" w:hAnsi="Arial" w:cs="Arial"/>
        </w:rPr>
        <w:t>La responsabilidad del Tribunal de Cuentas es expresar una opinión sobre el Estado de ejecución presupuestal basada en la auditoría realizada. Esta auditoría fue practicada de acuerdo con los Principios Fundamentales de Auditoría (ISSAI 100, 200, 300 y 400) y las Directrices de Auditoría Financiera (ISSAI 1000 a 2999) de la Organización Internacional de Entidades Fiscalizadoras Superiores (INTOSAI). Estas normas requieren que se cumpla con requisitos éticos, se planifique y se realice la auditoría para obtener seguridad razonable acerca de si el estado presentado está libre de errores significativos.</w:t>
      </w:r>
    </w:p>
    <w:p w:rsidR="0042510C" w:rsidRDefault="0042510C">
      <w:pPr>
        <w:pStyle w:val="Textoindependiente"/>
        <w:widowControl w:val="0"/>
        <w:rPr>
          <w:rFonts w:ascii="Arial" w:hAnsi="Arial" w:cs="Arial"/>
        </w:rPr>
      </w:pPr>
    </w:p>
    <w:p w:rsidR="0042510C" w:rsidRDefault="0042510C">
      <w:pPr>
        <w:pStyle w:val="Textoindependiente"/>
        <w:widowControl w:val="0"/>
        <w:rPr>
          <w:rFonts w:ascii="Arial" w:hAnsi="Arial" w:cs="Arial"/>
        </w:rPr>
      </w:pPr>
      <w:r>
        <w:rPr>
          <w:rFonts w:ascii="Arial" w:hAnsi="Arial" w:cs="Arial"/>
        </w:rPr>
        <w:lastRenderedPageBreak/>
        <w:t xml:space="preserve">Una auditoría implica realizar procedimientos para obtener evidencia acerca de los montos y revelaciones contables. Los procedimientos seleccionados dependen del juicio profesional del auditor. También incluye examinar, sobre una base selectiva, la forma de cumplimiento de las leyes de presupuesto y contabilidad, la evidencia que respalda los importes y las revelaciones en el estado de ejecución presupuestal, evaluando tanto las normas contables utilizadas por la Dirección, como la presentación del estado en su conjunto. </w:t>
      </w:r>
    </w:p>
    <w:p w:rsidR="0042510C" w:rsidRDefault="0042510C">
      <w:pPr>
        <w:pStyle w:val="Textoindependiente"/>
        <w:widowControl w:val="0"/>
        <w:rPr>
          <w:rFonts w:ascii="Arial" w:hAnsi="Arial" w:cs="Arial"/>
        </w:rPr>
      </w:pPr>
      <w:r>
        <w:rPr>
          <w:rFonts w:ascii="Arial" w:hAnsi="Arial" w:cs="Arial"/>
        </w:rPr>
        <w:t>Se considera que la evidencia de auditoría obtenida brinda una base suficiente y apropiada para sustentar la opinión.</w:t>
      </w:r>
    </w:p>
    <w:p w:rsidR="0042510C" w:rsidRDefault="0042510C">
      <w:pPr>
        <w:pStyle w:val="Textoindependiente"/>
        <w:widowControl w:val="0"/>
        <w:rPr>
          <w:rFonts w:ascii="Arial" w:hAnsi="Arial" w:cs="Arial"/>
        </w:rPr>
      </w:pPr>
    </w:p>
    <w:p w:rsidR="0042510C" w:rsidRDefault="0042510C">
      <w:pPr>
        <w:pStyle w:val="Textoindependiente"/>
        <w:widowControl w:val="0"/>
        <w:rPr>
          <w:rFonts w:ascii="Arial" w:hAnsi="Arial" w:cs="Arial"/>
          <w:b/>
          <w:bCs/>
        </w:rPr>
      </w:pPr>
      <w:r>
        <w:rPr>
          <w:rFonts w:ascii="Arial" w:hAnsi="Arial" w:cs="Arial"/>
          <w:b/>
          <w:bCs/>
        </w:rPr>
        <w:t>Opinión</w:t>
      </w:r>
    </w:p>
    <w:p w:rsidR="0042510C" w:rsidRDefault="0042510C">
      <w:pPr>
        <w:pStyle w:val="Textoindependiente"/>
        <w:widowControl w:val="0"/>
        <w:rPr>
          <w:rFonts w:ascii="Arial" w:hAnsi="Arial" w:cs="Arial"/>
        </w:rPr>
      </w:pPr>
      <w:r>
        <w:rPr>
          <w:rFonts w:ascii="Arial" w:hAnsi="Arial" w:cs="Arial"/>
          <w:lang w:val="es-ES_tradnl"/>
        </w:rPr>
        <w:t>En opinión del Tribunal de Cuentas, el estado mencionado presenta razonablemente, en todos sus aspectos importantes, la ejecución presupuestal de UTE, correspondiente al período 1° de enero al 31 de diciembre de 2012, de</w:t>
      </w:r>
      <w:r>
        <w:rPr>
          <w:rFonts w:ascii="Arial" w:hAnsi="Arial" w:cs="Arial"/>
        </w:rPr>
        <w:t xml:space="preserve"> acuerdo con las disposiciones legales aplicables, las normas y los criterios establecidos en el TOCAF, en la Ordenanza N° 75 del Tribunal de Cuentas  y en el Decreto aprobatorio del Presupuesto del Ejercicio 2012.</w:t>
      </w:r>
    </w:p>
    <w:p w:rsidR="0042510C" w:rsidRDefault="0042510C">
      <w:pPr>
        <w:pStyle w:val="Textoindependiente"/>
        <w:widowControl w:val="0"/>
        <w:rPr>
          <w:rFonts w:ascii="Arial" w:hAnsi="Arial" w:cs="Arial"/>
          <w:b/>
        </w:rPr>
      </w:pPr>
      <w:r>
        <w:rPr>
          <w:rFonts w:ascii="Arial" w:hAnsi="Arial" w:cs="Arial"/>
          <w:b/>
        </w:rPr>
        <w:t>En relación a la normativa vigente relacionada con el estado objeto de examen, el Tribunal de Cuentas constató los siguientes incumplimientos:</w:t>
      </w:r>
    </w:p>
    <w:p w:rsidR="0042510C" w:rsidRDefault="0042510C" w:rsidP="0042510C">
      <w:pPr>
        <w:numPr>
          <w:ilvl w:val="0"/>
          <w:numId w:val="3"/>
        </w:numPr>
        <w:spacing w:line="360" w:lineRule="auto"/>
        <w:jc w:val="both"/>
        <w:rPr>
          <w:rFonts w:ascii="Arial" w:hAnsi="Arial" w:cs="Arial"/>
          <w:b/>
        </w:rPr>
      </w:pPr>
      <w:r>
        <w:rPr>
          <w:rFonts w:ascii="Arial" w:hAnsi="Arial" w:cs="Arial"/>
          <w:b/>
          <w:iCs/>
          <w:lang w:val="es-ES_tradnl"/>
        </w:rPr>
        <w:t>Artículo 211</w:t>
      </w:r>
      <w:r>
        <w:rPr>
          <w:rFonts w:ascii="Arial" w:hAnsi="Arial" w:cs="Arial"/>
          <w:b/>
        </w:rPr>
        <w:t xml:space="preserve"> Literal B) de la Constitución de la República.</w:t>
      </w:r>
    </w:p>
    <w:p w:rsidR="0042510C" w:rsidRDefault="0042510C">
      <w:pPr>
        <w:spacing w:line="360" w:lineRule="auto"/>
        <w:jc w:val="both"/>
        <w:rPr>
          <w:rFonts w:ascii="Arial" w:hAnsi="Arial" w:cs="Arial"/>
        </w:rPr>
      </w:pPr>
      <w:r>
        <w:rPr>
          <w:rFonts w:ascii="Arial" w:hAnsi="Arial" w:cs="Arial"/>
          <w:iCs/>
          <w:lang w:val="es-ES_tradnl"/>
        </w:rPr>
        <w:t xml:space="preserve">No se </w:t>
      </w:r>
      <w:r>
        <w:rPr>
          <w:rFonts w:ascii="Arial" w:hAnsi="Arial" w:cs="Arial"/>
        </w:rPr>
        <w:t>remitieron a información del Tribunal de Cuentas todos los contratos de préstamo firmados con el Banco de la República.</w:t>
      </w:r>
    </w:p>
    <w:p w:rsidR="0042510C" w:rsidRDefault="0042510C" w:rsidP="0042510C">
      <w:pPr>
        <w:numPr>
          <w:ilvl w:val="0"/>
          <w:numId w:val="3"/>
        </w:numPr>
        <w:spacing w:line="360" w:lineRule="auto"/>
        <w:jc w:val="both"/>
        <w:rPr>
          <w:rFonts w:ascii="Arial" w:hAnsi="Arial" w:cs="Arial"/>
          <w:b/>
          <w:bCs/>
          <w:lang w:val="es-ES_tradnl"/>
        </w:rPr>
      </w:pPr>
      <w:r>
        <w:rPr>
          <w:rFonts w:ascii="Arial" w:hAnsi="Arial" w:cs="Arial"/>
          <w:b/>
          <w:bCs/>
          <w:lang w:val="es-ES_tradnl"/>
        </w:rPr>
        <w:t>Artículo 17 - Ley N° 17.904 de 07/10/05 (Contratación publicitaria en televisión y radio).</w:t>
      </w:r>
    </w:p>
    <w:p w:rsidR="0042510C" w:rsidRDefault="0042510C">
      <w:pPr>
        <w:spacing w:line="360" w:lineRule="auto"/>
        <w:jc w:val="both"/>
        <w:rPr>
          <w:rFonts w:ascii="Arial" w:hAnsi="Arial" w:cs="Arial"/>
          <w:bCs/>
          <w:szCs w:val="20"/>
        </w:rPr>
      </w:pPr>
      <w:r>
        <w:rPr>
          <w:rFonts w:ascii="Arial" w:hAnsi="Arial" w:cs="Arial"/>
          <w:bCs/>
          <w:szCs w:val="20"/>
        </w:rPr>
        <w:t xml:space="preserve">En el presente Ejercicio los montos contratados con Canal 5 TNU no alcanzaron  a cumplir con el porcentaje del 20% dispuesto por ley. </w:t>
      </w:r>
    </w:p>
    <w:p w:rsidR="0042510C" w:rsidRDefault="0042510C" w:rsidP="0042510C">
      <w:pPr>
        <w:numPr>
          <w:ilvl w:val="0"/>
          <w:numId w:val="3"/>
        </w:numPr>
        <w:tabs>
          <w:tab w:val="left" w:pos="0"/>
        </w:tabs>
        <w:suppressAutoHyphens/>
        <w:spacing w:line="360" w:lineRule="auto"/>
        <w:jc w:val="both"/>
        <w:rPr>
          <w:rFonts w:ascii="Arial" w:hAnsi="Arial"/>
          <w:b/>
          <w:bCs/>
          <w:snapToGrid w:val="0"/>
          <w:spacing w:val="-3"/>
          <w:lang w:val="es-ES_tradnl"/>
        </w:rPr>
      </w:pPr>
      <w:r>
        <w:rPr>
          <w:rFonts w:ascii="Arial" w:hAnsi="Arial"/>
          <w:b/>
          <w:bCs/>
          <w:snapToGrid w:val="0"/>
          <w:spacing w:val="-3"/>
          <w:lang w:val="es-ES_tradnl"/>
        </w:rPr>
        <w:t xml:space="preserve">Artículo 87 de la Ley 14.416 de 28/8/1975 (Horas Extras).  </w:t>
      </w:r>
    </w:p>
    <w:p w:rsidR="0042510C" w:rsidRDefault="0042510C">
      <w:pPr>
        <w:tabs>
          <w:tab w:val="left" w:pos="0"/>
        </w:tabs>
        <w:suppressAutoHyphens/>
        <w:spacing w:line="360" w:lineRule="auto"/>
        <w:jc w:val="both"/>
        <w:rPr>
          <w:rFonts w:ascii="Arial" w:hAnsi="Arial"/>
          <w:iCs/>
          <w:szCs w:val="20"/>
        </w:rPr>
      </w:pPr>
      <w:r>
        <w:rPr>
          <w:rFonts w:ascii="Arial" w:hAnsi="Arial"/>
          <w:bCs/>
          <w:snapToGrid w:val="0"/>
          <w:spacing w:val="-3"/>
          <w:lang w:val="es-ES_tradnl"/>
        </w:rPr>
        <w:t>Los gastos incurridos para el pago de horas extras</w:t>
      </w:r>
      <w:r>
        <w:rPr>
          <w:rFonts w:ascii="Arial" w:hAnsi="Arial"/>
          <w:iCs/>
          <w:szCs w:val="20"/>
        </w:rPr>
        <w:t xml:space="preserve"> superaron el porcentaje del 5% (cinco por ciento) dispuesto por la Ley.</w:t>
      </w:r>
    </w:p>
    <w:p w:rsidR="0042510C" w:rsidRDefault="0042510C" w:rsidP="0042510C">
      <w:pPr>
        <w:numPr>
          <w:ilvl w:val="0"/>
          <w:numId w:val="3"/>
        </w:numPr>
        <w:spacing w:line="360" w:lineRule="auto"/>
        <w:jc w:val="both"/>
        <w:rPr>
          <w:rFonts w:ascii="Arial" w:hAnsi="Arial"/>
          <w:b/>
          <w:bCs/>
          <w:iCs/>
          <w:lang w:val="es-ES_tradnl"/>
        </w:rPr>
      </w:pPr>
      <w:r>
        <w:rPr>
          <w:rFonts w:ascii="Arial" w:hAnsi="Arial" w:cs="Arial"/>
          <w:b/>
          <w:iCs/>
        </w:rPr>
        <w:lastRenderedPageBreak/>
        <w:t>Artículo 23 Ley 17.556 de 18/09/2002 (Personal de Confianza)</w:t>
      </w:r>
    </w:p>
    <w:p w:rsidR="0042510C" w:rsidRDefault="0042510C">
      <w:pPr>
        <w:spacing w:line="360" w:lineRule="auto"/>
        <w:jc w:val="both"/>
        <w:rPr>
          <w:rFonts w:ascii="Arial" w:hAnsi="Arial"/>
          <w:bCs/>
          <w:iCs/>
          <w:lang w:val="es-ES_tradnl"/>
        </w:rPr>
      </w:pPr>
      <w:r>
        <w:rPr>
          <w:rFonts w:ascii="Arial" w:hAnsi="Arial"/>
          <w:bCs/>
          <w:iCs/>
          <w:lang w:val="es-ES_tradnl"/>
        </w:rPr>
        <w:t>Los montos totales de remuneraciones abonados al personal de confianza superan el tope establecido por la ley.</w:t>
      </w:r>
    </w:p>
    <w:p w:rsidR="0042510C" w:rsidRDefault="0042510C" w:rsidP="0042510C">
      <w:pPr>
        <w:pStyle w:val="Textoindependiente3"/>
        <w:numPr>
          <w:ilvl w:val="0"/>
          <w:numId w:val="3"/>
        </w:numPr>
        <w:spacing w:line="360" w:lineRule="auto"/>
        <w:rPr>
          <w:rFonts w:ascii="Arial" w:hAnsi="Arial"/>
          <w:bCs/>
          <w:snapToGrid/>
          <w:spacing w:val="-3"/>
          <w:lang w:val="es-ES_tradnl"/>
        </w:rPr>
      </w:pPr>
      <w:r>
        <w:rPr>
          <w:rFonts w:ascii="Arial" w:hAnsi="Arial"/>
          <w:bCs/>
          <w:snapToGrid/>
          <w:spacing w:val="-3"/>
          <w:lang w:val="es-ES_tradnl"/>
        </w:rPr>
        <w:t>Artículo 20 del TOCAF (Criterio de lo devengado para la imputación de gastos)</w:t>
      </w:r>
    </w:p>
    <w:p w:rsidR="0042510C" w:rsidRDefault="0042510C">
      <w:pPr>
        <w:spacing w:line="360" w:lineRule="auto"/>
        <w:jc w:val="both"/>
        <w:rPr>
          <w:rFonts w:ascii="Arial" w:hAnsi="Arial" w:cs="Arial"/>
          <w:bCs/>
          <w:szCs w:val="20"/>
        </w:rPr>
      </w:pPr>
      <w:r>
        <w:rPr>
          <w:rFonts w:ascii="Arial" w:hAnsi="Arial" w:cs="Arial"/>
          <w:bCs/>
          <w:szCs w:val="20"/>
        </w:rPr>
        <w:t>Algunos gastos se imputan en el Ejercicio en que se pagan y no cuando se devengan.</w:t>
      </w:r>
    </w:p>
    <w:p w:rsidR="0042510C" w:rsidRDefault="0042510C" w:rsidP="0042510C">
      <w:pPr>
        <w:numPr>
          <w:ilvl w:val="0"/>
          <w:numId w:val="3"/>
        </w:numPr>
        <w:spacing w:line="360" w:lineRule="auto"/>
        <w:jc w:val="both"/>
        <w:rPr>
          <w:rFonts w:ascii="Arial" w:hAnsi="Arial"/>
          <w:b/>
          <w:spacing w:val="-3"/>
          <w:szCs w:val="20"/>
          <w:lang w:val="es-ES_tradnl"/>
        </w:rPr>
      </w:pPr>
      <w:r>
        <w:rPr>
          <w:rFonts w:ascii="Arial" w:hAnsi="Arial"/>
          <w:b/>
          <w:spacing w:val="-3"/>
          <w:szCs w:val="20"/>
          <w:lang w:val="es-ES_tradnl"/>
        </w:rPr>
        <w:t>Artículo 15 (Falta de disponibilidad) y Artículo 3 Inciso final del Decreto 52/13 (</w:t>
      </w:r>
      <w:proofErr w:type="spellStart"/>
      <w:r>
        <w:rPr>
          <w:rFonts w:ascii="Arial" w:hAnsi="Arial"/>
          <w:b/>
          <w:spacing w:val="-3"/>
          <w:szCs w:val="20"/>
          <w:lang w:val="es-ES_tradnl"/>
        </w:rPr>
        <w:t>Adec</w:t>
      </w:r>
      <w:proofErr w:type="spellEnd"/>
      <w:r>
        <w:rPr>
          <w:rFonts w:ascii="Arial" w:hAnsi="Arial"/>
          <w:b/>
          <w:spacing w:val="-3"/>
          <w:szCs w:val="20"/>
          <w:lang w:val="es-ES_tradnl"/>
        </w:rPr>
        <w:t>. partidas no limitativas)</w:t>
      </w:r>
    </w:p>
    <w:p w:rsidR="0042510C" w:rsidRDefault="0042510C">
      <w:pPr>
        <w:spacing w:line="360" w:lineRule="auto"/>
        <w:jc w:val="both"/>
        <w:rPr>
          <w:rFonts w:ascii="Arial" w:hAnsi="Arial" w:cs="Arial"/>
          <w:spacing w:val="-3"/>
          <w:lang w:val="es-ES_tradnl" w:eastAsia="en-US"/>
        </w:rPr>
      </w:pPr>
      <w:r>
        <w:rPr>
          <w:rFonts w:ascii="Arial" w:hAnsi="Arial" w:cs="Arial"/>
          <w:spacing w:val="-3"/>
          <w:lang w:val="es-ES_tradnl" w:eastAsia="en-US"/>
        </w:rPr>
        <w:t>El Organismo efectuó pagos por encima de la asignación presupuestal del grupo 8 “Clasificador de Aplicaciones Financieras”, sin adecuar el monto de este grupo.</w:t>
      </w:r>
    </w:p>
    <w:p w:rsidR="0042510C" w:rsidRDefault="0042510C" w:rsidP="0042510C">
      <w:pPr>
        <w:numPr>
          <w:ilvl w:val="0"/>
          <w:numId w:val="3"/>
        </w:numPr>
        <w:spacing w:line="360" w:lineRule="auto"/>
        <w:jc w:val="both"/>
        <w:rPr>
          <w:rFonts w:ascii="Arial" w:hAnsi="Arial"/>
          <w:spacing w:val="-3"/>
          <w:szCs w:val="20"/>
          <w:lang w:val="es-ES_tradnl"/>
        </w:rPr>
      </w:pPr>
      <w:r>
        <w:rPr>
          <w:rFonts w:ascii="Arial" w:hAnsi="Arial"/>
          <w:b/>
          <w:spacing w:val="-3"/>
          <w:szCs w:val="20"/>
          <w:lang w:val="es-ES_tradnl"/>
        </w:rPr>
        <w:t>Artículo 475 de la Ley 17.296 de 21/2/2001</w:t>
      </w:r>
      <w:r>
        <w:rPr>
          <w:rFonts w:ascii="Arial" w:hAnsi="Arial"/>
          <w:spacing w:val="-3"/>
          <w:szCs w:val="20"/>
          <w:lang w:val="es-ES_tradnl"/>
        </w:rPr>
        <w:t xml:space="preserve"> </w:t>
      </w:r>
    </w:p>
    <w:p w:rsidR="0042510C" w:rsidRDefault="0042510C">
      <w:pPr>
        <w:spacing w:line="360" w:lineRule="auto"/>
        <w:jc w:val="both"/>
        <w:rPr>
          <w:rFonts w:ascii="Arial" w:hAnsi="Arial"/>
          <w:spacing w:val="-3"/>
          <w:szCs w:val="20"/>
          <w:lang w:val="es-ES_tradnl"/>
        </w:rPr>
      </w:pPr>
      <w:r>
        <w:rPr>
          <w:rFonts w:ascii="Arial" w:hAnsi="Arial"/>
          <w:spacing w:val="-3"/>
          <w:szCs w:val="20"/>
          <w:lang w:val="es-ES_tradnl"/>
        </w:rPr>
        <w:t>Los Ordenadores de gastos y pagos no siempre detallan en sus Resoluciones de reiteración los motivos que justifican a su juicio seguir el curso de los gastos observados.</w:t>
      </w:r>
    </w:p>
    <w:p w:rsidR="0042510C" w:rsidRDefault="0042510C" w:rsidP="0042510C">
      <w:pPr>
        <w:pStyle w:val="Textoindependiente3"/>
        <w:numPr>
          <w:ilvl w:val="0"/>
          <w:numId w:val="3"/>
        </w:numPr>
        <w:spacing w:line="360" w:lineRule="auto"/>
        <w:rPr>
          <w:rFonts w:ascii="Arial" w:hAnsi="Arial"/>
          <w:bCs/>
          <w:snapToGrid/>
          <w:spacing w:val="-3"/>
          <w:lang w:val="es-ES_tradnl"/>
        </w:rPr>
      </w:pPr>
      <w:r>
        <w:rPr>
          <w:rFonts w:ascii="Arial" w:hAnsi="Arial"/>
          <w:bCs/>
          <w:snapToGrid/>
          <w:spacing w:val="-3"/>
          <w:lang w:val="es-ES_tradnl"/>
        </w:rPr>
        <w:t>Artículo 211, Literal B) de la Constitución de la República, Artículo 114 (anterior 97) del TOCAF (reiteración de gastos observados sin comunicación al Tribunal de Cuentas)</w:t>
      </w:r>
    </w:p>
    <w:p w:rsidR="0042510C" w:rsidRDefault="0042510C">
      <w:pPr>
        <w:pStyle w:val="Encabezado"/>
        <w:widowControl w:val="0"/>
        <w:tabs>
          <w:tab w:val="clear" w:pos="4419"/>
          <w:tab w:val="clear" w:pos="8838"/>
        </w:tabs>
        <w:spacing w:line="360" w:lineRule="auto"/>
        <w:jc w:val="both"/>
        <w:rPr>
          <w:rFonts w:ascii="Arial" w:hAnsi="Arial"/>
          <w:bCs/>
          <w:snapToGrid w:val="0"/>
        </w:rPr>
      </w:pPr>
      <w:r>
        <w:rPr>
          <w:rFonts w:ascii="Arial" w:hAnsi="Arial"/>
          <w:bCs/>
          <w:snapToGrid w:val="0"/>
        </w:rPr>
        <w:t>No se comunicaron</w:t>
      </w:r>
      <w:r>
        <w:rPr>
          <w:rFonts w:ascii="Arial" w:hAnsi="Arial"/>
          <w:bCs/>
          <w:snapToGrid w:val="0"/>
          <w:color w:val="FF0000"/>
        </w:rPr>
        <w:t xml:space="preserve"> </w:t>
      </w:r>
      <w:r>
        <w:rPr>
          <w:rFonts w:ascii="Arial" w:hAnsi="Arial"/>
          <w:bCs/>
          <w:snapToGrid w:val="0"/>
        </w:rPr>
        <w:t>al Tribunal las reiteraciones correspondientes a los siguientes gastos que fueron observados:</w:t>
      </w:r>
    </w:p>
    <w:p w:rsidR="0042510C" w:rsidRDefault="0042510C" w:rsidP="0042510C">
      <w:pPr>
        <w:numPr>
          <w:ilvl w:val="0"/>
          <w:numId w:val="2"/>
        </w:numPr>
        <w:tabs>
          <w:tab w:val="num" w:pos="851"/>
          <w:tab w:val="num" w:pos="2204"/>
          <w:tab w:val="center" w:pos="4252"/>
          <w:tab w:val="right" w:pos="8504"/>
        </w:tabs>
        <w:spacing w:line="360" w:lineRule="auto"/>
        <w:ind w:left="851" w:hanging="425"/>
        <w:jc w:val="both"/>
        <w:rPr>
          <w:rFonts w:ascii="Arial" w:hAnsi="Arial"/>
          <w:bCs/>
          <w:snapToGrid w:val="0"/>
          <w:szCs w:val="20"/>
        </w:rPr>
      </w:pPr>
      <w:r>
        <w:rPr>
          <w:rFonts w:ascii="Arial" w:hAnsi="Arial"/>
          <w:spacing w:val="-3"/>
          <w:szCs w:val="20"/>
          <w:lang w:val="es-ES_tradnl"/>
        </w:rPr>
        <w:t xml:space="preserve">Trabajos de remodelación y extensión de la red de distribución en el ámbito geográfico de la Gerencia Este por un monto de $ 59:400.000, reiterado en Resolución de Gerencia General </w:t>
      </w:r>
      <w:proofErr w:type="gramStart"/>
      <w:r>
        <w:rPr>
          <w:rFonts w:ascii="Arial" w:hAnsi="Arial"/>
          <w:spacing w:val="-3"/>
          <w:szCs w:val="20"/>
          <w:lang w:val="es-ES_tradnl"/>
        </w:rPr>
        <w:t>( G.G</w:t>
      </w:r>
      <w:proofErr w:type="gramEnd"/>
      <w:r>
        <w:rPr>
          <w:rFonts w:ascii="Arial" w:hAnsi="Arial"/>
          <w:spacing w:val="-3"/>
          <w:szCs w:val="20"/>
          <w:lang w:val="es-ES_tradnl"/>
        </w:rPr>
        <w:t>.) N°27/12.</w:t>
      </w:r>
    </w:p>
    <w:p w:rsidR="0042510C" w:rsidRDefault="0042510C" w:rsidP="0042510C">
      <w:pPr>
        <w:numPr>
          <w:ilvl w:val="0"/>
          <w:numId w:val="2"/>
        </w:numPr>
        <w:tabs>
          <w:tab w:val="num" w:pos="851"/>
          <w:tab w:val="num" w:pos="2204"/>
          <w:tab w:val="center" w:pos="4252"/>
          <w:tab w:val="right" w:pos="8504"/>
        </w:tabs>
        <w:spacing w:line="360" w:lineRule="auto"/>
        <w:ind w:left="851" w:hanging="425"/>
        <w:jc w:val="both"/>
        <w:rPr>
          <w:rFonts w:ascii="Arial" w:hAnsi="Arial"/>
          <w:bCs/>
          <w:snapToGrid w:val="0"/>
          <w:szCs w:val="20"/>
        </w:rPr>
      </w:pPr>
      <w:r>
        <w:rPr>
          <w:rFonts w:ascii="Arial" w:hAnsi="Arial"/>
          <w:spacing w:val="-3"/>
          <w:szCs w:val="20"/>
          <w:lang w:val="es-ES_tradnl"/>
        </w:rPr>
        <w:t>Compra de energía eléctrica por U$S 60:000.000, reiterado por Gerencia General.</w:t>
      </w:r>
    </w:p>
    <w:p w:rsidR="0042510C" w:rsidRDefault="0042510C" w:rsidP="0042510C">
      <w:pPr>
        <w:numPr>
          <w:ilvl w:val="0"/>
          <w:numId w:val="2"/>
        </w:numPr>
        <w:tabs>
          <w:tab w:val="num" w:pos="851"/>
          <w:tab w:val="num" w:pos="2204"/>
          <w:tab w:val="center" w:pos="4252"/>
          <w:tab w:val="right" w:pos="8504"/>
        </w:tabs>
        <w:spacing w:line="360" w:lineRule="auto"/>
        <w:ind w:left="851" w:hanging="425"/>
        <w:jc w:val="both"/>
        <w:rPr>
          <w:rFonts w:ascii="Arial" w:hAnsi="Arial"/>
          <w:bCs/>
          <w:snapToGrid w:val="0"/>
          <w:szCs w:val="20"/>
        </w:rPr>
      </w:pPr>
      <w:r>
        <w:rPr>
          <w:rFonts w:ascii="Arial" w:hAnsi="Arial"/>
          <w:bCs/>
          <w:snapToGrid w:val="0"/>
          <w:szCs w:val="20"/>
        </w:rPr>
        <w:t>Contratación del servicio de revisión de líneas de 30 y 60 Kv por medio de helicópteros por U$S 347.400, reiterado en G.G. N°116/12.</w:t>
      </w:r>
    </w:p>
    <w:p w:rsidR="0042510C" w:rsidRDefault="0042510C" w:rsidP="0042510C">
      <w:pPr>
        <w:numPr>
          <w:ilvl w:val="0"/>
          <w:numId w:val="2"/>
        </w:numPr>
        <w:tabs>
          <w:tab w:val="num" w:pos="851"/>
          <w:tab w:val="num" w:pos="2204"/>
          <w:tab w:val="center" w:pos="4252"/>
          <w:tab w:val="right" w:pos="8504"/>
        </w:tabs>
        <w:spacing w:line="360" w:lineRule="auto"/>
        <w:ind w:left="851" w:hanging="425"/>
        <w:jc w:val="both"/>
        <w:rPr>
          <w:rFonts w:ascii="Arial" w:hAnsi="Arial"/>
          <w:bCs/>
          <w:snapToGrid w:val="0"/>
          <w:szCs w:val="20"/>
        </w:rPr>
      </w:pPr>
      <w:r>
        <w:rPr>
          <w:rFonts w:ascii="Arial" w:hAnsi="Arial"/>
          <w:bCs/>
          <w:snapToGrid w:val="0"/>
          <w:szCs w:val="20"/>
        </w:rPr>
        <w:t>Adquisición de relés de protección y accesorios para equipos de Transmisión por U$S 502.641,65, reiterado en G.G. N°161/12.</w:t>
      </w:r>
    </w:p>
    <w:p w:rsidR="0042510C" w:rsidRDefault="0042510C" w:rsidP="0042510C">
      <w:pPr>
        <w:numPr>
          <w:ilvl w:val="0"/>
          <w:numId w:val="2"/>
        </w:numPr>
        <w:tabs>
          <w:tab w:val="num" w:pos="851"/>
          <w:tab w:val="num" w:pos="2204"/>
          <w:tab w:val="center" w:pos="4252"/>
          <w:tab w:val="right" w:pos="8504"/>
        </w:tabs>
        <w:spacing w:line="360" w:lineRule="auto"/>
        <w:ind w:left="851" w:hanging="425"/>
        <w:jc w:val="both"/>
        <w:rPr>
          <w:rFonts w:ascii="Arial" w:hAnsi="Arial"/>
          <w:bCs/>
          <w:snapToGrid w:val="0"/>
          <w:szCs w:val="20"/>
        </w:rPr>
      </w:pPr>
      <w:r>
        <w:rPr>
          <w:rFonts w:ascii="Arial" w:hAnsi="Arial"/>
          <w:bCs/>
          <w:snapToGrid w:val="0"/>
          <w:szCs w:val="20"/>
        </w:rPr>
        <w:lastRenderedPageBreak/>
        <w:t>Trabajo de reparaciones generales en centrales térmicas por un monto de $ 5:494.461, reiterado en G.G. N°179/12.</w:t>
      </w:r>
    </w:p>
    <w:p w:rsidR="0042510C" w:rsidRDefault="0042510C" w:rsidP="0042510C">
      <w:pPr>
        <w:numPr>
          <w:ilvl w:val="0"/>
          <w:numId w:val="2"/>
        </w:numPr>
        <w:tabs>
          <w:tab w:val="num" w:pos="851"/>
          <w:tab w:val="num" w:pos="2204"/>
          <w:tab w:val="center" w:pos="4252"/>
          <w:tab w:val="right" w:pos="8504"/>
        </w:tabs>
        <w:spacing w:line="360" w:lineRule="auto"/>
        <w:ind w:left="851" w:hanging="425"/>
        <w:jc w:val="both"/>
        <w:rPr>
          <w:rFonts w:ascii="Arial" w:hAnsi="Arial"/>
          <w:bCs/>
          <w:snapToGrid w:val="0"/>
          <w:szCs w:val="20"/>
        </w:rPr>
      </w:pPr>
      <w:r>
        <w:rPr>
          <w:rFonts w:ascii="Arial" w:hAnsi="Arial"/>
          <w:bCs/>
          <w:snapToGrid w:val="0"/>
          <w:szCs w:val="20"/>
        </w:rPr>
        <w:t>Contratación de una empresa para la realización del servicio de reparación y suministro de repuestos en modalidad “</w:t>
      </w:r>
      <w:proofErr w:type="spellStart"/>
      <w:r>
        <w:rPr>
          <w:rFonts w:ascii="Arial" w:hAnsi="Arial"/>
          <w:bCs/>
          <w:snapToGrid w:val="0"/>
          <w:szCs w:val="20"/>
        </w:rPr>
        <w:t>Rotable</w:t>
      </w:r>
      <w:proofErr w:type="spellEnd"/>
      <w:r>
        <w:rPr>
          <w:rFonts w:ascii="Arial" w:hAnsi="Arial"/>
          <w:bCs/>
          <w:snapToGrid w:val="0"/>
          <w:szCs w:val="20"/>
        </w:rPr>
        <w:t xml:space="preserve"> Exchange” para turbinas de la Central Térmica Punta del Tigre, por                   U$S 5:441.931,86, reiterado en G.G. N°195/12.</w:t>
      </w:r>
    </w:p>
    <w:p w:rsidR="0042510C" w:rsidRDefault="0042510C" w:rsidP="0042510C">
      <w:pPr>
        <w:numPr>
          <w:ilvl w:val="0"/>
          <w:numId w:val="2"/>
        </w:numPr>
        <w:tabs>
          <w:tab w:val="num" w:pos="851"/>
          <w:tab w:val="num" w:pos="2204"/>
          <w:tab w:val="center" w:pos="4252"/>
          <w:tab w:val="right" w:pos="8504"/>
        </w:tabs>
        <w:spacing w:line="360" w:lineRule="auto"/>
        <w:ind w:left="851" w:hanging="425"/>
        <w:jc w:val="both"/>
        <w:rPr>
          <w:rFonts w:ascii="Arial" w:hAnsi="Arial"/>
          <w:bCs/>
          <w:snapToGrid w:val="0"/>
          <w:szCs w:val="20"/>
        </w:rPr>
      </w:pPr>
      <w:r>
        <w:rPr>
          <w:rFonts w:ascii="Arial" w:hAnsi="Arial"/>
          <w:bCs/>
          <w:snapToGrid w:val="0"/>
          <w:szCs w:val="20"/>
        </w:rPr>
        <w:t>Adquisición complemento de proyecto, obra civil y montaje de una estación 30/15 Kv de distribución en el Departamento de Canelones, por un monto de $ 7:850.000, reiterado en G.G. N°217/12.</w:t>
      </w:r>
    </w:p>
    <w:p w:rsidR="0042510C" w:rsidRDefault="0042510C" w:rsidP="0042510C">
      <w:pPr>
        <w:numPr>
          <w:ilvl w:val="0"/>
          <w:numId w:val="2"/>
        </w:numPr>
        <w:tabs>
          <w:tab w:val="num" w:pos="851"/>
          <w:tab w:val="num" w:pos="2204"/>
          <w:tab w:val="center" w:pos="4252"/>
          <w:tab w:val="right" w:pos="8504"/>
        </w:tabs>
        <w:spacing w:line="360" w:lineRule="auto"/>
        <w:ind w:left="851" w:hanging="425"/>
        <w:jc w:val="both"/>
        <w:rPr>
          <w:rFonts w:ascii="Arial" w:hAnsi="Arial"/>
          <w:bCs/>
          <w:snapToGrid w:val="0"/>
          <w:szCs w:val="20"/>
        </w:rPr>
      </w:pPr>
      <w:r>
        <w:rPr>
          <w:rFonts w:ascii="Arial" w:hAnsi="Arial"/>
          <w:bCs/>
          <w:snapToGrid w:val="0"/>
          <w:szCs w:val="20"/>
        </w:rPr>
        <w:t>Ejecución de trabajos de campo relacionados con servicios dependientes de los Servicios Técnicos de Comercial, en el ámbito geográfico de la Subgerencia Comercial Interior Oeste, por                   $ 10:388.524, reiterado en GG N°215/12.</w:t>
      </w:r>
    </w:p>
    <w:p w:rsidR="0042510C" w:rsidRDefault="0042510C" w:rsidP="0042510C">
      <w:pPr>
        <w:numPr>
          <w:ilvl w:val="0"/>
          <w:numId w:val="2"/>
        </w:numPr>
        <w:tabs>
          <w:tab w:val="num" w:pos="851"/>
          <w:tab w:val="num" w:pos="2204"/>
          <w:tab w:val="center" w:pos="4252"/>
          <w:tab w:val="right" w:pos="8504"/>
        </w:tabs>
        <w:spacing w:line="360" w:lineRule="auto"/>
        <w:ind w:left="851" w:hanging="425"/>
        <w:jc w:val="both"/>
        <w:rPr>
          <w:rFonts w:ascii="Arial" w:hAnsi="Arial"/>
          <w:bCs/>
          <w:snapToGrid w:val="0"/>
          <w:szCs w:val="20"/>
        </w:rPr>
      </w:pPr>
      <w:r>
        <w:rPr>
          <w:rFonts w:ascii="Arial" w:hAnsi="Arial"/>
          <w:bCs/>
          <w:snapToGrid w:val="0"/>
          <w:szCs w:val="20"/>
        </w:rPr>
        <w:t>Ejecución de trabajos de campo relacionados con servicios dependientes de los Servicios Técnicos de Comercial, en el ámbito geográfico de la Subgerencia Comercial Interior Norte, por $ 8:640.000, reiterado en G.G. N°221/12.</w:t>
      </w:r>
    </w:p>
    <w:p w:rsidR="0042510C" w:rsidRDefault="0042510C" w:rsidP="0042510C">
      <w:pPr>
        <w:numPr>
          <w:ilvl w:val="0"/>
          <w:numId w:val="2"/>
        </w:numPr>
        <w:tabs>
          <w:tab w:val="num" w:pos="851"/>
          <w:tab w:val="num" w:pos="2204"/>
          <w:tab w:val="center" w:pos="4252"/>
          <w:tab w:val="right" w:pos="8504"/>
        </w:tabs>
        <w:spacing w:line="360" w:lineRule="auto"/>
        <w:ind w:left="851" w:hanging="425"/>
        <w:jc w:val="both"/>
        <w:rPr>
          <w:rFonts w:ascii="Arial" w:hAnsi="Arial"/>
          <w:bCs/>
          <w:snapToGrid w:val="0"/>
          <w:szCs w:val="20"/>
        </w:rPr>
      </w:pPr>
      <w:r>
        <w:rPr>
          <w:rFonts w:ascii="Arial" w:hAnsi="Arial"/>
          <w:bCs/>
          <w:snapToGrid w:val="0"/>
          <w:szCs w:val="20"/>
        </w:rPr>
        <w:t>Trabajos de mantenimiento eléctrico en líneas aéreas y Subestaciones por un monto de $19:886.875, reiterado en G.G. N°229/12.</w:t>
      </w:r>
    </w:p>
    <w:p w:rsidR="0042510C" w:rsidRDefault="0042510C" w:rsidP="0042510C">
      <w:pPr>
        <w:pStyle w:val="Textoindependiente3"/>
        <w:numPr>
          <w:ilvl w:val="0"/>
          <w:numId w:val="3"/>
        </w:numPr>
        <w:tabs>
          <w:tab w:val="left" w:pos="360"/>
        </w:tabs>
        <w:spacing w:line="360" w:lineRule="auto"/>
        <w:rPr>
          <w:rFonts w:ascii="Arial" w:hAnsi="Arial"/>
          <w:bCs/>
          <w:snapToGrid/>
          <w:spacing w:val="-3"/>
          <w:lang w:val="es-ES_tradnl"/>
        </w:rPr>
      </w:pPr>
      <w:r>
        <w:rPr>
          <w:rFonts w:ascii="Arial" w:hAnsi="Arial"/>
          <w:bCs/>
          <w:snapToGrid/>
          <w:spacing w:val="-3"/>
          <w:lang w:val="es-ES_tradnl"/>
        </w:rPr>
        <w:t xml:space="preserve">Incumplimientos relacionados con el proceso </w:t>
      </w:r>
      <w:proofErr w:type="gramStart"/>
      <w:r>
        <w:rPr>
          <w:rFonts w:ascii="Arial" w:hAnsi="Arial"/>
          <w:bCs/>
          <w:snapToGrid/>
          <w:spacing w:val="-3"/>
          <w:lang w:val="es-ES_tradnl"/>
        </w:rPr>
        <w:t>del gasto constatados</w:t>
      </w:r>
      <w:proofErr w:type="gramEnd"/>
      <w:r>
        <w:rPr>
          <w:rFonts w:ascii="Arial" w:hAnsi="Arial"/>
          <w:bCs/>
          <w:snapToGrid/>
          <w:spacing w:val="-3"/>
          <w:lang w:val="es-ES_tradnl"/>
        </w:rPr>
        <w:t xml:space="preserve"> durante el Ejercicio.</w:t>
      </w:r>
    </w:p>
    <w:p w:rsidR="0042510C" w:rsidRDefault="0042510C">
      <w:pPr>
        <w:pStyle w:val="Textoindependiente3"/>
        <w:spacing w:line="360" w:lineRule="auto"/>
        <w:rPr>
          <w:rFonts w:ascii="Arial" w:hAnsi="Arial" w:cs="Arial"/>
          <w:b w:val="0"/>
          <w:bCs/>
          <w:snapToGrid/>
          <w:spacing w:val="-3"/>
          <w:lang w:val="es-ES_tradnl"/>
        </w:rPr>
      </w:pPr>
      <w:r>
        <w:rPr>
          <w:rFonts w:ascii="Arial" w:hAnsi="Arial" w:cs="Arial"/>
          <w:b w:val="0"/>
          <w:iCs/>
          <w:snapToGrid/>
          <w:spacing w:val="-3"/>
          <w:lang w:val="es-ES_tradnl"/>
        </w:rPr>
        <w:t>El Contador Delegado y el Tribunal de Cuentas observaron gastos por incumplimiento del Artículo 211, Literal B) de la Constitución de la República, Artículos 15, 32, 43  y 63 del TOCAF y Artículo 278 de la Ley 17.296, los que fueron reiterados por el Ordenador competente.</w:t>
      </w:r>
    </w:p>
    <w:p w:rsidR="0042510C" w:rsidRDefault="0042510C">
      <w:pPr>
        <w:pStyle w:val="Sangra2detindependiente"/>
        <w:widowControl w:val="0"/>
        <w:ind w:left="0"/>
        <w:jc w:val="right"/>
      </w:pPr>
      <w:r>
        <w:rPr>
          <w:rFonts w:ascii="Arial" w:hAnsi="Arial" w:cs="Arial"/>
        </w:rPr>
        <w:t>Montevideo, 7 de octubre de 2013</w:t>
      </w:r>
    </w:p>
    <w:p w:rsidR="0042510C" w:rsidRDefault="0042510C">
      <w:pPr>
        <w:pStyle w:val="Ttulo"/>
        <w:widowControl w:val="0"/>
      </w:pPr>
    </w:p>
    <w:p w:rsidR="0042510C" w:rsidRDefault="0042510C">
      <w:pPr>
        <w:pStyle w:val="Ttulo"/>
        <w:widowControl w:val="0"/>
      </w:pPr>
    </w:p>
    <w:p w:rsidR="0042510C" w:rsidRDefault="0042510C">
      <w:pPr>
        <w:pStyle w:val="Ttulo"/>
        <w:widowControl w:val="0"/>
      </w:pPr>
    </w:p>
    <w:p w:rsidR="0042510C" w:rsidRDefault="0042510C" w:rsidP="0042510C">
      <w:pPr>
        <w:pStyle w:val="Ttulo"/>
        <w:widowControl w:val="0"/>
      </w:pPr>
      <w:r>
        <w:lastRenderedPageBreak/>
        <w:t>INFORME A LA ADMINISTRACIÓN</w:t>
      </w:r>
    </w:p>
    <w:p w:rsidR="0042510C" w:rsidRDefault="0042510C" w:rsidP="0042510C">
      <w:pPr>
        <w:pStyle w:val="Ttulo"/>
        <w:widowControl w:val="0"/>
      </w:pPr>
    </w:p>
    <w:p w:rsidR="0042510C" w:rsidRDefault="0042510C" w:rsidP="0042510C">
      <w:pPr>
        <w:widowControl w:val="0"/>
        <w:spacing w:line="360" w:lineRule="auto"/>
        <w:jc w:val="both"/>
        <w:rPr>
          <w:rFonts w:ascii="Arial" w:hAnsi="Arial"/>
        </w:rPr>
      </w:pPr>
      <w:r>
        <w:rPr>
          <w:rFonts w:ascii="Arial" w:hAnsi="Arial"/>
        </w:rPr>
        <w:t>El Tribunal de Cuentas ha examinado el Estado de Ejecución Presupuestal de la Administración Nacional de Usinas y Trasmisiones Eléctricas (UTE) correspondiente al Ejercicio finalizado el 31 de diciembre de 2012 y ha emitido su Dictamen.</w:t>
      </w:r>
    </w:p>
    <w:p w:rsidR="0042510C" w:rsidRDefault="0042510C" w:rsidP="0042510C">
      <w:pPr>
        <w:pStyle w:val="Textoindependiente"/>
        <w:widowControl w:val="0"/>
        <w:rPr>
          <w:rFonts w:ascii="Arial" w:hAnsi="Arial"/>
        </w:rPr>
      </w:pPr>
      <w:r>
        <w:rPr>
          <w:rFonts w:ascii="Arial" w:hAnsi="Arial"/>
        </w:rPr>
        <w:t>Este Informe incluye comentarios que se ha entendido conveniente exponer, relacionados con la situación de determinados capítulos y grupos del estado examinado y con las disposiciones legales vigentes.</w:t>
      </w:r>
    </w:p>
    <w:p w:rsidR="0042510C" w:rsidRDefault="0042510C" w:rsidP="0042510C">
      <w:pPr>
        <w:pStyle w:val="Textoindependiente"/>
        <w:widowControl w:val="0"/>
        <w:rPr>
          <w:rFonts w:ascii="Arial" w:hAnsi="Arial"/>
        </w:rPr>
      </w:pPr>
      <w:r>
        <w:rPr>
          <w:rFonts w:ascii="Arial" w:hAnsi="Arial"/>
        </w:rPr>
        <w:t xml:space="preserve">También se agregan las principales recomendaciones que </w:t>
      </w:r>
      <w:proofErr w:type="gramStart"/>
      <w:r>
        <w:rPr>
          <w:rFonts w:ascii="Arial" w:hAnsi="Arial"/>
        </w:rPr>
        <w:t>deberá</w:t>
      </w:r>
      <w:proofErr w:type="gramEnd"/>
      <w:r>
        <w:rPr>
          <w:rFonts w:ascii="Arial" w:hAnsi="Arial"/>
        </w:rPr>
        <w:t xml:space="preserve"> atender el Organismo y una evaluación del cumplimiento de las recomendaciones efectuadas en el Informe de Auditoría del Ejercicio anterior.</w:t>
      </w:r>
    </w:p>
    <w:p w:rsidR="00D14F69" w:rsidRDefault="00D14F69" w:rsidP="0042510C">
      <w:pPr>
        <w:pStyle w:val="Textoindependiente"/>
        <w:widowControl w:val="0"/>
        <w:rPr>
          <w:rFonts w:ascii="Arial" w:hAnsi="Arial"/>
        </w:rPr>
      </w:pPr>
    </w:p>
    <w:p w:rsidR="0042510C" w:rsidRDefault="0042510C" w:rsidP="0042510C">
      <w:pPr>
        <w:pStyle w:val="Textoindependiente"/>
        <w:widowControl w:val="0"/>
        <w:numPr>
          <w:ilvl w:val="0"/>
          <w:numId w:val="4"/>
        </w:numPr>
        <w:tabs>
          <w:tab w:val="num" w:pos="426"/>
        </w:tabs>
        <w:ind w:hanging="720"/>
        <w:rPr>
          <w:rFonts w:ascii="Arial" w:hAnsi="Arial"/>
          <w:b/>
          <w:snapToGrid w:val="0"/>
        </w:rPr>
      </w:pPr>
      <w:r>
        <w:rPr>
          <w:rFonts w:ascii="Arial" w:hAnsi="Arial"/>
          <w:b/>
          <w:snapToGrid w:val="0"/>
        </w:rPr>
        <w:t>Aprobación y presentación del Estado de Ejecución Presupuestal</w:t>
      </w:r>
    </w:p>
    <w:p w:rsidR="0042510C" w:rsidRDefault="0042510C" w:rsidP="0042510C">
      <w:pPr>
        <w:widowControl w:val="0"/>
        <w:spacing w:line="360" w:lineRule="auto"/>
        <w:jc w:val="both"/>
        <w:rPr>
          <w:rFonts w:ascii="Arial" w:hAnsi="Arial"/>
        </w:rPr>
      </w:pPr>
      <w:r>
        <w:rPr>
          <w:rFonts w:ascii="Arial" w:hAnsi="Arial"/>
        </w:rPr>
        <w:t>El mencionado Estado de Ejecución fue aprobado por el Directorio según Resolución N° 13-686 de fecha 23/05/13 y remitido a este Tribunal con fecha 27/05/13 dentro del plazo establecido por la Ordenanza N° 75.</w:t>
      </w:r>
    </w:p>
    <w:p w:rsidR="00D14F69" w:rsidRDefault="00D14F69" w:rsidP="0042510C">
      <w:pPr>
        <w:widowControl w:val="0"/>
        <w:spacing w:line="360" w:lineRule="auto"/>
        <w:jc w:val="both"/>
        <w:rPr>
          <w:rFonts w:ascii="Arial" w:hAnsi="Arial"/>
        </w:rPr>
      </w:pPr>
    </w:p>
    <w:p w:rsidR="0042510C" w:rsidRDefault="0042510C" w:rsidP="0042510C">
      <w:pPr>
        <w:pStyle w:val="Textoindependiente"/>
        <w:widowControl w:val="0"/>
        <w:numPr>
          <w:ilvl w:val="0"/>
          <w:numId w:val="4"/>
        </w:numPr>
        <w:tabs>
          <w:tab w:val="num" w:pos="426"/>
        </w:tabs>
        <w:ind w:hanging="720"/>
        <w:rPr>
          <w:rFonts w:ascii="Arial" w:hAnsi="Arial"/>
          <w:b/>
          <w:snapToGrid w:val="0"/>
        </w:rPr>
      </w:pPr>
      <w:r>
        <w:rPr>
          <w:rFonts w:ascii="Arial" w:hAnsi="Arial"/>
          <w:b/>
          <w:snapToGrid w:val="0"/>
        </w:rPr>
        <w:t>Evaluación del Sistema de Control Interno</w:t>
      </w:r>
    </w:p>
    <w:p w:rsidR="0042510C" w:rsidRDefault="0042510C" w:rsidP="0042510C">
      <w:pPr>
        <w:pStyle w:val="Textoindependiente"/>
        <w:widowControl w:val="0"/>
        <w:rPr>
          <w:rFonts w:ascii="Arial" w:hAnsi="Arial"/>
          <w:bCs/>
          <w:snapToGrid w:val="0"/>
        </w:rPr>
      </w:pPr>
      <w:r>
        <w:rPr>
          <w:rFonts w:ascii="Arial" w:hAnsi="Arial"/>
          <w:bCs/>
          <w:snapToGrid w:val="0"/>
        </w:rPr>
        <w:t>El sistema de Control Interno de UTE proporciona un grado de seguridad razonable en relación a la confiabilidad de la información contable y el cumplimiento de la normativa vigente.</w:t>
      </w:r>
    </w:p>
    <w:p w:rsidR="00D14F69" w:rsidRDefault="00D14F69" w:rsidP="0042510C">
      <w:pPr>
        <w:pStyle w:val="Textoindependiente"/>
        <w:widowControl w:val="0"/>
        <w:rPr>
          <w:rFonts w:ascii="Arial" w:hAnsi="Arial"/>
          <w:bCs/>
          <w:snapToGrid w:val="0"/>
        </w:rPr>
      </w:pPr>
    </w:p>
    <w:p w:rsidR="0042510C" w:rsidRDefault="0042510C" w:rsidP="0042510C">
      <w:pPr>
        <w:pStyle w:val="Textoindependiente"/>
        <w:widowControl w:val="0"/>
        <w:rPr>
          <w:rFonts w:ascii="Arial" w:hAnsi="Arial"/>
          <w:bCs/>
          <w:snapToGrid w:val="0"/>
        </w:rPr>
      </w:pPr>
      <w:r>
        <w:rPr>
          <w:rFonts w:ascii="Arial" w:hAnsi="Arial"/>
          <w:b/>
          <w:snapToGrid w:val="0"/>
        </w:rPr>
        <w:t>3. Situaciones constatadas</w:t>
      </w:r>
    </w:p>
    <w:p w:rsidR="0042510C" w:rsidRDefault="0042510C" w:rsidP="0042510C">
      <w:pPr>
        <w:pStyle w:val="Textoindependiente"/>
        <w:widowControl w:val="0"/>
        <w:rPr>
          <w:rFonts w:ascii="Arial" w:hAnsi="Arial"/>
          <w:bCs/>
          <w:snapToGrid w:val="0"/>
        </w:rPr>
      </w:pPr>
      <w:r>
        <w:rPr>
          <w:rFonts w:ascii="Arial" w:hAnsi="Arial"/>
          <w:b/>
          <w:bCs/>
          <w:snapToGrid w:val="0"/>
        </w:rPr>
        <w:t>3.1)</w:t>
      </w:r>
      <w:r>
        <w:rPr>
          <w:rFonts w:ascii="Arial" w:hAnsi="Arial"/>
          <w:b/>
          <w:bCs/>
          <w:snapToGrid w:val="0"/>
        </w:rPr>
        <w:tab/>
      </w:r>
      <w:r>
        <w:rPr>
          <w:rFonts w:ascii="Arial" w:hAnsi="Arial"/>
          <w:bCs/>
          <w:snapToGrid w:val="0"/>
        </w:rPr>
        <w:t>No existe un módulo en el sistema informático que brinde la ejecución de los ingresos presupuestales.</w:t>
      </w:r>
    </w:p>
    <w:p w:rsidR="0042510C" w:rsidRDefault="0042510C" w:rsidP="0042510C">
      <w:pPr>
        <w:pStyle w:val="Textoindependiente"/>
        <w:widowControl w:val="0"/>
        <w:rPr>
          <w:rFonts w:ascii="Arial" w:hAnsi="Arial"/>
          <w:bCs/>
          <w:snapToGrid w:val="0"/>
        </w:rPr>
      </w:pPr>
      <w:r>
        <w:rPr>
          <w:rFonts w:ascii="Arial" w:hAnsi="Arial"/>
          <w:b/>
          <w:bCs/>
          <w:snapToGrid w:val="0"/>
        </w:rPr>
        <w:t>3.2)</w:t>
      </w:r>
      <w:r>
        <w:rPr>
          <w:rFonts w:ascii="Arial" w:hAnsi="Arial"/>
          <w:bCs/>
          <w:snapToGrid w:val="0"/>
        </w:rPr>
        <w:t xml:space="preserve">  No fue remitido al Tribunal de Cuentas, para su intervención, el expediente de tramitación ante el BROU del Vale de US$ 10:000.000 firmado en abril de 2012, renovable por períodos de 90 días hasta por un año.</w:t>
      </w:r>
    </w:p>
    <w:p w:rsidR="0042510C" w:rsidRDefault="0042510C" w:rsidP="0042510C">
      <w:pPr>
        <w:spacing w:line="360" w:lineRule="auto"/>
        <w:jc w:val="both"/>
        <w:rPr>
          <w:rFonts w:ascii="Arial" w:hAnsi="Arial" w:cs="Arial"/>
          <w:bCs/>
          <w:szCs w:val="20"/>
        </w:rPr>
      </w:pPr>
      <w:r>
        <w:rPr>
          <w:rFonts w:ascii="Arial" w:hAnsi="Arial" w:cs="Arial"/>
          <w:b/>
          <w:bCs/>
          <w:szCs w:val="20"/>
        </w:rPr>
        <w:lastRenderedPageBreak/>
        <w:t>3.3)</w:t>
      </w:r>
      <w:r>
        <w:rPr>
          <w:rFonts w:ascii="Arial" w:hAnsi="Arial" w:cs="Arial"/>
          <w:bCs/>
          <w:szCs w:val="20"/>
        </w:rPr>
        <w:t xml:space="preserve">  Los montos contratados con Canal 5 Servicio de Televisión Nacional no alcanzaron a cumplir con el porcentaje del 20% dispuesto por el Artículo 17 de la Ley Nº 17.904 de 07/10/05 (contratación publicitaria en televisión y radio), al contratar con Canal 5 por $ 5:489.679, lo que representa un 15,67% de la publicidad contratada en televisión privada.</w:t>
      </w:r>
    </w:p>
    <w:p w:rsidR="0042510C" w:rsidRDefault="0042510C" w:rsidP="0042510C">
      <w:pPr>
        <w:spacing w:line="360" w:lineRule="auto"/>
        <w:jc w:val="both"/>
        <w:rPr>
          <w:rFonts w:ascii="Arial" w:hAnsi="Arial" w:cs="Arial"/>
          <w:bCs/>
          <w:lang w:val="es-ES_tradnl"/>
        </w:rPr>
      </w:pPr>
      <w:r>
        <w:rPr>
          <w:rFonts w:ascii="Arial" w:hAnsi="Arial" w:cs="Arial"/>
          <w:b/>
          <w:bCs/>
          <w:szCs w:val="20"/>
        </w:rPr>
        <w:t>3.4)</w:t>
      </w:r>
      <w:r>
        <w:rPr>
          <w:rFonts w:ascii="Arial" w:hAnsi="Arial" w:cs="Arial"/>
          <w:bCs/>
          <w:szCs w:val="20"/>
        </w:rPr>
        <w:t xml:space="preserve"> Los gastos incurridos para el pago de horas extras totalizaron                    $ 285:578.977, lo que representa el 18% de los sueldos básicos, superando el porcentaje del 5% (cinco por ciento) dispuesto en el Artículo 87 de la Ley Nº14.416 de 28/08/1975.</w:t>
      </w:r>
    </w:p>
    <w:p w:rsidR="0042510C" w:rsidRPr="003175D5" w:rsidRDefault="0042510C" w:rsidP="0042510C">
      <w:pPr>
        <w:tabs>
          <w:tab w:val="left" w:pos="0"/>
        </w:tabs>
        <w:suppressAutoHyphens/>
        <w:spacing w:line="360" w:lineRule="auto"/>
        <w:jc w:val="both"/>
        <w:rPr>
          <w:rFonts w:ascii="Arial" w:hAnsi="Arial"/>
          <w:bCs/>
          <w:snapToGrid w:val="0"/>
          <w:spacing w:val="-3"/>
          <w:lang w:val="es-ES_tradnl"/>
        </w:rPr>
      </w:pPr>
      <w:r>
        <w:rPr>
          <w:rFonts w:ascii="Arial" w:hAnsi="Arial"/>
          <w:b/>
          <w:snapToGrid w:val="0"/>
        </w:rPr>
        <w:t>3.5)</w:t>
      </w:r>
      <w:r>
        <w:rPr>
          <w:rFonts w:ascii="Arial" w:hAnsi="Arial"/>
          <w:bCs/>
          <w:snapToGrid w:val="0"/>
          <w:spacing w:val="-3"/>
          <w:lang w:val="es-ES_tradnl"/>
        </w:rPr>
        <w:t xml:space="preserve"> La suma de las remuneraciones a los funcionarios de confianza, adicionando los pagos por conceptos de </w:t>
      </w:r>
      <w:proofErr w:type="spellStart"/>
      <w:r>
        <w:rPr>
          <w:rFonts w:ascii="Arial" w:hAnsi="Arial"/>
          <w:bCs/>
          <w:snapToGrid w:val="0"/>
          <w:spacing w:val="-3"/>
          <w:lang w:val="es-ES_tradnl"/>
        </w:rPr>
        <w:t>aghinaldo</w:t>
      </w:r>
      <w:proofErr w:type="spellEnd"/>
      <w:r>
        <w:rPr>
          <w:rFonts w:ascii="Arial" w:hAnsi="Arial"/>
          <w:bCs/>
          <w:snapToGrid w:val="0"/>
          <w:spacing w:val="-3"/>
          <w:lang w:val="es-ES_tradnl"/>
        </w:rPr>
        <w:t>, licencia no gozada y complemento de adscripción, supera lo establecido en el Art. 23 de la Ley Nº 17.556 de 18/09/2002.</w:t>
      </w:r>
    </w:p>
    <w:p w:rsidR="0042510C" w:rsidRDefault="0042510C" w:rsidP="0042510C">
      <w:pPr>
        <w:tabs>
          <w:tab w:val="left" w:pos="0"/>
        </w:tabs>
        <w:suppressAutoHyphens/>
        <w:spacing w:line="360" w:lineRule="auto"/>
        <w:jc w:val="both"/>
        <w:rPr>
          <w:rFonts w:ascii="Arial" w:hAnsi="Arial"/>
          <w:snapToGrid w:val="0"/>
        </w:rPr>
      </w:pPr>
      <w:r>
        <w:rPr>
          <w:rFonts w:ascii="Arial" w:hAnsi="Arial"/>
          <w:b/>
          <w:snapToGrid w:val="0"/>
        </w:rPr>
        <w:t xml:space="preserve">3.6) </w:t>
      </w:r>
      <w:r>
        <w:rPr>
          <w:rFonts w:ascii="Arial" w:hAnsi="Arial"/>
          <w:snapToGrid w:val="0"/>
        </w:rPr>
        <w:t>Los gastos por concepto de Tasa Tribunal de Cuentas, Aguinaldos, Horas Extras, Aporte patronal FNV, Aporte patronal SSS, Primas, Retiro Incentivado Personal permanente, trabajo nocturno y rotativo, e indemnizaciones penalizaciones URSEA se imputan en el Ejercicio en que se realiza el pago, y no en el que se devenga, por lo que no se da cumplimiento a lo establecido en el Artículo 20 del TOCAF con el texto dado por el Art. 2 de la Ley N° 17.213.</w:t>
      </w:r>
    </w:p>
    <w:p w:rsidR="0042510C" w:rsidRDefault="0042510C" w:rsidP="0042510C">
      <w:pPr>
        <w:spacing w:line="360" w:lineRule="auto"/>
        <w:jc w:val="both"/>
        <w:rPr>
          <w:rFonts w:ascii="Arial" w:hAnsi="Arial"/>
          <w:snapToGrid w:val="0"/>
        </w:rPr>
      </w:pPr>
      <w:r>
        <w:rPr>
          <w:rFonts w:ascii="Arial" w:hAnsi="Arial"/>
          <w:b/>
          <w:snapToGrid w:val="0"/>
        </w:rPr>
        <w:t>3.7)</w:t>
      </w:r>
      <w:r>
        <w:rPr>
          <w:rFonts w:ascii="Arial" w:hAnsi="Arial"/>
          <w:snapToGrid w:val="0"/>
        </w:rPr>
        <w:t xml:space="preserve"> El monto ejecutado en el Grupo 8 “Clasificación de Aplicaciones Financieras” (Amortización) supera en $ 30:583.187 el monto asignado, por no haberse realizado las adecuaciones correspondientes.</w:t>
      </w:r>
    </w:p>
    <w:p w:rsidR="0042510C" w:rsidRDefault="0042510C" w:rsidP="0042510C">
      <w:pPr>
        <w:pStyle w:val="Textoindependiente"/>
        <w:widowControl w:val="0"/>
        <w:rPr>
          <w:rFonts w:ascii="Arial" w:hAnsi="Arial"/>
          <w:spacing w:val="-3"/>
          <w:lang w:val="es-ES_tradnl"/>
        </w:rPr>
      </w:pPr>
      <w:r>
        <w:rPr>
          <w:rFonts w:ascii="Arial" w:hAnsi="Arial"/>
          <w:b/>
          <w:spacing w:val="-3"/>
          <w:lang w:val="es-ES_tradnl"/>
        </w:rPr>
        <w:t>3.8)</w:t>
      </w:r>
      <w:r>
        <w:rPr>
          <w:rFonts w:ascii="Arial" w:hAnsi="Arial"/>
          <w:spacing w:val="-3"/>
          <w:lang w:val="es-ES_tradnl"/>
        </w:rPr>
        <w:t xml:space="preserve"> Los Ordenadores de gastos y pagos al ejercer la facultad de insistencia o reiteración de un gasto, que fuere observado por los Contadores Delegados, no siempre detallan los motivos que justifican a su juicio seguir el curso del gasto, como está dispuesto en el Art. 475 de la Ley  Nº 17.296 de 21/2/2001.</w:t>
      </w:r>
    </w:p>
    <w:p w:rsidR="00D14F69" w:rsidRDefault="00D14F69" w:rsidP="0042510C">
      <w:pPr>
        <w:pStyle w:val="Textoindependiente"/>
        <w:widowControl w:val="0"/>
        <w:rPr>
          <w:rFonts w:ascii="Arial" w:hAnsi="Arial"/>
          <w:spacing w:val="-3"/>
          <w:lang w:val="es-ES_tradnl"/>
        </w:rPr>
      </w:pPr>
    </w:p>
    <w:p w:rsidR="00D14F69" w:rsidRDefault="00D14F69" w:rsidP="0042510C">
      <w:pPr>
        <w:pStyle w:val="Textoindependiente"/>
        <w:widowControl w:val="0"/>
        <w:rPr>
          <w:rFonts w:ascii="Arial" w:hAnsi="Arial"/>
          <w:spacing w:val="-3"/>
          <w:lang w:val="es-ES_tradnl"/>
        </w:rPr>
      </w:pPr>
    </w:p>
    <w:p w:rsidR="00D14F69" w:rsidRPr="00FB21F7" w:rsidRDefault="00D14F69" w:rsidP="0042510C">
      <w:pPr>
        <w:pStyle w:val="Textoindependiente"/>
        <w:widowControl w:val="0"/>
        <w:rPr>
          <w:rFonts w:ascii="Arial" w:hAnsi="Arial"/>
          <w:spacing w:val="-3"/>
          <w:lang w:val="es-ES_tradnl"/>
        </w:rPr>
      </w:pPr>
    </w:p>
    <w:p w:rsidR="0042510C" w:rsidRDefault="0042510C" w:rsidP="0042510C">
      <w:pPr>
        <w:pStyle w:val="Textoindependiente"/>
        <w:widowControl w:val="0"/>
        <w:numPr>
          <w:ilvl w:val="0"/>
          <w:numId w:val="7"/>
        </w:numPr>
        <w:rPr>
          <w:rFonts w:ascii="Arial" w:hAnsi="Arial"/>
          <w:b/>
          <w:snapToGrid w:val="0"/>
        </w:rPr>
      </w:pPr>
      <w:r>
        <w:rPr>
          <w:rFonts w:ascii="Arial" w:hAnsi="Arial"/>
          <w:b/>
          <w:snapToGrid w:val="0"/>
        </w:rPr>
        <w:lastRenderedPageBreak/>
        <w:t>Recomendaciones</w:t>
      </w:r>
    </w:p>
    <w:p w:rsidR="0042510C" w:rsidRDefault="0042510C" w:rsidP="00D14F69">
      <w:pPr>
        <w:pStyle w:val="Textoindependiente"/>
        <w:widowControl w:val="0"/>
        <w:numPr>
          <w:ilvl w:val="1"/>
          <w:numId w:val="7"/>
        </w:numPr>
        <w:rPr>
          <w:rFonts w:ascii="Arial" w:hAnsi="Arial"/>
          <w:b/>
          <w:snapToGrid w:val="0"/>
        </w:rPr>
      </w:pPr>
      <w:r>
        <w:rPr>
          <w:rFonts w:ascii="Arial" w:hAnsi="Arial"/>
          <w:b/>
          <w:snapToGrid w:val="0"/>
        </w:rPr>
        <w:t>Recomendaciones de Ejercicios anteriores</w:t>
      </w:r>
    </w:p>
    <w:p w:rsidR="0042510C" w:rsidRDefault="0042510C" w:rsidP="0042510C">
      <w:pPr>
        <w:pStyle w:val="Encabezado"/>
        <w:widowControl w:val="0"/>
        <w:tabs>
          <w:tab w:val="clear" w:pos="4419"/>
          <w:tab w:val="clear" w:pos="8838"/>
          <w:tab w:val="num" w:pos="1134"/>
        </w:tabs>
        <w:spacing w:line="360" w:lineRule="auto"/>
        <w:ind w:firstLine="426"/>
        <w:jc w:val="both"/>
        <w:rPr>
          <w:rFonts w:ascii="Arial" w:hAnsi="Arial"/>
          <w:b/>
          <w:bCs/>
        </w:rPr>
      </w:pPr>
      <w:r>
        <w:rPr>
          <w:rFonts w:ascii="Arial" w:hAnsi="Arial"/>
          <w:b/>
          <w:bCs/>
        </w:rPr>
        <w:t>4.1.1   Cumplidas</w:t>
      </w:r>
    </w:p>
    <w:p w:rsidR="0042510C" w:rsidRDefault="0042510C" w:rsidP="0042510C">
      <w:pPr>
        <w:pStyle w:val="Encabezado"/>
        <w:widowControl w:val="0"/>
        <w:numPr>
          <w:ilvl w:val="0"/>
          <w:numId w:val="6"/>
        </w:numPr>
        <w:tabs>
          <w:tab w:val="clear" w:pos="4419"/>
          <w:tab w:val="clear" w:pos="8838"/>
        </w:tabs>
        <w:spacing w:line="360" w:lineRule="auto"/>
        <w:jc w:val="both"/>
        <w:rPr>
          <w:rFonts w:ascii="Arial" w:hAnsi="Arial"/>
          <w:bCs/>
          <w:lang w:val="es-ES_tradnl"/>
        </w:rPr>
      </w:pPr>
      <w:r>
        <w:rPr>
          <w:rFonts w:ascii="Arial" w:hAnsi="Arial"/>
          <w:bCs/>
          <w:lang w:val="es-ES_tradnl"/>
        </w:rPr>
        <w:t>Se ejecutaron los ingresos dando cumplimiento al Art. 12 del TOCAF.</w:t>
      </w:r>
    </w:p>
    <w:p w:rsidR="0042510C" w:rsidRDefault="0042510C" w:rsidP="0042510C">
      <w:pPr>
        <w:pStyle w:val="Encabezado"/>
        <w:widowControl w:val="0"/>
        <w:numPr>
          <w:ilvl w:val="0"/>
          <w:numId w:val="6"/>
        </w:numPr>
        <w:tabs>
          <w:tab w:val="clear" w:pos="4419"/>
          <w:tab w:val="clear" w:pos="8838"/>
        </w:tabs>
        <w:spacing w:line="360" w:lineRule="auto"/>
        <w:jc w:val="both"/>
        <w:rPr>
          <w:rFonts w:ascii="Arial" w:hAnsi="Arial"/>
          <w:bCs/>
          <w:lang w:val="es-ES_tradnl"/>
        </w:rPr>
      </w:pPr>
      <w:r>
        <w:rPr>
          <w:rFonts w:ascii="Arial" w:hAnsi="Arial"/>
          <w:bCs/>
          <w:lang w:val="es-ES_tradnl"/>
        </w:rPr>
        <w:t xml:space="preserve">Se dio cumplimiento a la norma presupuestal que dispone topes a la liquidación del Sistema de Remuneración Variable. </w:t>
      </w:r>
    </w:p>
    <w:p w:rsidR="0042510C" w:rsidRDefault="0042510C" w:rsidP="0042510C">
      <w:pPr>
        <w:pStyle w:val="Encabezado"/>
        <w:widowControl w:val="0"/>
        <w:tabs>
          <w:tab w:val="clear" w:pos="4419"/>
          <w:tab w:val="clear" w:pos="8838"/>
        </w:tabs>
        <w:spacing w:line="360" w:lineRule="auto"/>
        <w:ind w:left="1134" w:hanging="708"/>
        <w:jc w:val="both"/>
        <w:rPr>
          <w:rFonts w:ascii="Arial" w:hAnsi="Arial"/>
          <w:b/>
          <w:bCs/>
        </w:rPr>
      </w:pPr>
      <w:r>
        <w:rPr>
          <w:rFonts w:ascii="Arial" w:hAnsi="Arial"/>
          <w:b/>
          <w:bCs/>
        </w:rPr>
        <w:t>4.1.2   No Cumplidas</w:t>
      </w:r>
    </w:p>
    <w:p w:rsidR="0042510C" w:rsidRDefault="0042510C" w:rsidP="0042510C">
      <w:pPr>
        <w:widowControl w:val="0"/>
        <w:numPr>
          <w:ilvl w:val="0"/>
          <w:numId w:val="5"/>
        </w:numPr>
        <w:tabs>
          <w:tab w:val="left" w:pos="1418"/>
        </w:tabs>
        <w:spacing w:line="360" w:lineRule="auto"/>
        <w:jc w:val="both"/>
        <w:rPr>
          <w:rFonts w:ascii="Arial" w:hAnsi="Arial"/>
          <w:spacing w:val="-3"/>
          <w:lang w:val="es-ES_tradnl"/>
        </w:rPr>
      </w:pPr>
      <w:r>
        <w:rPr>
          <w:rFonts w:ascii="Arial" w:hAnsi="Arial"/>
          <w:spacing w:val="-3"/>
          <w:lang w:val="es-ES_tradnl"/>
        </w:rPr>
        <w:t>Comunicar al Tribunal de Cuentas todas las reiteraciones realizadas por los Ordenadores competentes del Organismo, correspondientes a observaciones efectuadas por el Tribunal.</w:t>
      </w:r>
    </w:p>
    <w:p w:rsidR="00D14F69" w:rsidRDefault="00D14F69" w:rsidP="00D14F69">
      <w:pPr>
        <w:widowControl w:val="0"/>
        <w:tabs>
          <w:tab w:val="left" w:pos="1418"/>
        </w:tabs>
        <w:spacing w:line="360" w:lineRule="auto"/>
        <w:ind w:left="720"/>
        <w:jc w:val="both"/>
        <w:rPr>
          <w:rFonts w:ascii="Arial" w:hAnsi="Arial"/>
          <w:spacing w:val="-3"/>
          <w:lang w:val="es-ES_tradnl"/>
        </w:rPr>
      </w:pPr>
    </w:p>
    <w:p w:rsidR="0042510C" w:rsidRDefault="0042510C" w:rsidP="0042510C">
      <w:pPr>
        <w:pStyle w:val="Textoindependiente"/>
        <w:widowControl w:val="0"/>
        <w:tabs>
          <w:tab w:val="num" w:pos="1080"/>
        </w:tabs>
        <w:ind w:left="1134" w:hanging="708"/>
        <w:rPr>
          <w:rFonts w:ascii="Arial" w:hAnsi="Arial"/>
          <w:b/>
          <w:snapToGrid w:val="0"/>
        </w:rPr>
      </w:pPr>
      <w:r>
        <w:rPr>
          <w:rFonts w:ascii="Arial" w:hAnsi="Arial"/>
          <w:b/>
          <w:snapToGrid w:val="0"/>
        </w:rPr>
        <w:t>4.2      Recomendaciones del presente Ejercicio</w:t>
      </w:r>
    </w:p>
    <w:p w:rsidR="0042510C" w:rsidRDefault="0042510C" w:rsidP="0042510C">
      <w:pPr>
        <w:pStyle w:val="Sangradetextonormal"/>
        <w:ind w:firstLine="0"/>
      </w:pPr>
      <w:r>
        <w:t>Se reiteran las recomendaciones no cumplidas de Ejercicios anteriores, a las que se agregan las siguientes:</w:t>
      </w:r>
    </w:p>
    <w:p w:rsidR="0042510C" w:rsidRDefault="0042510C" w:rsidP="0042510C">
      <w:pPr>
        <w:widowControl w:val="0"/>
        <w:numPr>
          <w:ilvl w:val="0"/>
          <w:numId w:val="5"/>
        </w:numPr>
        <w:snapToGrid w:val="0"/>
        <w:spacing w:line="360" w:lineRule="auto"/>
        <w:ind w:left="709" w:hanging="283"/>
        <w:jc w:val="both"/>
        <w:rPr>
          <w:rFonts w:ascii="Arial" w:hAnsi="Arial"/>
          <w:bCs/>
          <w:szCs w:val="20"/>
        </w:rPr>
      </w:pPr>
      <w:r>
        <w:rPr>
          <w:rFonts w:ascii="Arial" w:hAnsi="Arial"/>
          <w:bCs/>
          <w:szCs w:val="20"/>
        </w:rPr>
        <w:t>Incorporar al módulo SAP de ejecución presupuestal la ejecución de ingresos</w:t>
      </w:r>
      <w:proofErr w:type="gramStart"/>
      <w:r>
        <w:rPr>
          <w:rFonts w:ascii="Arial" w:hAnsi="Arial"/>
          <w:bCs/>
          <w:szCs w:val="20"/>
        </w:rPr>
        <w:t>.(</w:t>
      </w:r>
      <w:proofErr w:type="gramEnd"/>
      <w:r>
        <w:rPr>
          <w:rFonts w:ascii="Arial" w:hAnsi="Arial"/>
          <w:bCs/>
          <w:szCs w:val="20"/>
        </w:rPr>
        <w:t>3.1).</w:t>
      </w:r>
    </w:p>
    <w:p w:rsidR="0042510C" w:rsidRDefault="0042510C" w:rsidP="0042510C">
      <w:pPr>
        <w:widowControl w:val="0"/>
        <w:numPr>
          <w:ilvl w:val="0"/>
          <w:numId w:val="5"/>
        </w:numPr>
        <w:snapToGrid w:val="0"/>
        <w:spacing w:line="360" w:lineRule="auto"/>
        <w:ind w:left="709" w:hanging="283"/>
        <w:jc w:val="both"/>
        <w:rPr>
          <w:rFonts w:ascii="Arial" w:hAnsi="Arial"/>
          <w:bCs/>
          <w:szCs w:val="20"/>
        </w:rPr>
      </w:pPr>
      <w:r>
        <w:rPr>
          <w:rFonts w:ascii="Arial" w:hAnsi="Arial"/>
          <w:bCs/>
          <w:szCs w:val="20"/>
        </w:rPr>
        <w:t>Remitir al Tribunal de Cuentas la totalidad de los contratos de vales firmados para someter al control de legalidad. (3.2).</w:t>
      </w:r>
    </w:p>
    <w:p w:rsidR="0042510C" w:rsidRDefault="0042510C" w:rsidP="0042510C">
      <w:pPr>
        <w:widowControl w:val="0"/>
        <w:numPr>
          <w:ilvl w:val="0"/>
          <w:numId w:val="5"/>
        </w:numPr>
        <w:tabs>
          <w:tab w:val="left" w:pos="1418"/>
        </w:tabs>
        <w:spacing w:line="360" w:lineRule="auto"/>
        <w:ind w:left="709" w:hanging="283"/>
        <w:jc w:val="both"/>
        <w:rPr>
          <w:rFonts w:ascii="Arial" w:hAnsi="Arial"/>
          <w:spacing w:val="-3"/>
          <w:lang w:val="es-ES_tradnl"/>
        </w:rPr>
      </w:pPr>
      <w:r>
        <w:rPr>
          <w:rFonts w:ascii="Arial" w:hAnsi="Arial"/>
          <w:spacing w:val="-3"/>
          <w:lang w:val="es-ES_tradnl"/>
        </w:rPr>
        <w:t xml:space="preserve">Contratar con Canal 5 Servicio de Televisión Nacional el 20% de la </w:t>
      </w:r>
      <w:r w:rsidRPr="00334DB6">
        <w:rPr>
          <w:rFonts w:ascii="Arial" w:hAnsi="Arial"/>
          <w:spacing w:val="-14"/>
          <w:lang w:val="es-ES_tradnl"/>
        </w:rPr>
        <w:t>publicidad realizada como lo establece el Artículo 17 de  la Ley Nº 17.904.</w:t>
      </w:r>
      <w:r>
        <w:rPr>
          <w:rFonts w:ascii="Arial" w:hAnsi="Arial"/>
          <w:spacing w:val="-3"/>
          <w:lang w:val="es-ES_tradnl"/>
        </w:rPr>
        <w:t xml:space="preserve"> (3.3) </w:t>
      </w:r>
    </w:p>
    <w:p w:rsidR="0042510C" w:rsidRDefault="0042510C" w:rsidP="0042510C">
      <w:pPr>
        <w:widowControl w:val="0"/>
        <w:numPr>
          <w:ilvl w:val="0"/>
          <w:numId w:val="5"/>
        </w:numPr>
        <w:tabs>
          <w:tab w:val="left" w:pos="1418"/>
        </w:tabs>
        <w:spacing w:line="360" w:lineRule="auto"/>
        <w:ind w:left="709" w:hanging="283"/>
        <w:jc w:val="both"/>
        <w:rPr>
          <w:rFonts w:ascii="Arial" w:hAnsi="Arial"/>
        </w:rPr>
      </w:pPr>
      <w:r>
        <w:rPr>
          <w:rFonts w:ascii="Arial" w:hAnsi="Arial"/>
          <w:spacing w:val="-3"/>
          <w:lang w:val="es-ES_tradnl"/>
        </w:rPr>
        <w:t xml:space="preserve">Cumplir con  la normativa legal vigente en lo que respecta a las horas extras.(3.4) </w:t>
      </w:r>
    </w:p>
    <w:p w:rsidR="0042510C" w:rsidRDefault="0042510C" w:rsidP="0042510C">
      <w:pPr>
        <w:widowControl w:val="0"/>
        <w:numPr>
          <w:ilvl w:val="0"/>
          <w:numId w:val="5"/>
        </w:numPr>
        <w:tabs>
          <w:tab w:val="left" w:pos="1418"/>
        </w:tabs>
        <w:snapToGrid w:val="0"/>
        <w:spacing w:line="360" w:lineRule="auto"/>
        <w:ind w:left="709" w:hanging="283"/>
        <w:jc w:val="both"/>
        <w:rPr>
          <w:rFonts w:ascii="Arial" w:hAnsi="Arial"/>
          <w:bCs/>
          <w:szCs w:val="20"/>
        </w:rPr>
      </w:pPr>
      <w:r>
        <w:rPr>
          <w:rFonts w:ascii="Arial" w:hAnsi="Arial"/>
          <w:bCs/>
          <w:szCs w:val="20"/>
        </w:rPr>
        <w:t>Dar cumplimiento a lo dispuesto en Artículo 23 Ley Nº 17.556 sobre personal de confianza.(3.5)</w:t>
      </w:r>
    </w:p>
    <w:p w:rsidR="0042510C" w:rsidRDefault="0042510C" w:rsidP="0042510C">
      <w:pPr>
        <w:widowControl w:val="0"/>
        <w:numPr>
          <w:ilvl w:val="0"/>
          <w:numId w:val="5"/>
        </w:numPr>
        <w:tabs>
          <w:tab w:val="left" w:pos="1418"/>
        </w:tabs>
        <w:spacing w:line="360" w:lineRule="auto"/>
        <w:ind w:left="709" w:hanging="283"/>
        <w:jc w:val="both"/>
        <w:rPr>
          <w:rFonts w:ascii="Arial" w:hAnsi="Arial"/>
        </w:rPr>
      </w:pPr>
      <w:r>
        <w:rPr>
          <w:rFonts w:ascii="Arial" w:hAnsi="Arial"/>
          <w:bCs/>
          <w:szCs w:val="20"/>
        </w:rPr>
        <w:t xml:space="preserve">Imputar todos los gastos de acuerdo con el criterio de lo devengado </w:t>
      </w:r>
      <w:r>
        <w:rPr>
          <w:rFonts w:ascii="Arial" w:hAnsi="Arial"/>
          <w:spacing w:val="-3"/>
          <w:lang w:val="es-ES_tradnl"/>
        </w:rPr>
        <w:t xml:space="preserve">(3.6) </w:t>
      </w:r>
    </w:p>
    <w:p w:rsidR="0042510C" w:rsidRDefault="0042510C" w:rsidP="0042510C">
      <w:pPr>
        <w:widowControl w:val="0"/>
        <w:numPr>
          <w:ilvl w:val="0"/>
          <w:numId w:val="5"/>
        </w:numPr>
        <w:tabs>
          <w:tab w:val="left" w:pos="1418"/>
        </w:tabs>
        <w:spacing w:line="360" w:lineRule="auto"/>
        <w:ind w:left="709" w:hanging="283"/>
        <w:jc w:val="both"/>
        <w:rPr>
          <w:rFonts w:ascii="Arial" w:hAnsi="Arial"/>
        </w:rPr>
      </w:pPr>
      <w:r>
        <w:rPr>
          <w:rFonts w:ascii="Arial" w:hAnsi="Arial"/>
          <w:bCs/>
          <w:szCs w:val="20"/>
        </w:rPr>
        <w:t xml:space="preserve">Adecuar el monto de la asignación del Grupo 8 de acuerdo con las necesidades </w:t>
      </w:r>
      <w:r>
        <w:rPr>
          <w:rFonts w:ascii="Arial" w:hAnsi="Arial"/>
          <w:spacing w:val="-3"/>
          <w:lang w:val="es-ES_tradnl"/>
        </w:rPr>
        <w:t>( 3.7)</w:t>
      </w:r>
    </w:p>
    <w:p w:rsidR="0042510C" w:rsidRDefault="0042510C" w:rsidP="0042510C">
      <w:pPr>
        <w:widowControl w:val="0"/>
        <w:numPr>
          <w:ilvl w:val="0"/>
          <w:numId w:val="5"/>
        </w:numPr>
        <w:tabs>
          <w:tab w:val="left" w:pos="1418"/>
        </w:tabs>
        <w:spacing w:line="360" w:lineRule="auto"/>
        <w:ind w:left="709" w:hanging="283"/>
        <w:jc w:val="both"/>
      </w:pPr>
      <w:r>
        <w:rPr>
          <w:rFonts w:ascii="Arial" w:hAnsi="Arial"/>
          <w:szCs w:val="20"/>
        </w:rPr>
        <w:t xml:space="preserve">Detallar en las Resoluciones de reiteración de gastos, por parte de los </w:t>
      </w:r>
      <w:r>
        <w:rPr>
          <w:rFonts w:ascii="Arial" w:hAnsi="Arial"/>
          <w:szCs w:val="20"/>
        </w:rPr>
        <w:lastRenderedPageBreak/>
        <w:t>Ordenadores, los motivos que justifican seguir con el curso de todos los gastos observados por los Contadores Delegados.</w:t>
      </w:r>
      <w:r>
        <w:rPr>
          <w:rFonts w:ascii="Arial" w:hAnsi="Arial"/>
          <w:spacing w:val="-3"/>
          <w:lang w:val="es-ES_tradnl"/>
        </w:rPr>
        <w:t xml:space="preserve"> (3.8) </w:t>
      </w:r>
    </w:p>
    <w:p w:rsidR="0042510C" w:rsidRDefault="0042510C" w:rsidP="0042510C">
      <w:pPr>
        <w:widowControl w:val="0"/>
        <w:spacing w:line="360" w:lineRule="auto"/>
        <w:ind w:left="2124" w:firstLine="708"/>
        <w:jc w:val="right"/>
        <w:rPr>
          <w:rFonts w:ascii="Arial" w:hAnsi="Arial"/>
          <w:snapToGrid w:val="0"/>
        </w:rPr>
      </w:pPr>
      <w:r>
        <w:rPr>
          <w:rFonts w:ascii="Arial" w:hAnsi="Arial"/>
          <w:snapToGrid w:val="0"/>
        </w:rPr>
        <w:t>M</w:t>
      </w:r>
      <w:r w:rsidR="00577CED">
        <w:rPr>
          <w:rFonts w:ascii="Arial" w:hAnsi="Arial"/>
          <w:snapToGrid w:val="0"/>
        </w:rPr>
        <w:t>ontevideo, 7 de octubre de 2013</w:t>
      </w:r>
    </w:p>
    <w:p w:rsidR="0027740B" w:rsidRDefault="0027740B" w:rsidP="0042510C">
      <w:pPr>
        <w:widowControl w:val="0"/>
        <w:spacing w:line="360" w:lineRule="auto"/>
        <w:ind w:left="2124" w:firstLine="708"/>
        <w:jc w:val="right"/>
        <w:rPr>
          <w:rFonts w:ascii="Arial" w:hAnsi="Arial"/>
          <w:snapToGrid w:val="0"/>
        </w:rPr>
      </w:pPr>
    </w:p>
    <w:p w:rsidR="0027740B" w:rsidRDefault="0027740B" w:rsidP="0042510C">
      <w:pPr>
        <w:widowControl w:val="0"/>
        <w:spacing w:line="360" w:lineRule="auto"/>
        <w:ind w:left="2124" w:firstLine="708"/>
        <w:jc w:val="right"/>
        <w:rPr>
          <w:rFonts w:ascii="Arial" w:hAnsi="Arial"/>
          <w:snapToGrid w:val="0"/>
        </w:rPr>
      </w:pPr>
    </w:p>
    <w:p w:rsidR="0042510C" w:rsidRPr="0027740B" w:rsidRDefault="0027740B" w:rsidP="0027740B">
      <w:pPr>
        <w:suppressAutoHyphens/>
        <w:spacing w:line="360" w:lineRule="auto"/>
        <w:jc w:val="both"/>
        <w:rPr>
          <w:rFonts w:ascii="Arial" w:hAnsi="Arial" w:cs="Arial"/>
          <w:b/>
          <w:spacing w:val="-3"/>
          <w:lang w:val="es-ES_tradnl"/>
        </w:rPr>
      </w:pPr>
      <w:r w:rsidRPr="0027740B">
        <w:rPr>
          <w:rFonts w:ascii="Arial" w:hAnsi="Arial" w:cs="Arial"/>
          <w:b/>
          <w:spacing w:val="-3"/>
          <w:lang w:val="es-ES_tradnl"/>
        </w:rPr>
        <w:t xml:space="preserve">Oficio remitido a la </w:t>
      </w:r>
      <w:r w:rsidR="0042510C" w:rsidRPr="0027740B">
        <w:rPr>
          <w:rFonts w:ascii="Arial" w:hAnsi="Arial" w:cs="Arial"/>
          <w:b/>
          <w:spacing w:val="-3"/>
          <w:lang w:val="es-ES_tradnl"/>
        </w:rPr>
        <w:t>Sra</w:t>
      </w:r>
      <w:r w:rsidRPr="0027740B">
        <w:rPr>
          <w:rFonts w:ascii="Arial" w:hAnsi="Arial" w:cs="Arial"/>
          <w:b/>
          <w:spacing w:val="-3"/>
          <w:lang w:val="es-ES_tradnl"/>
        </w:rPr>
        <w:t>.</w:t>
      </w:r>
      <w:r w:rsidR="0042510C" w:rsidRPr="0027740B">
        <w:rPr>
          <w:rFonts w:ascii="Arial" w:hAnsi="Arial" w:cs="Arial"/>
          <w:b/>
          <w:spacing w:val="-3"/>
          <w:lang w:val="es-ES_tradnl"/>
        </w:rPr>
        <w:t xml:space="preserve"> Presidenta del</w:t>
      </w:r>
      <w:r w:rsidRPr="0027740B">
        <w:rPr>
          <w:rFonts w:ascii="Arial" w:hAnsi="Arial" w:cs="Arial"/>
          <w:b/>
          <w:spacing w:val="-3"/>
          <w:lang w:val="es-ES_tradnl"/>
        </w:rPr>
        <w:t xml:space="preserve"> </w:t>
      </w:r>
      <w:r w:rsidR="0042510C" w:rsidRPr="0027740B">
        <w:rPr>
          <w:rFonts w:ascii="Arial" w:hAnsi="Arial" w:cs="Arial"/>
          <w:b/>
          <w:spacing w:val="-3"/>
          <w:lang w:val="es-ES_tradnl"/>
        </w:rPr>
        <w:t>Servicio Oficial de Difusión,</w:t>
      </w:r>
      <w:r>
        <w:rPr>
          <w:rFonts w:ascii="Arial" w:hAnsi="Arial" w:cs="Arial"/>
          <w:b/>
          <w:spacing w:val="-3"/>
          <w:lang w:val="es-ES_tradnl"/>
        </w:rPr>
        <w:t xml:space="preserve"> </w:t>
      </w:r>
      <w:r w:rsidR="0042510C" w:rsidRPr="0027740B">
        <w:rPr>
          <w:rFonts w:ascii="Arial" w:hAnsi="Arial" w:cs="Arial"/>
          <w:b/>
          <w:spacing w:val="-3"/>
          <w:lang w:val="es-ES_tradnl"/>
        </w:rPr>
        <w:t>Radiotelevisión y Espectáculos (SODRE)</w:t>
      </w:r>
      <w:r w:rsidRPr="0027740B">
        <w:rPr>
          <w:rFonts w:ascii="Arial" w:hAnsi="Arial" w:cs="Arial"/>
          <w:b/>
          <w:spacing w:val="-3"/>
          <w:lang w:val="es-ES_tradnl"/>
        </w:rPr>
        <w:t xml:space="preserve"> </w:t>
      </w:r>
      <w:r w:rsidR="0042510C" w:rsidRPr="0027740B">
        <w:rPr>
          <w:rFonts w:ascii="Arial" w:hAnsi="Arial" w:cs="Arial"/>
          <w:b/>
          <w:spacing w:val="-3"/>
          <w:lang w:val="es-ES_tradnl"/>
        </w:rPr>
        <w:t>Eneida de León</w:t>
      </w:r>
      <w:r w:rsidRPr="0027740B">
        <w:rPr>
          <w:rFonts w:ascii="Arial" w:hAnsi="Arial" w:cs="Arial"/>
          <w:b/>
          <w:spacing w:val="-3"/>
          <w:lang w:val="es-ES_tradnl"/>
        </w:rPr>
        <w:t>.-</w:t>
      </w:r>
    </w:p>
    <w:p w:rsidR="0042510C" w:rsidRPr="0027740B" w:rsidRDefault="0042510C" w:rsidP="0072493D">
      <w:pPr>
        <w:tabs>
          <w:tab w:val="center" w:pos="4253"/>
        </w:tabs>
        <w:suppressAutoHyphens/>
        <w:spacing w:line="360" w:lineRule="auto"/>
        <w:jc w:val="right"/>
        <w:rPr>
          <w:rFonts w:ascii="Arial" w:hAnsi="Arial" w:cs="Arial"/>
          <w:lang w:val="es-ES_tradnl"/>
        </w:rPr>
      </w:pPr>
    </w:p>
    <w:p w:rsidR="0042510C" w:rsidRDefault="0042510C" w:rsidP="0042510C">
      <w:pPr>
        <w:spacing w:line="360" w:lineRule="auto"/>
        <w:ind w:firstLine="708"/>
        <w:jc w:val="both"/>
        <w:rPr>
          <w:rFonts w:ascii="Arial" w:hAnsi="Arial"/>
          <w:spacing w:val="-3"/>
          <w:lang w:val="es-ES_tradnl"/>
        </w:rPr>
      </w:pPr>
      <w:r>
        <w:rPr>
          <w:rFonts w:ascii="Arial" w:hAnsi="Arial"/>
          <w:spacing w:val="-3"/>
          <w:lang w:val="es-ES_tradnl"/>
        </w:rPr>
        <w:t>Con fecha 27 de mayo de 2013 la Administración Nacional de Usinas y Trasmisiones Eléctricas (UTE) remitió al Tribunal de Cuentas el Balance de Ejecución Presupuestal correspondiente al Ejercicio 2012.</w:t>
      </w:r>
    </w:p>
    <w:p w:rsidR="0042510C" w:rsidRDefault="0042510C" w:rsidP="0042510C">
      <w:pPr>
        <w:spacing w:line="360" w:lineRule="auto"/>
        <w:jc w:val="both"/>
        <w:rPr>
          <w:rFonts w:ascii="Arial" w:hAnsi="Arial"/>
        </w:rPr>
      </w:pPr>
      <w:r>
        <w:rPr>
          <w:rFonts w:ascii="Arial" w:hAnsi="Arial"/>
        </w:rPr>
        <w:tab/>
        <w:t>De acuerdo con lo dispuesto por el Artículo 226 de la Ley Nº 18.172 de 07/09/2007 la UTE ha realizado publicidad en televisión por un total de             $ 27:448.397 y radio por $ 12:472.682, habiendo contratado con Canal 5 Televisión Nacional del Uruguay por la suma de $ 4:301.328, y con las radiodifusoras del Servicio Oficial de Difusión, Radiotelevisión y Espectáculos (SODRE) por un importe de $ 2:499.927, las que representan un 15,67% y un 20% respectivamente.</w:t>
      </w:r>
    </w:p>
    <w:p w:rsidR="0027740B" w:rsidRDefault="0027740B">
      <w:pPr>
        <w:rPr>
          <w:rFonts w:ascii="Arial" w:hAnsi="Arial" w:cs="Arial"/>
        </w:rPr>
      </w:pPr>
    </w:p>
    <w:p w:rsidR="0042510C" w:rsidRDefault="0042510C">
      <w:pPr>
        <w:rPr>
          <w:rFonts w:ascii="Arial" w:hAnsi="Arial" w:cs="Arial"/>
        </w:rPr>
      </w:pPr>
      <w:proofErr w:type="spellStart"/>
      <w:proofErr w:type="gramStart"/>
      <w:r w:rsidRPr="001D5ADD">
        <w:rPr>
          <w:rFonts w:ascii="Arial" w:hAnsi="Arial" w:cs="Arial"/>
        </w:rPr>
        <w:t>cr</w:t>
      </w:r>
      <w:proofErr w:type="spellEnd"/>
      <w:proofErr w:type="gramEnd"/>
    </w:p>
    <w:sectPr w:rsidR="0042510C" w:rsidSect="001D5ADD">
      <w:pgSz w:w="11906" w:h="16838"/>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246C6"/>
    <w:multiLevelType w:val="hybridMultilevel"/>
    <w:tmpl w:val="14B82DC0"/>
    <w:lvl w:ilvl="0" w:tplc="9FE46E60">
      <w:start w:val="1"/>
      <w:numFmt w:val="decimal"/>
      <w:lvlText w:val="%1."/>
      <w:lvlJc w:val="left"/>
      <w:pPr>
        <w:tabs>
          <w:tab w:val="num" w:pos="720"/>
        </w:tabs>
        <w:ind w:left="720" w:hanging="360"/>
      </w:pPr>
      <w:rPr>
        <w:rFonts w:hint="default"/>
        <w:sz w:val="24"/>
      </w:rPr>
    </w:lvl>
    <w:lvl w:ilvl="1" w:tplc="D256C9FE">
      <w:numFmt w:val="none"/>
      <w:lvlText w:val=""/>
      <w:lvlJc w:val="left"/>
      <w:pPr>
        <w:tabs>
          <w:tab w:val="num" w:pos="360"/>
        </w:tabs>
      </w:pPr>
    </w:lvl>
    <w:lvl w:ilvl="2" w:tplc="C9BA6118">
      <w:numFmt w:val="none"/>
      <w:lvlText w:val=""/>
      <w:lvlJc w:val="left"/>
      <w:pPr>
        <w:tabs>
          <w:tab w:val="num" w:pos="360"/>
        </w:tabs>
      </w:pPr>
    </w:lvl>
    <w:lvl w:ilvl="3" w:tplc="629C93A2">
      <w:numFmt w:val="none"/>
      <w:lvlText w:val=""/>
      <w:lvlJc w:val="left"/>
      <w:pPr>
        <w:tabs>
          <w:tab w:val="num" w:pos="360"/>
        </w:tabs>
      </w:pPr>
    </w:lvl>
    <w:lvl w:ilvl="4" w:tplc="18467A30">
      <w:numFmt w:val="none"/>
      <w:lvlText w:val=""/>
      <w:lvlJc w:val="left"/>
      <w:pPr>
        <w:tabs>
          <w:tab w:val="num" w:pos="360"/>
        </w:tabs>
      </w:pPr>
    </w:lvl>
    <w:lvl w:ilvl="5" w:tplc="2648F0BA">
      <w:numFmt w:val="none"/>
      <w:lvlText w:val=""/>
      <w:lvlJc w:val="left"/>
      <w:pPr>
        <w:tabs>
          <w:tab w:val="num" w:pos="360"/>
        </w:tabs>
      </w:pPr>
    </w:lvl>
    <w:lvl w:ilvl="6" w:tplc="BF28D420">
      <w:numFmt w:val="none"/>
      <w:lvlText w:val=""/>
      <w:lvlJc w:val="left"/>
      <w:pPr>
        <w:tabs>
          <w:tab w:val="num" w:pos="360"/>
        </w:tabs>
      </w:pPr>
    </w:lvl>
    <w:lvl w:ilvl="7" w:tplc="84565114">
      <w:numFmt w:val="none"/>
      <w:lvlText w:val=""/>
      <w:lvlJc w:val="left"/>
      <w:pPr>
        <w:tabs>
          <w:tab w:val="num" w:pos="360"/>
        </w:tabs>
      </w:pPr>
    </w:lvl>
    <w:lvl w:ilvl="8" w:tplc="DAAC8BEE">
      <w:numFmt w:val="none"/>
      <w:lvlText w:val=""/>
      <w:lvlJc w:val="left"/>
      <w:pPr>
        <w:tabs>
          <w:tab w:val="num" w:pos="360"/>
        </w:tabs>
      </w:pPr>
    </w:lvl>
  </w:abstractNum>
  <w:abstractNum w:abstractNumId="1">
    <w:nsid w:val="295B2FE7"/>
    <w:multiLevelType w:val="multilevel"/>
    <w:tmpl w:val="59F47B1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nsid w:val="2EC867B5"/>
    <w:multiLevelType w:val="hybridMultilevel"/>
    <w:tmpl w:val="E534A026"/>
    <w:lvl w:ilvl="0" w:tplc="0C0A0005">
      <w:start w:val="1"/>
      <w:numFmt w:val="bullet"/>
      <w:lvlText w:val=""/>
      <w:lvlJc w:val="left"/>
      <w:pPr>
        <w:tabs>
          <w:tab w:val="num" w:pos="1080"/>
        </w:tabs>
        <w:ind w:left="1080" w:hanging="360"/>
      </w:pPr>
      <w:rPr>
        <w:rFonts w:ascii="Wingdings" w:hAnsi="Wingdings" w:hint="default"/>
      </w:rPr>
    </w:lvl>
    <w:lvl w:ilvl="1" w:tplc="6D6C44FA">
      <w:numFmt w:val="bullet"/>
      <w:lvlText w:val="-"/>
      <w:lvlJc w:val="left"/>
      <w:pPr>
        <w:tabs>
          <w:tab w:val="num" w:pos="1800"/>
        </w:tabs>
        <w:ind w:left="1800" w:hanging="360"/>
      </w:pPr>
      <w:rPr>
        <w:rFonts w:ascii="Times New Roman" w:eastAsia="Times New Roman" w:hAnsi="Times New Roman" w:cs="Times New Roman"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
    <w:nsid w:val="38206A39"/>
    <w:multiLevelType w:val="hybridMultilevel"/>
    <w:tmpl w:val="5CA827D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55445D1D"/>
    <w:multiLevelType w:val="hybridMultilevel"/>
    <w:tmpl w:val="21D2DEA2"/>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5">
    <w:nsid w:val="5A233BE5"/>
    <w:multiLevelType w:val="hybridMultilevel"/>
    <w:tmpl w:val="F4F4D6E0"/>
    <w:lvl w:ilvl="0" w:tplc="E75C4452">
      <w:start w:val="1"/>
      <w:numFmt w:val="decimal"/>
      <w:lvlText w:val="%1)"/>
      <w:lvlJc w:val="left"/>
      <w:pPr>
        <w:ind w:left="720" w:hanging="360"/>
      </w:pPr>
      <w:rPr>
        <w:rFonts w:hint="default"/>
        <w:b/>
        <w:i w:val="0"/>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6">
    <w:nsid w:val="72EE55BD"/>
    <w:multiLevelType w:val="hybridMultilevel"/>
    <w:tmpl w:val="0D12A962"/>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0"/>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ADD"/>
    <w:rsid w:val="001D5ADD"/>
    <w:rsid w:val="001E0135"/>
    <w:rsid w:val="00215123"/>
    <w:rsid w:val="0027740B"/>
    <w:rsid w:val="0042510C"/>
    <w:rsid w:val="00577CED"/>
    <w:rsid w:val="005A7194"/>
    <w:rsid w:val="0072493D"/>
    <w:rsid w:val="007331FF"/>
    <w:rsid w:val="0080364C"/>
    <w:rsid w:val="00820B46"/>
    <w:rsid w:val="00A213D8"/>
    <w:rsid w:val="00B0685E"/>
    <w:rsid w:val="00B514A8"/>
    <w:rsid w:val="00CA08A7"/>
    <w:rsid w:val="00D14F69"/>
    <w:rsid w:val="00D277EC"/>
    <w:rsid w:val="00FD2C8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ADD"/>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1D5ADD"/>
    <w:pPr>
      <w:keepNext/>
      <w:spacing w:line="360" w:lineRule="auto"/>
      <w:jc w:val="center"/>
      <w:outlineLvl w:val="1"/>
    </w:pPr>
    <w:rPr>
      <w:rFonts w:ascii="Bookman Old Style" w:hAnsi="Bookman Old Style"/>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1D5ADD"/>
    <w:rPr>
      <w:rFonts w:ascii="Bookman Old Style" w:eastAsia="Times New Roman" w:hAnsi="Bookman Old Style" w:cs="Times New Roman"/>
      <w:b/>
      <w:sz w:val="24"/>
      <w:szCs w:val="20"/>
      <w:lang w:val="es-ES" w:eastAsia="es-ES"/>
    </w:rPr>
  </w:style>
  <w:style w:type="paragraph" w:styleId="Encabezado">
    <w:name w:val="header"/>
    <w:basedOn w:val="Normal"/>
    <w:link w:val="EncabezadoCar"/>
    <w:semiHidden/>
    <w:rsid w:val="001D5ADD"/>
    <w:pPr>
      <w:tabs>
        <w:tab w:val="center" w:pos="4419"/>
        <w:tab w:val="right" w:pos="8838"/>
      </w:tabs>
    </w:pPr>
    <w:rPr>
      <w:rFonts w:ascii="Bookman Old Style" w:hAnsi="Bookman Old Style"/>
      <w:szCs w:val="20"/>
    </w:rPr>
  </w:style>
  <w:style w:type="character" w:customStyle="1" w:styleId="EncabezadoCar">
    <w:name w:val="Encabezado Car"/>
    <w:basedOn w:val="Fuentedeprrafopredeter"/>
    <w:link w:val="Encabezado"/>
    <w:semiHidden/>
    <w:rsid w:val="001D5ADD"/>
    <w:rPr>
      <w:rFonts w:ascii="Bookman Old Style" w:eastAsia="Times New Roman" w:hAnsi="Bookman Old Style" w:cs="Times New Roman"/>
      <w:sz w:val="24"/>
      <w:szCs w:val="20"/>
      <w:lang w:val="es-ES" w:eastAsia="es-ES"/>
    </w:rPr>
  </w:style>
  <w:style w:type="paragraph" w:styleId="Prrafodelista">
    <w:name w:val="List Paragraph"/>
    <w:basedOn w:val="Normal"/>
    <w:uiPriority w:val="34"/>
    <w:qFormat/>
    <w:rsid w:val="001D5ADD"/>
    <w:pPr>
      <w:ind w:left="720"/>
      <w:contextualSpacing/>
    </w:pPr>
  </w:style>
  <w:style w:type="paragraph" w:styleId="Ttulo">
    <w:name w:val="Title"/>
    <w:basedOn w:val="Normal"/>
    <w:link w:val="TtuloCar"/>
    <w:qFormat/>
    <w:rsid w:val="0042510C"/>
    <w:pPr>
      <w:spacing w:line="360" w:lineRule="auto"/>
      <w:jc w:val="center"/>
    </w:pPr>
    <w:rPr>
      <w:rFonts w:ascii="Arial" w:hAnsi="Arial"/>
      <w:b/>
      <w:bCs/>
      <w:szCs w:val="20"/>
    </w:rPr>
  </w:style>
  <w:style w:type="character" w:customStyle="1" w:styleId="TtuloCar">
    <w:name w:val="Título Car"/>
    <w:basedOn w:val="Fuentedeprrafopredeter"/>
    <w:link w:val="Ttulo"/>
    <w:rsid w:val="0042510C"/>
    <w:rPr>
      <w:rFonts w:ascii="Arial" w:eastAsia="Times New Roman" w:hAnsi="Arial" w:cs="Times New Roman"/>
      <w:b/>
      <w:bCs/>
      <w:sz w:val="24"/>
      <w:szCs w:val="20"/>
      <w:lang w:val="es-ES" w:eastAsia="es-ES"/>
    </w:rPr>
  </w:style>
  <w:style w:type="paragraph" w:styleId="Textoindependiente">
    <w:name w:val="Body Text"/>
    <w:basedOn w:val="Normal"/>
    <w:link w:val="TextoindependienteCar"/>
    <w:semiHidden/>
    <w:rsid w:val="0042510C"/>
    <w:pPr>
      <w:spacing w:line="360" w:lineRule="auto"/>
      <w:jc w:val="both"/>
    </w:pPr>
    <w:rPr>
      <w:rFonts w:ascii="Bookman Old Style" w:hAnsi="Bookman Old Style"/>
      <w:szCs w:val="20"/>
    </w:rPr>
  </w:style>
  <w:style w:type="character" w:customStyle="1" w:styleId="TextoindependienteCar">
    <w:name w:val="Texto independiente Car"/>
    <w:basedOn w:val="Fuentedeprrafopredeter"/>
    <w:link w:val="Textoindependiente"/>
    <w:semiHidden/>
    <w:rsid w:val="0042510C"/>
    <w:rPr>
      <w:rFonts w:ascii="Bookman Old Style" w:eastAsia="Times New Roman" w:hAnsi="Bookman Old Style" w:cs="Times New Roman"/>
      <w:sz w:val="24"/>
      <w:szCs w:val="20"/>
      <w:lang w:val="es-ES" w:eastAsia="es-ES"/>
    </w:rPr>
  </w:style>
  <w:style w:type="paragraph" w:styleId="Sangra2detindependiente">
    <w:name w:val="Body Text Indent 2"/>
    <w:basedOn w:val="Normal"/>
    <w:link w:val="Sangra2detindependienteCar"/>
    <w:semiHidden/>
    <w:rsid w:val="0042510C"/>
    <w:pPr>
      <w:spacing w:line="360" w:lineRule="auto"/>
      <w:ind w:left="360"/>
      <w:jc w:val="both"/>
    </w:pPr>
    <w:rPr>
      <w:rFonts w:ascii="Bookman Old Style" w:hAnsi="Bookman Old Style"/>
      <w:szCs w:val="20"/>
    </w:rPr>
  </w:style>
  <w:style w:type="character" w:customStyle="1" w:styleId="Sangra2detindependienteCar">
    <w:name w:val="Sangría 2 de t. independiente Car"/>
    <w:basedOn w:val="Fuentedeprrafopredeter"/>
    <w:link w:val="Sangra2detindependiente"/>
    <w:semiHidden/>
    <w:rsid w:val="0042510C"/>
    <w:rPr>
      <w:rFonts w:ascii="Bookman Old Style" w:eastAsia="Times New Roman" w:hAnsi="Bookman Old Style" w:cs="Times New Roman"/>
      <w:sz w:val="24"/>
      <w:szCs w:val="20"/>
      <w:lang w:val="es-ES" w:eastAsia="es-ES"/>
    </w:rPr>
  </w:style>
  <w:style w:type="paragraph" w:styleId="Textoindependiente3">
    <w:name w:val="Body Text 3"/>
    <w:basedOn w:val="Normal"/>
    <w:link w:val="Textoindependiente3Car"/>
    <w:semiHidden/>
    <w:rsid w:val="0042510C"/>
    <w:pPr>
      <w:widowControl w:val="0"/>
      <w:jc w:val="both"/>
    </w:pPr>
    <w:rPr>
      <w:rFonts w:ascii="Bookman Old Style" w:hAnsi="Bookman Old Style"/>
      <w:b/>
      <w:snapToGrid w:val="0"/>
      <w:szCs w:val="20"/>
    </w:rPr>
  </w:style>
  <w:style w:type="character" w:customStyle="1" w:styleId="Textoindependiente3Car">
    <w:name w:val="Texto independiente 3 Car"/>
    <w:basedOn w:val="Fuentedeprrafopredeter"/>
    <w:link w:val="Textoindependiente3"/>
    <w:semiHidden/>
    <w:rsid w:val="0042510C"/>
    <w:rPr>
      <w:rFonts w:ascii="Bookman Old Style" w:eastAsia="Times New Roman" w:hAnsi="Bookman Old Style" w:cs="Times New Roman"/>
      <w:b/>
      <w:snapToGrid w:val="0"/>
      <w:sz w:val="24"/>
      <w:szCs w:val="20"/>
      <w:lang w:val="es-ES" w:eastAsia="es-ES"/>
    </w:rPr>
  </w:style>
  <w:style w:type="paragraph" w:styleId="Sangradetextonormal">
    <w:name w:val="Body Text Indent"/>
    <w:basedOn w:val="Normal"/>
    <w:link w:val="SangradetextonormalCar"/>
    <w:semiHidden/>
    <w:rsid w:val="0042510C"/>
    <w:pPr>
      <w:widowControl w:val="0"/>
      <w:spacing w:line="360" w:lineRule="auto"/>
      <w:ind w:firstLine="540"/>
      <w:jc w:val="both"/>
    </w:pPr>
    <w:rPr>
      <w:rFonts w:ascii="Arial" w:hAnsi="Arial"/>
      <w:bCs/>
      <w:spacing w:val="-3"/>
    </w:rPr>
  </w:style>
  <w:style w:type="character" w:customStyle="1" w:styleId="SangradetextonormalCar">
    <w:name w:val="Sangría de texto normal Car"/>
    <w:basedOn w:val="Fuentedeprrafopredeter"/>
    <w:link w:val="Sangradetextonormal"/>
    <w:semiHidden/>
    <w:rsid w:val="0042510C"/>
    <w:rPr>
      <w:rFonts w:ascii="Arial" w:eastAsia="Times New Roman" w:hAnsi="Arial" w:cs="Times New Roman"/>
      <w:bCs/>
      <w:spacing w:val="-3"/>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ADD"/>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1D5ADD"/>
    <w:pPr>
      <w:keepNext/>
      <w:spacing w:line="360" w:lineRule="auto"/>
      <w:jc w:val="center"/>
      <w:outlineLvl w:val="1"/>
    </w:pPr>
    <w:rPr>
      <w:rFonts w:ascii="Bookman Old Style" w:hAnsi="Bookman Old Style"/>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1D5ADD"/>
    <w:rPr>
      <w:rFonts w:ascii="Bookman Old Style" w:eastAsia="Times New Roman" w:hAnsi="Bookman Old Style" w:cs="Times New Roman"/>
      <w:b/>
      <w:sz w:val="24"/>
      <w:szCs w:val="20"/>
      <w:lang w:val="es-ES" w:eastAsia="es-ES"/>
    </w:rPr>
  </w:style>
  <w:style w:type="paragraph" w:styleId="Encabezado">
    <w:name w:val="header"/>
    <w:basedOn w:val="Normal"/>
    <w:link w:val="EncabezadoCar"/>
    <w:semiHidden/>
    <w:rsid w:val="001D5ADD"/>
    <w:pPr>
      <w:tabs>
        <w:tab w:val="center" w:pos="4419"/>
        <w:tab w:val="right" w:pos="8838"/>
      </w:tabs>
    </w:pPr>
    <w:rPr>
      <w:rFonts w:ascii="Bookman Old Style" w:hAnsi="Bookman Old Style"/>
      <w:szCs w:val="20"/>
    </w:rPr>
  </w:style>
  <w:style w:type="character" w:customStyle="1" w:styleId="EncabezadoCar">
    <w:name w:val="Encabezado Car"/>
    <w:basedOn w:val="Fuentedeprrafopredeter"/>
    <w:link w:val="Encabezado"/>
    <w:semiHidden/>
    <w:rsid w:val="001D5ADD"/>
    <w:rPr>
      <w:rFonts w:ascii="Bookman Old Style" w:eastAsia="Times New Roman" w:hAnsi="Bookman Old Style" w:cs="Times New Roman"/>
      <w:sz w:val="24"/>
      <w:szCs w:val="20"/>
      <w:lang w:val="es-ES" w:eastAsia="es-ES"/>
    </w:rPr>
  </w:style>
  <w:style w:type="paragraph" w:styleId="Prrafodelista">
    <w:name w:val="List Paragraph"/>
    <w:basedOn w:val="Normal"/>
    <w:uiPriority w:val="34"/>
    <w:qFormat/>
    <w:rsid w:val="001D5ADD"/>
    <w:pPr>
      <w:ind w:left="720"/>
      <w:contextualSpacing/>
    </w:pPr>
  </w:style>
  <w:style w:type="paragraph" w:styleId="Ttulo">
    <w:name w:val="Title"/>
    <w:basedOn w:val="Normal"/>
    <w:link w:val="TtuloCar"/>
    <w:qFormat/>
    <w:rsid w:val="0042510C"/>
    <w:pPr>
      <w:spacing w:line="360" w:lineRule="auto"/>
      <w:jc w:val="center"/>
    </w:pPr>
    <w:rPr>
      <w:rFonts w:ascii="Arial" w:hAnsi="Arial"/>
      <w:b/>
      <w:bCs/>
      <w:szCs w:val="20"/>
    </w:rPr>
  </w:style>
  <w:style w:type="character" w:customStyle="1" w:styleId="TtuloCar">
    <w:name w:val="Título Car"/>
    <w:basedOn w:val="Fuentedeprrafopredeter"/>
    <w:link w:val="Ttulo"/>
    <w:rsid w:val="0042510C"/>
    <w:rPr>
      <w:rFonts w:ascii="Arial" w:eastAsia="Times New Roman" w:hAnsi="Arial" w:cs="Times New Roman"/>
      <w:b/>
      <w:bCs/>
      <w:sz w:val="24"/>
      <w:szCs w:val="20"/>
      <w:lang w:val="es-ES" w:eastAsia="es-ES"/>
    </w:rPr>
  </w:style>
  <w:style w:type="paragraph" w:styleId="Textoindependiente">
    <w:name w:val="Body Text"/>
    <w:basedOn w:val="Normal"/>
    <w:link w:val="TextoindependienteCar"/>
    <w:semiHidden/>
    <w:rsid w:val="0042510C"/>
    <w:pPr>
      <w:spacing w:line="360" w:lineRule="auto"/>
      <w:jc w:val="both"/>
    </w:pPr>
    <w:rPr>
      <w:rFonts w:ascii="Bookman Old Style" w:hAnsi="Bookman Old Style"/>
      <w:szCs w:val="20"/>
    </w:rPr>
  </w:style>
  <w:style w:type="character" w:customStyle="1" w:styleId="TextoindependienteCar">
    <w:name w:val="Texto independiente Car"/>
    <w:basedOn w:val="Fuentedeprrafopredeter"/>
    <w:link w:val="Textoindependiente"/>
    <w:semiHidden/>
    <w:rsid w:val="0042510C"/>
    <w:rPr>
      <w:rFonts w:ascii="Bookman Old Style" w:eastAsia="Times New Roman" w:hAnsi="Bookman Old Style" w:cs="Times New Roman"/>
      <w:sz w:val="24"/>
      <w:szCs w:val="20"/>
      <w:lang w:val="es-ES" w:eastAsia="es-ES"/>
    </w:rPr>
  </w:style>
  <w:style w:type="paragraph" w:styleId="Sangra2detindependiente">
    <w:name w:val="Body Text Indent 2"/>
    <w:basedOn w:val="Normal"/>
    <w:link w:val="Sangra2detindependienteCar"/>
    <w:semiHidden/>
    <w:rsid w:val="0042510C"/>
    <w:pPr>
      <w:spacing w:line="360" w:lineRule="auto"/>
      <w:ind w:left="360"/>
      <w:jc w:val="both"/>
    </w:pPr>
    <w:rPr>
      <w:rFonts w:ascii="Bookman Old Style" w:hAnsi="Bookman Old Style"/>
      <w:szCs w:val="20"/>
    </w:rPr>
  </w:style>
  <w:style w:type="character" w:customStyle="1" w:styleId="Sangra2detindependienteCar">
    <w:name w:val="Sangría 2 de t. independiente Car"/>
    <w:basedOn w:val="Fuentedeprrafopredeter"/>
    <w:link w:val="Sangra2detindependiente"/>
    <w:semiHidden/>
    <w:rsid w:val="0042510C"/>
    <w:rPr>
      <w:rFonts w:ascii="Bookman Old Style" w:eastAsia="Times New Roman" w:hAnsi="Bookman Old Style" w:cs="Times New Roman"/>
      <w:sz w:val="24"/>
      <w:szCs w:val="20"/>
      <w:lang w:val="es-ES" w:eastAsia="es-ES"/>
    </w:rPr>
  </w:style>
  <w:style w:type="paragraph" w:styleId="Textoindependiente3">
    <w:name w:val="Body Text 3"/>
    <w:basedOn w:val="Normal"/>
    <w:link w:val="Textoindependiente3Car"/>
    <w:semiHidden/>
    <w:rsid w:val="0042510C"/>
    <w:pPr>
      <w:widowControl w:val="0"/>
      <w:jc w:val="both"/>
    </w:pPr>
    <w:rPr>
      <w:rFonts w:ascii="Bookman Old Style" w:hAnsi="Bookman Old Style"/>
      <w:b/>
      <w:snapToGrid w:val="0"/>
      <w:szCs w:val="20"/>
    </w:rPr>
  </w:style>
  <w:style w:type="character" w:customStyle="1" w:styleId="Textoindependiente3Car">
    <w:name w:val="Texto independiente 3 Car"/>
    <w:basedOn w:val="Fuentedeprrafopredeter"/>
    <w:link w:val="Textoindependiente3"/>
    <w:semiHidden/>
    <w:rsid w:val="0042510C"/>
    <w:rPr>
      <w:rFonts w:ascii="Bookman Old Style" w:eastAsia="Times New Roman" w:hAnsi="Bookman Old Style" w:cs="Times New Roman"/>
      <w:b/>
      <w:snapToGrid w:val="0"/>
      <w:sz w:val="24"/>
      <w:szCs w:val="20"/>
      <w:lang w:val="es-ES" w:eastAsia="es-ES"/>
    </w:rPr>
  </w:style>
  <w:style w:type="paragraph" w:styleId="Sangradetextonormal">
    <w:name w:val="Body Text Indent"/>
    <w:basedOn w:val="Normal"/>
    <w:link w:val="SangradetextonormalCar"/>
    <w:semiHidden/>
    <w:rsid w:val="0042510C"/>
    <w:pPr>
      <w:widowControl w:val="0"/>
      <w:spacing w:line="360" w:lineRule="auto"/>
      <w:ind w:firstLine="540"/>
      <w:jc w:val="both"/>
    </w:pPr>
    <w:rPr>
      <w:rFonts w:ascii="Arial" w:hAnsi="Arial"/>
      <w:bCs/>
      <w:spacing w:val="-3"/>
    </w:rPr>
  </w:style>
  <w:style w:type="character" w:customStyle="1" w:styleId="SangradetextonormalCar">
    <w:name w:val="Sangría de texto normal Car"/>
    <w:basedOn w:val="Fuentedeprrafopredeter"/>
    <w:link w:val="Sangradetextonormal"/>
    <w:semiHidden/>
    <w:rsid w:val="0042510C"/>
    <w:rPr>
      <w:rFonts w:ascii="Arial" w:eastAsia="Times New Roman" w:hAnsi="Arial" w:cs="Times New Roman"/>
      <w:bCs/>
      <w:spacing w:val="-3"/>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9</Pages>
  <Words>2100</Words>
  <Characters>11550</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TRIBUNAL1</dc:creator>
  <cp:keywords/>
  <dc:description/>
  <cp:lastModifiedBy> </cp:lastModifiedBy>
  <cp:revision>5</cp:revision>
  <cp:lastPrinted>2013-10-30T18:53:00Z</cp:lastPrinted>
  <dcterms:created xsi:type="dcterms:W3CDTF">2013-10-30T18:53:00Z</dcterms:created>
  <dcterms:modified xsi:type="dcterms:W3CDTF">2013-11-21T16:03:00Z</dcterms:modified>
</cp:coreProperties>
</file>