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B9C" w:rsidRDefault="004A4B9C">
      <w:pPr>
        <w:pStyle w:val="Ttulo"/>
        <w:rPr>
          <w:rFonts w:ascii="Arial" w:hAnsi="Arial"/>
        </w:rPr>
      </w:pPr>
      <w:bookmarkStart w:id="0" w:name="_GoBack"/>
      <w:bookmarkEnd w:id="0"/>
      <w:r>
        <w:rPr>
          <w:rFonts w:ascii="Arial" w:hAnsi="Arial"/>
        </w:rPr>
        <w:t>EL PRESIDENTE DEL TRIBUNAL DE CUENTAS</w:t>
      </w:r>
    </w:p>
    <w:p w:rsidR="004A4B9C" w:rsidRDefault="004A4B9C">
      <w:pPr>
        <w:spacing w:line="360" w:lineRule="auto"/>
        <w:jc w:val="center"/>
        <w:rPr>
          <w:b/>
          <w:lang w:val="es-MX"/>
        </w:rPr>
      </w:pPr>
      <w:r>
        <w:rPr>
          <w:b/>
          <w:lang w:val="es-MX"/>
        </w:rPr>
        <w:t>DE ACUERDO CON EL ARTÍCULO 10</w:t>
      </w:r>
    </w:p>
    <w:p w:rsidR="004A4B9C" w:rsidRDefault="004A4B9C">
      <w:pPr>
        <w:spacing w:line="360" w:lineRule="auto"/>
        <w:jc w:val="center"/>
        <w:rPr>
          <w:b/>
          <w:lang w:val="es-MX"/>
        </w:rPr>
      </w:pPr>
      <w:r>
        <w:rPr>
          <w:b/>
          <w:lang w:val="es-MX"/>
        </w:rPr>
        <w:t>DEL REGLAMENTO INTERNO</w:t>
      </w:r>
    </w:p>
    <w:p w:rsidR="004A4B9C" w:rsidRDefault="004A4B9C">
      <w:pPr>
        <w:spacing w:line="360" w:lineRule="auto"/>
        <w:jc w:val="center"/>
        <w:rPr>
          <w:b/>
          <w:lang w:val="es-MX"/>
        </w:rPr>
      </w:pPr>
      <w:r>
        <w:rPr>
          <w:b/>
          <w:lang w:val="es-MX"/>
        </w:rPr>
        <w:t>CON  FECHA  28 DE OCTUBRE  DE  2013</w:t>
      </w:r>
    </w:p>
    <w:p w:rsidR="004A4B9C" w:rsidRDefault="004A4B9C">
      <w:pPr>
        <w:spacing w:line="360" w:lineRule="auto"/>
        <w:jc w:val="center"/>
        <w:rPr>
          <w:b/>
          <w:lang w:val="es-MX"/>
        </w:rPr>
      </w:pPr>
      <w:r>
        <w:rPr>
          <w:b/>
          <w:lang w:val="es-MX"/>
        </w:rPr>
        <w:t>ADOPTO LA SIGUIENTE RESOLUCION</w:t>
      </w:r>
    </w:p>
    <w:p w:rsidR="004A4B9C" w:rsidRDefault="004A4B9C">
      <w:pPr>
        <w:spacing w:line="360" w:lineRule="auto"/>
        <w:jc w:val="center"/>
        <w:rPr>
          <w:b/>
          <w:lang w:val="es-MX"/>
        </w:rPr>
      </w:pPr>
      <w:r>
        <w:rPr>
          <w:b/>
          <w:lang w:val="es-MX"/>
        </w:rPr>
        <w:t>(E.E. N°2013-17-1-0006514, E. 5695/13)</w:t>
      </w:r>
    </w:p>
    <w:p w:rsidR="00777606" w:rsidRDefault="00777606" w:rsidP="00777606">
      <w:pPr>
        <w:spacing w:line="360" w:lineRule="auto"/>
        <w:jc w:val="both"/>
        <w:rPr>
          <w:rFonts w:cs="Arial"/>
          <w:b/>
          <w:lang w:val="es-ES_tradnl"/>
        </w:rPr>
      </w:pPr>
    </w:p>
    <w:p w:rsidR="00AF7558" w:rsidRDefault="00AF7558" w:rsidP="00777606">
      <w:pPr>
        <w:spacing w:line="360" w:lineRule="auto"/>
        <w:jc w:val="both"/>
        <w:rPr>
          <w:rFonts w:cs="Arial"/>
          <w:b/>
          <w:lang w:val="es-ES_tradnl"/>
        </w:rPr>
      </w:pPr>
    </w:p>
    <w:p w:rsidR="00777606" w:rsidRDefault="00777606" w:rsidP="00777606">
      <w:pPr>
        <w:spacing w:line="360" w:lineRule="auto"/>
        <w:ind w:firstLine="851"/>
        <w:jc w:val="both"/>
        <w:rPr>
          <w:rFonts w:cs="Arial"/>
          <w:lang w:val="es-ES_tradnl"/>
        </w:rPr>
      </w:pPr>
      <w:r>
        <w:rPr>
          <w:rFonts w:cs="Arial"/>
          <w:b/>
          <w:lang w:val="es-ES_tradnl"/>
        </w:rPr>
        <w:t>VISTO</w:t>
      </w:r>
      <w:r w:rsidRPr="00AF7558">
        <w:rPr>
          <w:rFonts w:cs="Arial"/>
          <w:b/>
          <w:lang w:val="es-ES_tradnl"/>
        </w:rPr>
        <w:t>:</w:t>
      </w:r>
      <w:r>
        <w:rPr>
          <w:rFonts w:cs="Arial"/>
          <w:lang w:val="es-ES_tradnl"/>
        </w:rPr>
        <w:t xml:space="preserve"> que este Tribunal ha examinado el Proyecto de Presupuesto Operativo, de Operaciones Financieras y de Inversiones para el Ejercicio 2014, remitido por la Corporación de Protección del Ahorro Bancario;</w:t>
      </w:r>
    </w:p>
    <w:p w:rsidR="00777606" w:rsidRDefault="00777606" w:rsidP="00777606">
      <w:pPr>
        <w:spacing w:line="360" w:lineRule="auto"/>
        <w:ind w:firstLine="851"/>
        <w:jc w:val="both"/>
        <w:rPr>
          <w:rFonts w:cs="Arial"/>
          <w:lang w:val="es-ES_tradnl"/>
        </w:rPr>
      </w:pPr>
      <w:r>
        <w:rPr>
          <w:rFonts w:cs="Arial"/>
          <w:b/>
          <w:lang w:val="es-ES_tradnl"/>
        </w:rPr>
        <w:t>CONSIDERANDO</w:t>
      </w:r>
      <w:r w:rsidRPr="00AF7558">
        <w:rPr>
          <w:rFonts w:cs="Arial"/>
          <w:b/>
          <w:lang w:val="es-ES_tradnl"/>
        </w:rPr>
        <w:t>:</w:t>
      </w:r>
      <w:r>
        <w:rPr>
          <w:rFonts w:cs="Arial"/>
          <w:lang w:val="es-ES_tradnl"/>
        </w:rPr>
        <w:t xml:space="preserve"> que las conclusiones obtenidas son las que se expresan en el Dictamen que se adjunta;</w:t>
      </w:r>
    </w:p>
    <w:p w:rsidR="00777606" w:rsidRDefault="00777606" w:rsidP="00777606">
      <w:pPr>
        <w:spacing w:line="360" w:lineRule="auto"/>
        <w:ind w:firstLine="851"/>
        <w:jc w:val="both"/>
        <w:rPr>
          <w:rFonts w:cs="Arial"/>
          <w:lang w:val="es-ES_tradnl"/>
        </w:rPr>
      </w:pPr>
      <w:r>
        <w:rPr>
          <w:rFonts w:cs="Arial"/>
          <w:b/>
          <w:lang w:val="es-ES_tradnl"/>
        </w:rPr>
        <w:t>ATENTO</w:t>
      </w:r>
      <w:r w:rsidRPr="00AF7558">
        <w:rPr>
          <w:rFonts w:cs="Arial"/>
          <w:b/>
          <w:lang w:val="es-ES_tradnl"/>
        </w:rPr>
        <w:t>:</w:t>
      </w:r>
      <w:r>
        <w:rPr>
          <w:rFonts w:cs="Arial"/>
          <w:lang w:val="es-ES_tradnl"/>
        </w:rPr>
        <w:t xml:space="preserve"> a lo dispuesto por los Artículo</w:t>
      </w:r>
      <w:r w:rsidR="004A4B9C">
        <w:rPr>
          <w:rFonts w:cs="Arial"/>
          <w:lang w:val="es-ES_tradnl"/>
        </w:rPr>
        <w:t xml:space="preserve">s 211 </w:t>
      </w:r>
      <w:r>
        <w:rPr>
          <w:rFonts w:cs="Arial"/>
          <w:lang w:val="es-ES_tradnl"/>
        </w:rPr>
        <w:t xml:space="preserve">Inciso A) de la Constitución de la República </w:t>
      </w:r>
      <w:r>
        <w:rPr>
          <w:rFonts w:cs="Arial"/>
          <w:lang w:val="es-MX"/>
        </w:rPr>
        <w:t>y 23 de la Ley N° 18.401 de 24 de octubre de 2008</w:t>
      </w:r>
      <w:r>
        <w:rPr>
          <w:rFonts w:cs="Arial"/>
          <w:lang w:val="es-ES_tradnl"/>
        </w:rPr>
        <w:t>;</w:t>
      </w:r>
    </w:p>
    <w:p w:rsidR="00777606" w:rsidRDefault="00777606" w:rsidP="00777606">
      <w:pPr>
        <w:pStyle w:val="Ttulo1"/>
        <w:spacing w:line="360" w:lineRule="auto"/>
        <w:jc w:val="center"/>
        <w:rPr>
          <w:rFonts w:ascii="Arial" w:hAnsi="Arial" w:cs="Arial"/>
          <w:b/>
        </w:rPr>
      </w:pPr>
      <w:r>
        <w:rPr>
          <w:rFonts w:ascii="Arial" w:hAnsi="Arial" w:cs="Arial"/>
          <w:b/>
        </w:rPr>
        <w:t>EL TRIBUNAL ACUERDA</w:t>
      </w:r>
    </w:p>
    <w:p w:rsidR="00777606" w:rsidRDefault="00777606" w:rsidP="00777606">
      <w:pPr>
        <w:spacing w:line="360" w:lineRule="auto"/>
        <w:jc w:val="both"/>
        <w:rPr>
          <w:rFonts w:cs="Arial"/>
          <w:lang w:val="es-ES_tradnl"/>
        </w:rPr>
      </w:pPr>
      <w:r>
        <w:rPr>
          <w:rFonts w:cs="Arial"/>
          <w:b/>
          <w:bCs/>
          <w:lang w:val="es-MX"/>
        </w:rPr>
        <w:t>1)</w:t>
      </w:r>
      <w:r>
        <w:rPr>
          <w:rFonts w:cs="Arial"/>
          <w:lang w:val="es-MX"/>
        </w:rPr>
        <w:t xml:space="preserve"> </w:t>
      </w:r>
      <w:r>
        <w:rPr>
          <w:rFonts w:cs="Arial"/>
          <w:lang w:val="es-ES_tradnl"/>
        </w:rPr>
        <w:t xml:space="preserve">Emitir su pronunciamiento respecto al Proyecto de </w:t>
      </w:r>
      <w:r>
        <w:rPr>
          <w:rFonts w:cs="Arial"/>
          <w:spacing w:val="-3"/>
          <w:lang w:val="es-ES_tradnl"/>
        </w:rPr>
        <w:t>Presupuesto Operativo, de Operaciones Financieras y de Inversiones</w:t>
      </w:r>
      <w:r>
        <w:rPr>
          <w:rFonts w:cs="Arial"/>
          <w:lang w:val="es-ES_tradnl"/>
        </w:rPr>
        <w:t xml:space="preserve"> de la  Corporación de Protección del Ahor</w:t>
      </w:r>
      <w:r w:rsidR="004A4B9C">
        <w:rPr>
          <w:rFonts w:cs="Arial"/>
          <w:lang w:val="es-ES_tradnl"/>
        </w:rPr>
        <w:t>ro Bancario correspondiente al E</w:t>
      </w:r>
      <w:r>
        <w:rPr>
          <w:rFonts w:cs="Arial"/>
          <w:lang w:val="es-ES_tradnl"/>
        </w:rPr>
        <w:t>jercicio 2014, en los términos del Dictamen que se adjun</w:t>
      </w:r>
      <w:r w:rsidR="00AF7558">
        <w:rPr>
          <w:rFonts w:cs="Arial"/>
          <w:lang w:val="es-ES_tradnl"/>
        </w:rPr>
        <w:t>ta; no formulando observaciones;</w:t>
      </w:r>
    </w:p>
    <w:p w:rsidR="00777606" w:rsidRDefault="00777606" w:rsidP="00777606">
      <w:pPr>
        <w:spacing w:line="360" w:lineRule="auto"/>
        <w:jc w:val="both"/>
        <w:rPr>
          <w:rFonts w:cs="Arial"/>
        </w:rPr>
      </w:pPr>
      <w:r>
        <w:rPr>
          <w:rFonts w:cs="Arial"/>
          <w:b/>
          <w:bCs/>
        </w:rPr>
        <w:t xml:space="preserve">2) </w:t>
      </w:r>
      <w:r>
        <w:rPr>
          <w:rFonts w:cs="Arial"/>
        </w:rPr>
        <w:t>Téngase presente lo expresado en el Numeral 2.3 de dicho Dict</w:t>
      </w:r>
      <w:r w:rsidR="00AF7558">
        <w:rPr>
          <w:rFonts w:cs="Arial"/>
        </w:rPr>
        <w:t>amen;</w:t>
      </w:r>
      <w:r>
        <w:rPr>
          <w:rFonts w:cs="Arial"/>
        </w:rPr>
        <w:t xml:space="preserve"> </w:t>
      </w:r>
    </w:p>
    <w:p w:rsidR="00777606" w:rsidRDefault="00777606" w:rsidP="00777606">
      <w:pPr>
        <w:spacing w:line="360" w:lineRule="auto"/>
        <w:jc w:val="both"/>
        <w:rPr>
          <w:rFonts w:cs="Arial"/>
          <w:b/>
          <w:bCs/>
        </w:rPr>
      </w:pPr>
      <w:r>
        <w:rPr>
          <w:rFonts w:cs="Arial"/>
          <w:b/>
          <w:bCs/>
        </w:rPr>
        <w:t>3)</w:t>
      </w:r>
      <w:r>
        <w:rPr>
          <w:rFonts w:cs="Arial"/>
        </w:rPr>
        <w:t xml:space="preserve"> Comunicar al Poder Ejecutivo y al Organismo.</w:t>
      </w:r>
    </w:p>
    <w:p w:rsidR="00622150" w:rsidRDefault="00622150"/>
    <w:p w:rsidR="00AF7558" w:rsidRDefault="00AF7558"/>
    <w:p w:rsidR="00AF7558" w:rsidRDefault="00AF7558"/>
    <w:p w:rsidR="00AF7558" w:rsidRDefault="00AF7558"/>
    <w:p w:rsidR="00AF7558" w:rsidRDefault="00AF7558"/>
    <w:p w:rsidR="00AF7558" w:rsidRDefault="00AF7558"/>
    <w:p w:rsidR="00AF7558" w:rsidRDefault="00AF7558"/>
    <w:p w:rsidR="00AF7558" w:rsidRDefault="00AF7558"/>
    <w:p w:rsidR="00AF7558" w:rsidRDefault="00AF7558"/>
    <w:p w:rsidR="00AF7558" w:rsidRDefault="00AF7558"/>
    <w:p w:rsidR="00AF7558" w:rsidRDefault="00AF7558" w:rsidP="00FF7BBE">
      <w:pPr>
        <w:suppressAutoHyphens/>
        <w:spacing w:line="360" w:lineRule="auto"/>
        <w:jc w:val="both"/>
        <w:rPr>
          <w:rFonts w:cs="Arial"/>
          <w:spacing w:val="-3"/>
          <w:lang w:val="es-ES_tradnl"/>
        </w:rPr>
      </w:pPr>
    </w:p>
    <w:p w:rsidR="00AF7558" w:rsidRDefault="00AF7558" w:rsidP="00FF7BBE">
      <w:pPr>
        <w:pStyle w:val="Ttulo"/>
        <w:rPr>
          <w:rFonts w:ascii="Arial" w:hAnsi="Arial" w:cs="Arial"/>
        </w:rPr>
      </w:pPr>
      <w:r>
        <w:rPr>
          <w:rFonts w:ascii="Arial" w:hAnsi="Arial" w:cs="Arial"/>
        </w:rPr>
        <w:t xml:space="preserve">DICTAMEN </w:t>
      </w:r>
    </w:p>
    <w:p w:rsidR="00AF7558" w:rsidRDefault="00AF7558" w:rsidP="00FF7BBE">
      <w:pPr>
        <w:pStyle w:val="Ttulo"/>
        <w:rPr>
          <w:rFonts w:ascii="Arial" w:hAnsi="Arial" w:cs="Arial"/>
        </w:rPr>
      </w:pPr>
    </w:p>
    <w:p w:rsidR="00AF7558" w:rsidRDefault="00AF7558" w:rsidP="00FF7BBE">
      <w:pPr>
        <w:spacing w:line="360" w:lineRule="auto"/>
        <w:jc w:val="both"/>
        <w:rPr>
          <w:rFonts w:cs="Arial"/>
          <w:lang w:val="es-MX"/>
        </w:rPr>
      </w:pPr>
      <w:r>
        <w:rPr>
          <w:rFonts w:cs="Arial"/>
          <w:lang w:val="es-MX"/>
        </w:rPr>
        <w:t xml:space="preserve">El Tribunal de Cuentas ha examinado el Proyecto de Presupuesto para el Ejercicio 2014 de la Corporación de Protección del Ahorro Bancario (COPAB). Toda la información incluida en el referido Proyecto y los supuestos sobre los que se basa son responsabilidad del Directorio de la Corporación de Protección del Ahorro Bancario. La </w:t>
      </w:r>
      <w:proofErr w:type="spellStart"/>
      <w:r>
        <w:rPr>
          <w:rFonts w:cs="Arial"/>
          <w:lang w:val="es-MX"/>
        </w:rPr>
        <w:t>rsponsabilidad</w:t>
      </w:r>
      <w:proofErr w:type="spellEnd"/>
      <w:r>
        <w:rPr>
          <w:rFonts w:cs="Arial"/>
          <w:lang w:val="es-MX"/>
        </w:rPr>
        <w:t xml:space="preserve"> del Tribunal de Cuentas es expresar una opinión sobre dicho Proyecto de Presupuesto de acuerdo a lo dispuesto por los Artículos 211</w:t>
      </w:r>
      <w:r>
        <w:rPr>
          <w:rFonts w:cs="Arial"/>
          <w:lang w:val="es-UY"/>
        </w:rPr>
        <w:t xml:space="preserve"> </w:t>
      </w:r>
      <w:proofErr w:type="spellStart"/>
      <w:r>
        <w:rPr>
          <w:rFonts w:cs="Arial"/>
          <w:lang w:val="es-UY"/>
        </w:rPr>
        <w:t>Inc</w:t>
      </w:r>
      <w:r>
        <w:rPr>
          <w:rFonts w:cs="Arial"/>
          <w:lang w:val="es-MX"/>
        </w:rPr>
        <w:t>iso</w:t>
      </w:r>
      <w:proofErr w:type="spellEnd"/>
      <w:r>
        <w:rPr>
          <w:rFonts w:cs="Arial"/>
          <w:lang w:val="es-MX"/>
        </w:rPr>
        <w:t xml:space="preserve"> A) de la Constitución de la República y 23 de la Ley N° 18.401 de 24 de octubre de 2008, y establecer en caso que corresponda, los hallazgos realizados con relación al cumplimiento de las normas constitucionales, legales y reglamentarias que resulten aplicables.</w:t>
      </w:r>
    </w:p>
    <w:p w:rsidR="00AF7558" w:rsidRDefault="00AF7558" w:rsidP="00FF7BBE">
      <w:pPr>
        <w:spacing w:line="360" w:lineRule="auto"/>
        <w:jc w:val="both"/>
        <w:rPr>
          <w:rFonts w:cs="Arial"/>
          <w:lang w:val="es-MX"/>
        </w:rPr>
      </w:pPr>
    </w:p>
    <w:p w:rsidR="00AF7558" w:rsidRDefault="00AF7558" w:rsidP="00FF7BBE">
      <w:pPr>
        <w:pStyle w:val="Piedepgina"/>
        <w:tabs>
          <w:tab w:val="left" w:pos="708"/>
        </w:tabs>
        <w:spacing w:line="360" w:lineRule="auto"/>
        <w:jc w:val="both"/>
        <w:rPr>
          <w:rFonts w:ascii="Arial" w:hAnsi="Arial" w:cs="Arial"/>
          <w:sz w:val="24"/>
        </w:rPr>
      </w:pPr>
      <w:r>
        <w:rPr>
          <w:rFonts w:ascii="Arial" w:hAnsi="Arial" w:cs="Arial"/>
          <w:b/>
          <w:sz w:val="24"/>
          <w:lang w:val="es-MX"/>
        </w:rPr>
        <w:t xml:space="preserve">1 </w:t>
      </w:r>
      <w:r>
        <w:rPr>
          <w:rFonts w:ascii="Arial" w:hAnsi="Arial" w:cs="Arial"/>
          <w:b/>
          <w:sz w:val="24"/>
        </w:rPr>
        <w:t>ANÁLISIS DE INGRESOS PROYECTADOS Y ASIGNACIONES PRESUPUESTALES</w:t>
      </w:r>
      <w:r>
        <w:rPr>
          <w:rFonts w:ascii="Arial" w:hAnsi="Arial" w:cs="Arial"/>
          <w:sz w:val="24"/>
        </w:rPr>
        <w:t xml:space="preserve"> </w:t>
      </w:r>
    </w:p>
    <w:p w:rsidR="00AF7558" w:rsidRDefault="00AF7558" w:rsidP="00FF7BBE">
      <w:pPr>
        <w:spacing w:line="360" w:lineRule="auto"/>
        <w:jc w:val="both"/>
        <w:rPr>
          <w:rFonts w:cs="Arial"/>
          <w:lang w:val="es-MX"/>
        </w:rPr>
      </w:pPr>
      <w:r>
        <w:rPr>
          <w:rFonts w:cs="Arial"/>
          <w:b/>
          <w:bCs/>
        </w:rPr>
        <w:t>1</w:t>
      </w:r>
      <w:r>
        <w:rPr>
          <w:rFonts w:cs="Arial"/>
          <w:b/>
          <w:bCs/>
          <w:lang w:val="es-MX"/>
        </w:rPr>
        <w:t>.1</w:t>
      </w:r>
      <w:r>
        <w:rPr>
          <w:rFonts w:cs="Arial"/>
          <w:lang w:val="es-MX"/>
        </w:rPr>
        <w:t xml:space="preserve"> El Proyecto de Presupuesto de Ingresos y Egresos remitido por el Organismo se ajusta al siguiente detalle:</w:t>
      </w:r>
    </w:p>
    <w:p w:rsidR="00AF7558" w:rsidRDefault="00AF7558" w:rsidP="00FF7BBE">
      <w:pPr>
        <w:spacing w:line="360" w:lineRule="auto"/>
        <w:jc w:val="both"/>
        <w:rPr>
          <w:rFonts w:cs="Arial"/>
          <w:lang w:val="es-MX"/>
        </w:rPr>
      </w:pPr>
    </w:p>
    <w:tbl>
      <w:tblPr>
        <w:tblW w:w="8284" w:type="dxa"/>
        <w:tblInd w:w="55" w:type="dxa"/>
        <w:tblCellMar>
          <w:left w:w="70" w:type="dxa"/>
          <w:right w:w="70" w:type="dxa"/>
        </w:tblCellMar>
        <w:tblLook w:val="04A0" w:firstRow="1" w:lastRow="0" w:firstColumn="1" w:lastColumn="0" w:noHBand="0" w:noVBand="1"/>
      </w:tblPr>
      <w:tblGrid>
        <w:gridCol w:w="3720"/>
        <w:gridCol w:w="1141"/>
        <w:gridCol w:w="1141"/>
        <w:gridCol w:w="1141"/>
        <w:gridCol w:w="1141"/>
      </w:tblGrid>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INGRESOS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47.490.078</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Aportes del Fondo de Garantía de Depósitos Bancarios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47.490.078</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tcPr>
          <w:p w:rsidR="00AF7558" w:rsidRDefault="00AF7558">
            <w:pPr>
              <w:rPr>
                <w:rFonts w:cs="Arial"/>
                <w:b/>
                <w:bCs/>
                <w:sz w:val="18"/>
              </w:rPr>
            </w:pPr>
          </w:p>
        </w:tc>
        <w:tc>
          <w:tcPr>
            <w:tcW w:w="1141" w:type="dxa"/>
            <w:tcBorders>
              <w:top w:val="single" w:sz="4" w:space="0" w:color="auto"/>
              <w:left w:val="nil"/>
              <w:bottom w:val="single" w:sz="4" w:space="0" w:color="auto"/>
              <w:right w:val="single" w:sz="4" w:space="0" w:color="auto"/>
            </w:tcBorders>
            <w:noWrap/>
            <w:vAlign w:val="bottom"/>
          </w:tcPr>
          <w:p w:rsidR="00AF7558" w:rsidRDefault="00AF7558">
            <w:pPr>
              <w:rPr>
                <w:rFonts w:cs="Arial"/>
                <w:b/>
                <w:bCs/>
                <w:sz w:val="18"/>
              </w:rPr>
            </w:pPr>
          </w:p>
        </w:tc>
        <w:tc>
          <w:tcPr>
            <w:tcW w:w="1141" w:type="dxa"/>
            <w:tcBorders>
              <w:top w:val="single" w:sz="4" w:space="0" w:color="auto"/>
              <w:left w:val="nil"/>
              <w:bottom w:val="single" w:sz="4" w:space="0" w:color="auto"/>
              <w:right w:val="single" w:sz="4" w:space="0" w:color="auto"/>
            </w:tcBorders>
            <w:noWrap/>
            <w:vAlign w:val="bottom"/>
          </w:tcPr>
          <w:p w:rsidR="00AF7558" w:rsidRDefault="00AF7558">
            <w:pPr>
              <w:rPr>
                <w:rFonts w:cs="Arial"/>
                <w:b/>
                <w:bCs/>
                <w:sz w:val="18"/>
              </w:rPr>
            </w:pPr>
          </w:p>
        </w:tc>
        <w:tc>
          <w:tcPr>
            <w:tcW w:w="1141" w:type="dxa"/>
            <w:tcBorders>
              <w:top w:val="single" w:sz="4" w:space="0" w:color="auto"/>
              <w:left w:val="nil"/>
              <w:bottom w:val="single" w:sz="4" w:space="0" w:color="auto"/>
              <w:right w:val="single" w:sz="4" w:space="0" w:color="auto"/>
            </w:tcBorders>
            <w:noWrap/>
            <w:vAlign w:val="bottom"/>
          </w:tcPr>
          <w:p w:rsidR="00AF7558" w:rsidRDefault="00AF7558">
            <w:pPr>
              <w:rPr>
                <w:rFonts w:cs="Arial"/>
                <w:b/>
                <w:bCs/>
                <w:sz w:val="18"/>
              </w:rPr>
            </w:pP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tcPr>
          <w:p w:rsidR="00AF7558" w:rsidRDefault="00AF7558">
            <w:pPr>
              <w:rPr>
                <w:rFonts w:cs="Arial"/>
                <w:b/>
                <w:bCs/>
                <w:sz w:val="18"/>
              </w:rPr>
            </w:pPr>
          </w:p>
        </w:tc>
        <w:tc>
          <w:tcPr>
            <w:tcW w:w="1141" w:type="dxa"/>
            <w:tcBorders>
              <w:top w:val="single" w:sz="4" w:space="0" w:color="auto"/>
              <w:left w:val="nil"/>
              <w:bottom w:val="single" w:sz="4" w:space="0" w:color="auto"/>
              <w:right w:val="single" w:sz="4" w:space="0" w:color="auto"/>
            </w:tcBorders>
            <w:noWrap/>
            <w:vAlign w:val="bottom"/>
          </w:tcPr>
          <w:p w:rsidR="00AF7558" w:rsidRDefault="00AF7558">
            <w:pPr>
              <w:rPr>
                <w:rFonts w:cs="Arial"/>
                <w:b/>
                <w:bCs/>
                <w:sz w:val="18"/>
              </w:rPr>
            </w:pPr>
          </w:p>
        </w:tc>
        <w:tc>
          <w:tcPr>
            <w:tcW w:w="1141" w:type="dxa"/>
            <w:tcBorders>
              <w:top w:val="single" w:sz="4" w:space="0" w:color="auto"/>
              <w:left w:val="nil"/>
              <w:bottom w:val="single" w:sz="4" w:space="0" w:color="auto"/>
              <w:right w:val="single" w:sz="4" w:space="0" w:color="auto"/>
            </w:tcBorders>
            <w:noWrap/>
            <w:vAlign w:val="bottom"/>
          </w:tcPr>
          <w:p w:rsidR="00AF7558" w:rsidRDefault="00AF7558">
            <w:pPr>
              <w:rPr>
                <w:rFonts w:cs="Arial"/>
                <w:b/>
                <w:bCs/>
                <w:sz w:val="18"/>
              </w:rPr>
            </w:pP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EGRESOS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47.490.078</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 Costo del personal</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37.616.872</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1.1 Retribuciones de servicios personales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18.726.336</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1.1.1 Retribuciones de cargos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18.726.336</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1.2 Prima por antigüedad</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1.487.213</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1.3 Aguinaldo</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1.853.570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1.4 Cargas legales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9.174.790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1.4.1 Aporte a Caja Bancaria</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7.899.028</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1.4.2 Aporte a FONASA</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1.027.751</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1.4.3 Aporte al FRL</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28.011</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1.4.4 Seguro de accidentes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220.000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1.5 Beneficios Sociales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3.694.848</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lastRenderedPageBreak/>
              <w:t>1.5.1 Salario Vacacional</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1.687.815</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1.5.2 CEANF (Compensación especial de apoyo al núcleo familiar)</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341.472</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1.5.3 Compensación por asistencia médica</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1.057.850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1.5.4 Ticket de alimentación</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607.711</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1.6 Capacitación del personal</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1.000.000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1.7 Previsión aumento remuneraciones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1.680.116</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2 Gastos de funcionamiento</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8.240.000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2.1 Materiales y suministros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280.000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2.2 Alquiler y mantenimiento</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2.000.000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2.3 Servicios Públicos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600.000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xml:space="preserve">2.4 </w:t>
            </w:r>
            <w:proofErr w:type="spellStart"/>
            <w:r>
              <w:rPr>
                <w:rFonts w:cs="Arial"/>
                <w:b/>
                <w:bCs/>
                <w:sz w:val="18"/>
              </w:rPr>
              <w:t>Consultorìas</w:t>
            </w:r>
            <w:proofErr w:type="spellEnd"/>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xml:space="preserve">  1.000.000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xml:space="preserve">2.5 Campaña de </w:t>
            </w:r>
            <w:proofErr w:type="spellStart"/>
            <w:r>
              <w:rPr>
                <w:rFonts w:cs="Arial"/>
                <w:b/>
                <w:bCs/>
                <w:sz w:val="18"/>
              </w:rPr>
              <w:t>divulgaciòn</w:t>
            </w:r>
            <w:proofErr w:type="spellEnd"/>
            <w:r>
              <w:rPr>
                <w:rFonts w:cs="Arial"/>
                <w:b/>
                <w:bCs/>
                <w:sz w:val="18"/>
              </w:rPr>
              <w:t xml:space="preserve"> del Seguro de </w:t>
            </w:r>
            <w:proofErr w:type="spellStart"/>
            <w:r>
              <w:rPr>
                <w:rFonts w:cs="Arial"/>
                <w:b/>
                <w:bCs/>
                <w:sz w:val="18"/>
              </w:rPr>
              <w:t>Depòsitos</w:t>
            </w:r>
            <w:proofErr w:type="spellEnd"/>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1.000.000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2.6 Misiones al exterior</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360.000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2.7 Otros Servicios contratados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3.000.000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3 Inversiones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250.000</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r w:rsidR="00AF7558" w:rsidTr="00FF7BBE">
        <w:trPr>
          <w:trHeight w:val="158"/>
        </w:trPr>
        <w:tc>
          <w:tcPr>
            <w:tcW w:w="3720" w:type="dxa"/>
            <w:tcBorders>
              <w:top w:val="single" w:sz="4" w:space="0" w:color="auto"/>
              <w:left w:val="single" w:sz="4" w:space="0" w:color="auto"/>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4 Partida para imprevistos</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 </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rPr>
                <w:rFonts w:cs="Arial"/>
                <w:b/>
                <w:bCs/>
                <w:sz w:val="18"/>
              </w:rPr>
            </w:pPr>
            <w:r>
              <w:rPr>
                <w:rFonts w:cs="Arial"/>
                <w:b/>
                <w:bCs/>
                <w:sz w:val="18"/>
              </w:rPr>
              <w:t>1.383.206</w:t>
            </w:r>
          </w:p>
        </w:tc>
        <w:tc>
          <w:tcPr>
            <w:tcW w:w="1141" w:type="dxa"/>
            <w:tcBorders>
              <w:top w:val="single" w:sz="4" w:space="0" w:color="auto"/>
              <w:left w:val="nil"/>
              <w:bottom w:val="single" w:sz="4" w:space="0" w:color="auto"/>
              <w:right w:val="single" w:sz="4" w:space="0" w:color="auto"/>
            </w:tcBorders>
            <w:noWrap/>
            <w:vAlign w:val="bottom"/>
            <w:hideMark/>
          </w:tcPr>
          <w:p w:rsidR="00AF7558" w:rsidRDefault="00AF7558">
            <w:pPr>
              <w:jc w:val="right"/>
              <w:rPr>
                <w:rFonts w:cs="Arial"/>
                <w:b/>
                <w:bCs/>
                <w:sz w:val="18"/>
              </w:rPr>
            </w:pPr>
            <w:r>
              <w:rPr>
                <w:rFonts w:cs="Arial"/>
                <w:b/>
                <w:bCs/>
                <w:sz w:val="18"/>
              </w:rPr>
              <w:t> </w:t>
            </w:r>
          </w:p>
        </w:tc>
      </w:tr>
    </w:tbl>
    <w:p w:rsidR="00AF7558" w:rsidRDefault="00AF7558" w:rsidP="00FF7BBE">
      <w:pPr>
        <w:pStyle w:val="Piedepgina"/>
        <w:tabs>
          <w:tab w:val="left" w:pos="708"/>
        </w:tabs>
        <w:spacing w:line="360" w:lineRule="auto"/>
        <w:jc w:val="both"/>
        <w:rPr>
          <w:rFonts w:ascii="Arial" w:hAnsi="Arial" w:cs="Arial"/>
          <w:b/>
          <w:bCs/>
          <w:sz w:val="24"/>
          <w:szCs w:val="24"/>
        </w:rPr>
      </w:pPr>
    </w:p>
    <w:p w:rsidR="00AF7558" w:rsidRDefault="00AF7558" w:rsidP="00FF7BBE">
      <w:pPr>
        <w:pStyle w:val="Piedepgina"/>
        <w:tabs>
          <w:tab w:val="left" w:pos="708"/>
        </w:tabs>
        <w:spacing w:line="360" w:lineRule="auto"/>
        <w:jc w:val="both"/>
        <w:rPr>
          <w:rFonts w:ascii="Arial" w:hAnsi="Arial" w:cs="Arial"/>
          <w:sz w:val="24"/>
          <w:szCs w:val="24"/>
        </w:rPr>
      </w:pPr>
      <w:r>
        <w:rPr>
          <w:rFonts w:ascii="Arial" w:hAnsi="Arial" w:cs="Arial"/>
          <w:b/>
          <w:bCs/>
          <w:sz w:val="24"/>
          <w:szCs w:val="24"/>
        </w:rPr>
        <w:t xml:space="preserve">1.2 </w:t>
      </w:r>
      <w:r>
        <w:rPr>
          <w:rFonts w:ascii="Arial" w:hAnsi="Arial" w:cs="Arial"/>
          <w:sz w:val="24"/>
          <w:szCs w:val="24"/>
        </w:rPr>
        <w:t>Dicho Presupuesto se financiará con cargo al Fondo de Garantía de Depósitos Bancarios.</w:t>
      </w:r>
    </w:p>
    <w:p w:rsidR="00AF7558" w:rsidRDefault="00AF7558" w:rsidP="00FF7BBE">
      <w:pPr>
        <w:tabs>
          <w:tab w:val="left" w:pos="3630"/>
        </w:tabs>
        <w:spacing w:line="360" w:lineRule="auto"/>
        <w:jc w:val="both"/>
        <w:rPr>
          <w:rFonts w:cs="Arial"/>
        </w:rPr>
      </w:pPr>
    </w:p>
    <w:p w:rsidR="00AF7558" w:rsidRDefault="00AF7558" w:rsidP="00FF7BBE">
      <w:pPr>
        <w:spacing w:line="360" w:lineRule="auto"/>
        <w:jc w:val="both"/>
        <w:rPr>
          <w:rFonts w:cs="Arial"/>
          <w:b/>
          <w:bCs/>
          <w:szCs w:val="24"/>
          <w:lang w:val="es-ES_tradnl"/>
        </w:rPr>
      </w:pPr>
      <w:r>
        <w:rPr>
          <w:rFonts w:cs="Arial"/>
          <w:b/>
          <w:bCs/>
          <w:lang w:val="es-ES_tradnl"/>
        </w:rPr>
        <w:t>2  CUMPLIMIENTO DE NORMAS CONSTITUCIONALES, LEGALES Y REGLAMENTARIAS</w:t>
      </w:r>
    </w:p>
    <w:p w:rsidR="00AF7558" w:rsidRDefault="00AF7558" w:rsidP="00FF7BBE">
      <w:pPr>
        <w:spacing w:line="360" w:lineRule="auto"/>
        <w:jc w:val="both"/>
        <w:rPr>
          <w:rFonts w:cs="Arial"/>
          <w:lang w:val="es-MX"/>
        </w:rPr>
      </w:pPr>
      <w:r>
        <w:rPr>
          <w:rFonts w:cs="Arial"/>
          <w:szCs w:val="24"/>
        </w:rPr>
        <w:tab/>
      </w:r>
    </w:p>
    <w:p w:rsidR="00AF7558" w:rsidRDefault="00AF7558" w:rsidP="00FF7BBE">
      <w:pPr>
        <w:spacing w:line="360" w:lineRule="auto"/>
        <w:jc w:val="both"/>
        <w:rPr>
          <w:rFonts w:cs="Arial"/>
          <w:lang w:val="es-ES_tradnl"/>
        </w:rPr>
      </w:pPr>
      <w:r>
        <w:rPr>
          <w:rFonts w:cs="Arial"/>
          <w:b/>
          <w:lang w:val="es-ES_tradnl"/>
        </w:rPr>
        <w:t>2.1.</w:t>
      </w:r>
      <w:r>
        <w:rPr>
          <w:rFonts w:cs="Arial"/>
          <w:lang w:val="es-ES_tradnl"/>
        </w:rPr>
        <w:t xml:space="preserve"> El Proyecto de Presupuesto para el Ejercicio 2014 de la Corporación de Protección del Ahorro Bancario comprende los Presupuestos de Ingresos y Egresos aprobados por Resolución de Directorio Nº 25/2013 de fecha 2 de octubre 2013.</w:t>
      </w:r>
    </w:p>
    <w:p w:rsidR="00AF7558" w:rsidRDefault="00AF7558" w:rsidP="00FF7BBE">
      <w:pPr>
        <w:spacing w:line="360" w:lineRule="auto"/>
        <w:jc w:val="both"/>
        <w:rPr>
          <w:rFonts w:cs="Arial"/>
          <w:lang w:val="es-MX"/>
        </w:rPr>
      </w:pPr>
      <w:r>
        <w:rPr>
          <w:rFonts w:cs="Arial"/>
          <w:b/>
          <w:lang w:val="es-ES_tradnl"/>
        </w:rPr>
        <w:t>2.2.</w:t>
      </w:r>
      <w:r>
        <w:rPr>
          <w:rFonts w:cs="Arial"/>
          <w:lang w:val="es-ES_tradnl"/>
        </w:rPr>
        <w:t xml:space="preserve"> </w:t>
      </w:r>
      <w:r>
        <w:rPr>
          <w:rFonts w:cs="Arial"/>
          <w:lang w:val="es-MX"/>
        </w:rPr>
        <w:t xml:space="preserve"> El mencionado Proyecto ingresó a este Tribunal para su consideración el día 9 de octubre de 2013 dentro del plazo previsto por el Artículo 23 de la Ley Nº 18.401 para su remisión.</w:t>
      </w:r>
    </w:p>
    <w:p w:rsidR="00AF7558" w:rsidRPr="00FF7BBE" w:rsidRDefault="00AF7558" w:rsidP="00FF7BBE">
      <w:pPr>
        <w:tabs>
          <w:tab w:val="left" w:pos="3630"/>
        </w:tabs>
        <w:spacing w:line="360" w:lineRule="auto"/>
        <w:jc w:val="both"/>
        <w:rPr>
          <w:rFonts w:cs="Arial"/>
          <w:szCs w:val="24"/>
        </w:rPr>
      </w:pPr>
      <w:r>
        <w:rPr>
          <w:rFonts w:cs="Arial"/>
          <w:b/>
          <w:bCs/>
          <w:szCs w:val="24"/>
        </w:rPr>
        <w:t xml:space="preserve">2.3 </w:t>
      </w:r>
      <w:r>
        <w:rPr>
          <w:rFonts w:cs="Arial"/>
          <w:szCs w:val="24"/>
        </w:rPr>
        <w:t>Al efectuar la provisión de las vacantes de los cargos previstos en el presupuesto o al disponer la supresión de vacantes, deberá darse cumplimiento a lo establecido por los Artículos 49 y 50 de la Ley 18.651 de 9 de marzo de 2010 (Ley de protección integral de las personas con discapacidad).</w:t>
      </w:r>
    </w:p>
    <w:p w:rsidR="00AF7558" w:rsidRDefault="00AF7558" w:rsidP="00FF7BBE">
      <w:pPr>
        <w:spacing w:line="360" w:lineRule="auto"/>
        <w:ind w:left="709" w:hanging="709"/>
        <w:jc w:val="both"/>
        <w:rPr>
          <w:rFonts w:cs="Arial"/>
          <w:b/>
          <w:spacing w:val="-3"/>
          <w:lang w:val="es-ES_tradnl"/>
        </w:rPr>
      </w:pPr>
      <w:r>
        <w:rPr>
          <w:rFonts w:cs="Arial"/>
          <w:b/>
          <w:spacing w:val="-3"/>
          <w:lang w:val="es-ES_tradnl"/>
        </w:rPr>
        <w:lastRenderedPageBreak/>
        <w:t>3      OPINIÓN</w:t>
      </w:r>
    </w:p>
    <w:p w:rsidR="00AF7558" w:rsidRDefault="00AF7558" w:rsidP="00FF7BBE">
      <w:pPr>
        <w:spacing w:line="360" w:lineRule="auto"/>
        <w:jc w:val="both"/>
        <w:rPr>
          <w:rFonts w:cs="Arial"/>
          <w:spacing w:val="-3"/>
          <w:lang w:val="es-ES_tradnl"/>
        </w:rPr>
      </w:pPr>
      <w:r>
        <w:rPr>
          <w:rFonts w:cs="Arial"/>
          <w:spacing w:val="-3"/>
          <w:lang w:val="es-ES_tradnl"/>
        </w:rPr>
        <w:t xml:space="preserve">En opinión del Tribunal de Cuentas el Proyecto de Presupuesto de la Corporación de Protección del Ahorro Bancario (COPAB) correspondiente al Ejercicio 2014 ha sido preparado en forma razonable de acuerdo con los supuestos efectuados por el Organismo y se presenta de conformidad con las disposiciones constitucionales, legales y reglamentarias vigentes.  </w:t>
      </w:r>
    </w:p>
    <w:p w:rsidR="00AF7558" w:rsidRDefault="00AF7558" w:rsidP="00FF7BBE">
      <w:pPr>
        <w:suppressAutoHyphens/>
        <w:spacing w:line="360" w:lineRule="auto"/>
        <w:ind w:left="4248"/>
        <w:jc w:val="both"/>
        <w:rPr>
          <w:rFonts w:cs="Arial"/>
          <w:spacing w:val="-3"/>
          <w:lang w:val="es-MX"/>
        </w:rPr>
      </w:pPr>
      <w:r>
        <w:rPr>
          <w:rFonts w:cs="Arial"/>
          <w:spacing w:val="-3"/>
          <w:lang w:val="es-MX"/>
        </w:rPr>
        <w:t xml:space="preserve">         Montevideo, 18 de octubre de 2013</w:t>
      </w:r>
    </w:p>
    <w:p w:rsidR="00777606" w:rsidRDefault="00AF7558">
      <w:r>
        <w:t>cc</w:t>
      </w:r>
    </w:p>
    <w:sectPr w:rsidR="00777606" w:rsidSect="00777606">
      <w:pgSz w:w="11906" w:h="16838"/>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06"/>
    <w:rsid w:val="004A4B9C"/>
    <w:rsid w:val="00622150"/>
    <w:rsid w:val="00777606"/>
    <w:rsid w:val="00AF755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606"/>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777606"/>
    <w:pPr>
      <w:keepNext/>
      <w:jc w:val="both"/>
      <w:outlineLvl w:val="0"/>
    </w:pPr>
    <w:rPr>
      <w:rFonts w:ascii="Bookman Old Style" w:hAnsi="Bookman Old Sty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7606"/>
    <w:rPr>
      <w:rFonts w:ascii="Bookman Old Style" w:eastAsia="Times New Roman" w:hAnsi="Bookman Old Style" w:cs="Times New Roman"/>
      <w:sz w:val="24"/>
      <w:szCs w:val="20"/>
      <w:lang w:val="es-MX" w:eastAsia="es-ES"/>
    </w:rPr>
  </w:style>
  <w:style w:type="paragraph" w:styleId="Ttulo">
    <w:name w:val="Title"/>
    <w:basedOn w:val="Normal"/>
    <w:link w:val="TtuloCar"/>
    <w:qFormat/>
    <w:rsid w:val="004A4B9C"/>
    <w:pPr>
      <w:spacing w:line="360" w:lineRule="auto"/>
      <w:jc w:val="center"/>
    </w:pPr>
    <w:rPr>
      <w:rFonts w:ascii="Bookman Old Style" w:hAnsi="Bookman Old Style"/>
      <w:b/>
      <w:lang w:val="es-MX"/>
    </w:rPr>
  </w:style>
  <w:style w:type="character" w:customStyle="1" w:styleId="TtuloCar">
    <w:name w:val="Título Car"/>
    <w:basedOn w:val="Fuentedeprrafopredeter"/>
    <w:link w:val="Ttulo"/>
    <w:rsid w:val="004A4B9C"/>
    <w:rPr>
      <w:rFonts w:ascii="Bookman Old Style" w:eastAsia="Times New Roman" w:hAnsi="Bookman Old Style" w:cs="Times New Roman"/>
      <w:b/>
      <w:sz w:val="24"/>
      <w:szCs w:val="20"/>
      <w:lang w:val="es-MX" w:eastAsia="es-ES"/>
    </w:rPr>
  </w:style>
  <w:style w:type="paragraph" w:styleId="Piedepgina">
    <w:name w:val="footer"/>
    <w:basedOn w:val="Normal"/>
    <w:link w:val="PiedepginaCar"/>
    <w:uiPriority w:val="99"/>
    <w:unhideWhenUsed/>
    <w:rsid w:val="00AF7558"/>
    <w:pPr>
      <w:tabs>
        <w:tab w:val="center" w:pos="4252"/>
        <w:tab w:val="right" w:pos="8504"/>
      </w:tabs>
    </w:pPr>
    <w:rPr>
      <w:rFonts w:ascii="Times New Roman" w:hAnsi="Times New Roman"/>
      <w:sz w:val="20"/>
    </w:rPr>
  </w:style>
  <w:style w:type="character" w:customStyle="1" w:styleId="PiedepginaCar">
    <w:name w:val="Pie de página Car"/>
    <w:basedOn w:val="Fuentedeprrafopredeter"/>
    <w:link w:val="Piedepgina"/>
    <w:uiPriority w:val="99"/>
    <w:rsid w:val="00AF7558"/>
    <w:rPr>
      <w:rFonts w:ascii="Times New Roman" w:eastAsia="Times New Roman" w:hAnsi="Times New Roman" w:cs="Times New Roman"/>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606"/>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777606"/>
    <w:pPr>
      <w:keepNext/>
      <w:jc w:val="both"/>
      <w:outlineLvl w:val="0"/>
    </w:pPr>
    <w:rPr>
      <w:rFonts w:ascii="Bookman Old Style" w:hAnsi="Bookman Old Sty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7606"/>
    <w:rPr>
      <w:rFonts w:ascii="Bookman Old Style" w:eastAsia="Times New Roman" w:hAnsi="Bookman Old Style" w:cs="Times New Roman"/>
      <w:sz w:val="24"/>
      <w:szCs w:val="20"/>
      <w:lang w:val="es-MX" w:eastAsia="es-ES"/>
    </w:rPr>
  </w:style>
  <w:style w:type="paragraph" w:styleId="Ttulo">
    <w:name w:val="Title"/>
    <w:basedOn w:val="Normal"/>
    <w:link w:val="TtuloCar"/>
    <w:qFormat/>
    <w:rsid w:val="004A4B9C"/>
    <w:pPr>
      <w:spacing w:line="360" w:lineRule="auto"/>
      <w:jc w:val="center"/>
    </w:pPr>
    <w:rPr>
      <w:rFonts w:ascii="Bookman Old Style" w:hAnsi="Bookman Old Style"/>
      <w:b/>
      <w:lang w:val="es-MX"/>
    </w:rPr>
  </w:style>
  <w:style w:type="character" w:customStyle="1" w:styleId="TtuloCar">
    <w:name w:val="Título Car"/>
    <w:basedOn w:val="Fuentedeprrafopredeter"/>
    <w:link w:val="Ttulo"/>
    <w:rsid w:val="004A4B9C"/>
    <w:rPr>
      <w:rFonts w:ascii="Bookman Old Style" w:eastAsia="Times New Roman" w:hAnsi="Bookman Old Style" w:cs="Times New Roman"/>
      <w:b/>
      <w:sz w:val="24"/>
      <w:szCs w:val="20"/>
      <w:lang w:val="es-MX" w:eastAsia="es-ES"/>
    </w:rPr>
  </w:style>
  <w:style w:type="paragraph" w:styleId="Piedepgina">
    <w:name w:val="footer"/>
    <w:basedOn w:val="Normal"/>
    <w:link w:val="PiedepginaCar"/>
    <w:uiPriority w:val="99"/>
    <w:unhideWhenUsed/>
    <w:rsid w:val="00AF7558"/>
    <w:pPr>
      <w:tabs>
        <w:tab w:val="center" w:pos="4252"/>
        <w:tab w:val="right" w:pos="8504"/>
      </w:tabs>
    </w:pPr>
    <w:rPr>
      <w:rFonts w:ascii="Times New Roman" w:hAnsi="Times New Roman"/>
      <w:sz w:val="20"/>
    </w:rPr>
  </w:style>
  <w:style w:type="character" w:customStyle="1" w:styleId="PiedepginaCar">
    <w:name w:val="Pie de página Car"/>
    <w:basedOn w:val="Fuentedeprrafopredeter"/>
    <w:link w:val="Piedepgina"/>
    <w:uiPriority w:val="99"/>
    <w:rsid w:val="00AF7558"/>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727</Words>
  <Characters>4001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43704168</dc:creator>
  <cp:keywords/>
  <dc:description/>
  <cp:lastModifiedBy> </cp:lastModifiedBy>
  <cp:revision>2</cp:revision>
  <dcterms:created xsi:type="dcterms:W3CDTF">2013-10-28T19:09:00Z</dcterms:created>
  <dcterms:modified xsi:type="dcterms:W3CDTF">2013-11-19T17:53:00Z</dcterms:modified>
</cp:coreProperties>
</file>