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DF" w:rsidRDefault="00D40AD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D40ADF" w:rsidRDefault="00D40ADF">
      <w:pPr>
        <w:tabs>
          <w:tab w:val="left" w:pos="-720"/>
        </w:tabs>
        <w:suppressAutoHyphens/>
        <w:jc w:val="center"/>
        <w:rPr>
          <w:rFonts w:ascii="Helvetica" w:hAnsi="Helvetica"/>
          <w:b/>
          <w:lang w:val="es-ES_tradnl"/>
        </w:rPr>
      </w:pPr>
    </w:p>
    <w:p w:rsidR="00D40ADF" w:rsidRDefault="00D40ADF">
      <w:pPr>
        <w:tabs>
          <w:tab w:val="center" w:pos="4253"/>
        </w:tabs>
        <w:suppressAutoHyphens/>
        <w:jc w:val="center"/>
        <w:rPr>
          <w:rFonts w:ascii="Helvetica" w:hAnsi="Helvetica"/>
          <w:b/>
          <w:lang w:val="es-ES_tradnl"/>
        </w:rPr>
      </w:pPr>
      <w:r>
        <w:rPr>
          <w:rFonts w:ascii="Helvetica" w:hAnsi="Helvetica"/>
          <w:b/>
          <w:lang w:val="es-ES_tradnl"/>
        </w:rPr>
        <w:t>TRIBUNAL DE CUENTAS</w:t>
      </w:r>
    </w:p>
    <w:p w:rsidR="00D40ADF" w:rsidRDefault="00D40ADF">
      <w:pPr>
        <w:tabs>
          <w:tab w:val="left" w:pos="-720"/>
        </w:tabs>
        <w:suppressAutoHyphens/>
        <w:jc w:val="center"/>
        <w:rPr>
          <w:rFonts w:ascii="Helvetica" w:hAnsi="Helvetica"/>
          <w:b/>
          <w:lang w:val="es-ES_tradnl"/>
        </w:rPr>
      </w:pPr>
    </w:p>
    <w:p w:rsidR="00D40ADF" w:rsidRDefault="00D40ADF">
      <w:pPr>
        <w:tabs>
          <w:tab w:val="center" w:pos="4253"/>
        </w:tabs>
        <w:suppressAutoHyphens/>
        <w:jc w:val="center"/>
        <w:rPr>
          <w:rFonts w:ascii="Helvetica" w:hAnsi="Helvetica"/>
          <w:b/>
          <w:lang w:val="es-ES_tradnl"/>
        </w:rPr>
      </w:pPr>
      <w:r>
        <w:rPr>
          <w:rFonts w:ascii="Helvetica" w:hAnsi="Helvetica"/>
          <w:b/>
          <w:lang w:val="es-ES_tradnl"/>
        </w:rPr>
        <w:t>EN SESION DE FECHA 23 DE OCTUBRE DE 2013</w:t>
      </w:r>
    </w:p>
    <w:p w:rsidR="00D40ADF" w:rsidRDefault="00D40ADF">
      <w:pPr>
        <w:tabs>
          <w:tab w:val="center" w:pos="4253"/>
        </w:tabs>
        <w:suppressAutoHyphens/>
        <w:jc w:val="center"/>
        <w:rPr>
          <w:rFonts w:ascii="Helvetica" w:hAnsi="Helvetica"/>
          <w:b/>
          <w:lang w:val="es-ES_tradnl"/>
        </w:rPr>
      </w:pPr>
    </w:p>
    <w:p w:rsidR="00D40ADF" w:rsidRPr="00D40ADF" w:rsidRDefault="00D40ADF">
      <w:pPr>
        <w:tabs>
          <w:tab w:val="center" w:pos="4253"/>
        </w:tabs>
        <w:suppressAutoHyphens/>
        <w:jc w:val="center"/>
        <w:rPr>
          <w:rFonts w:ascii="Helvetica" w:hAnsi="Helvetica"/>
          <w:b/>
          <w:lang w:val="es-UY"/>
        </w:rPr>
      </w:pPr>
      <w:r w:rsidRPr="00D40ADF">
        <w:rPr>
          <w:rFonts w:ascii="Helvetica" w:hAnsi="Helvetica"/>
          <w:b/>
          <w:lang w:val="es-UY"/>
        </w:rPr>
        <w:t xml:space="preserve">(E. E. Nº 2013-17-1-0003412, </w:t>
      </w:r>
      <w:proofErr w:type="spellStart"/>
      <w:r w:rsidRPr="00D40ADF">
        <w:rPr>
          <w:rFonts w:ascii="Helvetica" w:hAnsi="Helvetica"/>
          <w:b/>
          <w:lang w:val="es-UY"/>
        </w:rPr>
        <w:t>Ent</w:t>
      </w:r>
      <w:proofErr w:type="spellEnd"/>
      <w:r w:rsidRPr="00D40ADF">
        <w:rPr>
          <w:rFonts w:ascii="Helvetica" w:hAnsi="Helvetica"/>
          <w:b/>
          <w:lang w:val="es-UY"/>
        </w:rPr>
        <w:t>. N°</w:t>
      </w:r>
      <w:r w:rsidR="00934FDC">
        <w:rPr>
          <w:rFonts w:ascii="Helvetica" w:hAnsi="Helvetica"/>
          <w:b/>
          <w:lang w:val="es-UY"/>
        </w:rPr>
        <w:t xml:space="preserve"> </w:t>
      </w:r>
      <w:r w:rsidR="007A55C7">
        <w:rPr>
          <w:rFonts w:ascii="Helvetica" w:hAnsi="Helvetica"/>
          <w:b/>
          <w:lang w:val="es-UY"/>
        </w:rPr>
        <w:t>3036/13</w:t>
      </w:r>
      <w:r w:rsidRPr="00D40ADF">
        <w:rPr>
          <w:rFonts w:ascii="Helvetica" w:hAnsi="Helvetica"/>
          <w:b/>
          <w:lang w:val="es-UY"/>
        </w:rPr>
        <w:t>)</w:t>
      </w:r>
    </w:p>
    <w:p w:rsidR="00D40ADF" w:rsidRPr="00D40ADF" w:rsidRDefault="00D40ADF">
      <w:pPr>
        <w:tabs>
          <w:tab w:val="center" w:pos="4253"/>
        </w:tabs>
        <w:suppressAutoHyphens/>
        <w:jc w:val="center"/>
        <w:rPr>
          <w:rFonts w:ascii="Arial" w:hAnsi="Arial"/>
          <w:spacing w:val="-3"/>
          <w:lang w:val="es-UY"/>
        </w:rPr>
      </w:pPr>
    </w:p>
    <w:p w:rsidR="00D40ADF" w:rsidRDefault="00D40ADF" w:rsidP="00D40ADF">
      <w:pPr>
        <w:pStyle w:val="Encabezado"/>
        <w:widowControl w:val="0"/>
        <w:tabs>
          <w:tab w:val="left" w:pos="708"/>
        </w:tabs>
        <w:spacing w:line="360" w:lineRule="auto"/>
        <w:ind w:firstLine="851"/>
        <w:jc w:val="both"/>
        <w:rPr>
          <w:rFonts w:ascii="Arial" w:hAnsi="Arial"/>
        </w:rPr>
      </w:pPr>
      <w:r>
        <w:rPr>
          <w:rFonts w:ascii="Arial" w:hAnsi="Arial"/>
          <w:b/>
        </w:rPr>
        <w:t>VISTO:</w:t>
      </w:r>
      <w:r>
        <w:rPr>
          <w:rFonts w:ascii="Arial" w:hAnsi="Arial"/>
        </w:rPr>
        <w:t xml:space="preserve"> que se ha examinado el Estado de Ejecución Presupuestal de la Administración Nacional de Puertos (ANP) correspondiente al Ejercicio 2012;</w:t>
      </w:r>
    </w:p>
    <w:p w:rsidR="00D40ADF" w:rsidRDefault="00D40ADF" w:rsidP="00D40ADF">
      <w:pPr>
        <w:spacing w:after="260" w:line="360" w:lineRule="auto"/>
        <w:ind w:firstLine="851"/>
        <w:jc w:val="both"/>
        <w:rPr>
          <w:rFonts w:ascii="Arial" w:hAnsi="Arial" w:cs="Arial"/>
          <w:szCs w:val="24"/>
        </w:rPr>
      </w:pPr>
      <w:r>
        <w:rPr>
          <w:rFonts w:ascii="Arial" w:hAnsi="Arial"/>
          <w:b/>
        </w:rPr>
        <w:t>RESULTANDO:</w:t>
      </w:r>
      <w:r>
        <w:rPr>
          <w:rFonts w:ascii="Arial" w:hAnsi="Arial"/>
        </w:rPr>
        <w:t xml:space="preserve"> </w:t>
      </w:r>
      <w:r>
        <w:rPr>
          <w:rFonts w:ascii="Arial" w:hAnsi="Arial" w:cs="Arial"/>
          <w:szCs w:val="24"/>
        </w:rPr>
        <w:t>que el examen fue realizado de acuerdo con los Principios Fundamentales de Auditoría (ISSAI 100, 200, 300 y 400) y las Directrices de Auditoría Financiera (ISSAI 1000 a 2999) de la Organización Internacional de Entidades Fiscalizadoras Superiores (INTOSAI);"</w:t>
      </w:r>
    </w:p>
    <w:p w:rsidR="00D40ADF" w:rsidRDefault="00D40ADF" w:rsidP="00D40ADF">
      <w:pPr>
        <w:pStyle w:val="Encabezado"/>
        <w:widowControl w:val="0"/>
        <w:tabs>
          <w:tab w:val="left" w:pos="708"/>
        </w:tabs>
        <w:spacing w:line="360" w:lineRule="auto"/>
        <w:ind w:firstLine="851"/>
        <w:jc w:val="both"/>
        <w:rPr>
          <w:rFonts w:ascii="Arial" w:hAnsi="Arial"/>
        </w:rPr>
      </w:pPr>
      <w:r>
        <w:rPr>
          <w:rFonts w:ascii="Arial" w:hAnsi="Arial"/>
          <w:b/>
        </w:rPr>
        <w:t>CONSIDERANDO:</w:t>
      </w:r>
      <w:r>
        <w:rPr>
          <w:rFonts w:ascii="Arial" w:hAnsi="Arial"/>
        </w:rPr>
        <w:t xml:space="preserve"> que las conclusiones y evidencias obtenidas son las que se expresan en el  Informe de Auditoría, que incluye Dictamen e Informe a la Administración;</w:t>
      </w:r>
    </w:p>
    <w:p w:rsidR="00D40ADF" w:rsidRDefault="00D40ADF" w:rsidP="00D40ADF">
      <w:pPr>
        <w:pStyle w:val="Encabezado"/>
        <w:widowControl w:val="0"/>
        <w:tabs>
          <w:tab w:val="left" w:pos="708"/>
        </w:tabs>
        <w:spacing w:line="360" w:lineRule="auto"/>
        <w:ind w:firstLine="851"/>
        <w:jc w:val="both"/>
        <w:rPr>
          <w:rFonts w:ascii="Arial" w:hAnsi="Arial"/>
        </w:rPr>
      </w:pPr>
      <w:r>
        <w:rPr>
          <w:rFonts w:ascii="Arial" w:hAnsi="Arial"/>
          <w:b/>
        </w:rPr>
        <w:t>ATENTO:</w:t>
      </w:r>
      <w:r>
        <w:rPr>
          <w:rFonts w:ascii="Arial" w:hAnsi="Arial"/>
        </w:rPr>
        <w:t xml:space="preserve"> a lo dispuesto por el Artículo 211 Literal C) de la Constitución de la República;</w:t>
      </w:r>
    </w:p>
    <w:p w:rsidR="00D40ADF" w:rsidRDefault="00D40ADF" w:rsidP="00D40ADF">
      <w:pPr>
        <w:pStyle w:val="Ttulo2"/>
        <w:keepNext w:val="0"/>
        <w:widowControl w:val="0"/>
        <w:spacing w:after="120"/>
        <w:ind w:firstLine="709"/>
        <w:rPr>
          <w:rFonts w:ascii="Arial" w:hAnsi="Arial"/>
        </w:rPr>
      </w:pPr>
      <w:r>
        <w:rPr>
          <w:rFonts w:ascii="Arial" w:hAnsi="Arial"/>
        </w:rPr>
        <w:t>EL TRIBUNAL ACUERDA</w:t>
      </w:r>
    </w:p>
    <w:p w:rsidR="00D40ADF" w:rsidRDefault="00D40ADF" w:rsidP="00D40ADF">
      <w:pPr>
        <w:widowControl w:val="0"/>
        <w:spacing w:line="360" w:lineRule="auto"/>
        <w:jc w:val="both"/>
        <w:rPr>
          <w:rFonts w:ascii="Arial" w:hAnsi="Arial"/>
        </w:rPr>
      </w:pPr>
      <w:r w:rsidRPr="00D40ADF">
        <w:rPr>
          <w:rFonts w:ascii="Arial" w:hAnsi="Arial"/>
          <w:b/>
        </w:rPr>
        <w:t>1)</w:t>
      </w:r>
      <w:r>
        <w:rPr>
          <w:rFonts w:ascii="Arial" w:hAnsi="Arial"/>
          <w:b/>
        </w:rPr>
        <w:t xml:space="preserve"> </w:t>
      </w:r>
      <w:r>
        <w:rPr>
          <w:rFonts w:ascii="Arial" w:hAnsi="Arial"/>
        </w:rPr>
        <w:t xml:space="preserve">Emitir su Dictamen Constitucional respecto al Estado de Ejecución Presupuestal correspondiente al Ejercicio 2012 de la Administración Nacional de Puertos, en los términos del Informe  que se adjunta; </w:t>
      </w:r>
    </w:p>
    <w:p w:rsidR="00D40ADF" w:rsidRDefault="00D40ADF" w:rsidP="00D40ADF">
      <w:pPr>
        <w:widowControl w:val="0"/>
        <w:spacing w:line="360" w:lineRule="auto"/>
        <w:jc w:val="both"/>
        <w:rPr>
          <w:rFonts w:ascii="Arial" w:hAnsi="Arial"/>
        </w:rPr>
      </w:pPr>
      <w:r w:rsidRPr="00D40ADF">
        <w:rPr>
          <w:rFonts w:ascii="Arial" w:hAnsi="Arial"/>
          <w:b/>
        </w:rPr>
        <w:t>2)</w:t>
      </w:r>
      <w:r>
        <w:rPr>
          <w:rFonts w:ascii="Arial" w:hAnsi="Arial"/>
        </w:rPr>
        <w:t xml:space="preserve">  Comunicar al Poder Ejecutivo, a la Oficina de Planeamiento y Presupuesto, al Organismo y a los Contadores Delegados; </w:t>
      </w:r>
    </w:p>
    <w:p w:rsidR="00D40ADF" w:rsidRDefault="00D40ADF" w:rsidP="00D40ADF">
      <w:pPr>
        <w:widowControl w:val="0"/>
        <w:spacing w:line="360" w:lineRule="auto"/>
        <w:jc w:val="both"/>
        <w:rPr>
          <w:rFonts w:ascii="Arial" w:hAnsi="Arial"/>
        </w:rPr>
      </w:pPr>
      <w:r w:rsidRPr="00D40ADF">
        <w:rPr>
          <w:rFonts w:ascii="Arial" w:hAnsi="Arial"/>
          <w:b/>
        </w:rPr>
        <w:t>3)</w:t>
      </w:r>
      <w:r>
        <w:rPr>
          <w:rFonts w:ascii="Arial" w:hAnsi="Arial"/>
        </w:rPr>
        <w:t xml:space="preserve">  Oficiar al Servicio Oficial de Radiodifusión y Espectáculos.</w:t>
      </w:r>
    </w:p>
    <w:p w:rsidR="00D40ADF" w:rsidRDefault="00D40ADF" w:rsidP="00D40ADF">
      <w:pPr>
        <w:widowControl w:val="0"/>
        <w:spacing w:line="360" w:lineRule="auto"/>
        <w:jc w:val="both"/>
        <w:rPr>
          <w:rFonts w:ascii="Arial" w:hAnsi="Arial"/>
        </w:rPr>
      </w:pPr>
      <w:r w:rsidRPr="00D40ADF">
        <w:rPr>
          <w:rFonts w:ascii="Arial" w:hAnsi="Arial"/>
          <w:b/>
        </w:rPr>
        <w:t>4)</w:t>
      </w:r>
      <w:r>
        <w:rPr>
          <w:rFonts w:ascii="Arial" w:hAnsi="Arial"/>
        </w:rPr>
        <w:t xml:space="preserve">  Dar cuenta a la Asamblea General.</w:t>
      </w:r>
    </w:p>
    <w:p w:rsidR="00D40ADF" w:rsidRDefault="00D40ADF" w:rsidP="00D40ADF">
      <w:pPr>
        <w:spacing w:line="360" w:lineRule="auto"/>
        <w:jc w:val="both"/>
        <w:rPr>
          <w:rFonts w:ascii="Arial" w:hAnsi="Arial"/>
        </w:rPr>
      </w:pPr>
    </w:p>
    <w:p w:rsidR="00624D31" w:rsidRDefault="00624D31" w:rsidP="00D40ADF">
      <w:pPr>
        <w:spacing w:line="360" w:lineRule="auto"/>
        <w:jc w:val="both"/>
        <w:rPr>
          <w:rFonts w:ascii="Arial" w:hAnsi="Arial"/>
        </w:rPr>
      </w:pPr>
    </w:p>
    <w:p w:rsidR="002142ED" w:rsidRDefault="002142ED" w:rsidP="00265608">
      <w:pPr>
        <w:pStyle w:val="Ttulo1"/>
        <w:spacing w:before="480"/>
        <w:jc w:val="center"/>
        <w:rPr>
          <w:rFonts w:cs="Times New Roman"/>
          <w:bCs w:val="0"/>
          <w:kern w:val="0"/>
          <w:sz w:val="24"/>
          <w:szCs w:val="20"/>
        </w:rPr>
      </w:pPr>
      <w:r>
        <w:rPr>
          <w:rFonts w:cs="Times New Roman"/>
          <w:bCs w:val="0"/>
          <w:kern w:val="0"/>
          <w:sz w:val="24"/>
          <w:szCs w:val="20"/>
        </w:rPr>
        <w:lastRenderedPageBreak/>
        <w:t>DICTAMEN</w:t>
      </w:r>
    </w:p>
    <w:p w:rsidR="002142ED" w:rsidRDefault="002142ED" w:rsidP="00265608">
      <w:pPr>
        <w:jc w:val="both"/>
      </w:pPr>
    </w:p>
    <w:p w:rsidR="002142ED" w:rsidRDefault="002142ED" w:rsidP="00265608">
      <w:pPr>
        <w:pStyle w:val="Sangradetextonormal"/>
        <w:jc w:val="both"/>
        <w:rPr>
          <w:rFonts w:ascii="Arial" w:hAnsi="Arial" w:cs="Arial"/>
          <w:spacing w:val="-3"/>
          <w:lang w:val="es-ES_tradnl"/>
        </w:rPr>
      </w:pPr>
      <w:r>
        <w:rPr>
          <w:rFonts w:ascii="Arial" w:hAnsi="Arial" w:cs="Arial"/>
        </w:rPr>
        <w:t>El Tribunal de Cuentas ha examinado el Estado de Ejecución Presupuestal de la Administración Nacional de Puertos (ANP) correspondiente al período 1° de enero al 31 de diciembre de 2012.</w:t>
      </w:r>
    </w:p>
    <w:p w:rsidR="002142ED" w:rsidRDefault="002142ED" w:rsidP="00265608">
      <w:pPr>
        <w:pStyle w:val="Sangradetextonormal"/>
        <w:jc w:val="both"/>
        <w:rPr>
          <w:rFonts w:ascii="Arial" w:hAnsi="Arial" w:cs="Arial"/>
        </w:rPr>
      </w:pPr>
      <w:r>
        <w:rPr>
          <w:rFonts w:ascii="Arial" w:hAnsi="Arial" w:cs="Arial"/>
        </w:rPr>
        <w:t>El Tribunal de Cuentas también ha auditado el cumplimiento por parte de ANP de la normativa vigente relacionada con el estado que es objeto de examen.</w:t>
      </w:r>
    </w:p>
    <w:p w:rsidR="002142ED" w:rsidRDefault="002142ED" w:rsidP="00265608">
      <w:pPr>
        <w:pStyle w:val="Sangradetextonormal"/>
        <w:jc w:val="both"/>
        <w:rPr>
          <w:rFonts w:ascii="Arial" w:hAnsi="Arial" w:cs="Arial"/>
        </w:rPr>
      </w:pPr>
    </w:p>
    <w:p w:rsidR="002142ED" w:rsidRDefault="002142ED" w:rsidP="00265608">
      <w:pPr>
        <w:pStyle w:val="Sangradetextonormal"/>
        <w:jc w:val="both"/>
        <w:rPr>
          <w:rFonts w:ascii="Arial" w:hAnsi="Arial" w:cs="Arial"/>
          <w:b/>
        </w:rPr>
      </w:pPr>
      <w:r>
        <w:rPr>
          <w:rFonts w:ascii="Arial" w:hAnsi="Arial" w:cs="Arial"/>
          <w:b/>
        </w:rPr>
        <w:t>Responsabilidad de la Dirección por el Estado de Ejecución Presupuestal</w:t>
      </w:r>
    </w:p>
    <w:p w:rsidR="002142ED" w:rsidRDefault="002142ED" w:rsidP="00265608">
      <w:pPr>
        <w:pStyle w:val="Sangradetextonormal"/>
        <w:jc w:val="both"/>
        <w:rPr>
          <w:rFonts w:ascii="Arial" w:hAnsi="Arial" w:cs="Arial"/>
        </w:rPr>
      </w:pPr>
      <w:r>
        <w:rPr>
          <w:rFonts w:ascii="Arial" w:hAnsi="Arial" w:cs="Arial"/>
        </w:rPr>
        <w:t xml:space="preserve">La Dirección de ANP es responsable por la preparación y la razonable presentación de dicho estado de acuerdo con las disposiciones legales vigentes, las normas y criterios establecidos en el TOCAF, en la Ordenanza Nº75 de este Tribunal y el presupuesto vigente. Esta responsabilidad incluye diseñar, implementar y mantener un sistema de control interno adecuado para la preparación y presentación razonable del mencionado estado que esté </w:t>
      </w:r>
      <w:proofErr w:type="gramStart"/>
      <w:r>
        <w:rPr>
          <w:rFonts w:ascii="Arial" w:hAnsi="Arial" w:cs="Arial"/>
        </w:rPr>
        <w:t>libres</w:t>
      </w:r>
      <w:proofErr w:type="gramEnd"/>
      <w:r>
        <w:rPr>
          <w:rFonts w:ascii="Arial" w:hAnsi="Arial" w:cs="Arial"/>
        </w:rPr>
        <w:t xml:space="preserve"> de errores significativos, ya sea debido a fraude o error, seleccionar y aplicar políticas contables apropiadas. </w:t>
      </w:r>
    </w:p>
    <w:p w:rsidR="002142ED" w:rsidRDefault="002142ED" w:rsidP="00265608">
      <w:pPr>
        <w:widowControl w:val="0"/>
        <w:tabs>
          <w:tab w:val="left" w:pos="0"/>
        </w:tabs>
        <w:spacing w:line="360" w:lineRule="auto"/>
        <w:jc w:val="both"/>
        <w:rPr>
          <w:rFonts w:ascii="Arial" w:hAnsi="Arial"/>
          <w:spacing w:val="-3"/>
          <w:lang w:val="es-ES_tradnl"/>
        </w:rPr>
      </w:pPr>
    </w:p>
    <w:p w:rsidR="002142ED" w:rsidRDefault="002142ED" w:rsidP="00265608">
      <w:pPr>
        <w:widowControl w:val="0"/>
        <w:tabs>
          <w:tab w:val="left" w:pos="0"/>
        </w:tabs>
        <w:spacing w:line="360" w:lineRule="auto"/>
        <w:jc w:val="both"/>
        <w:rPr>
          <w:rFonts w:ascii="Arial" w:hAnsi="Arial"/>
          <w:b/>
          <w:spacing w:val="-3"/>
          <w:lang w:val="es-ES_tradnl"/>
        </w:rPr>
      </w:pPr>
      <w:r>
        <w:rPr>
          <w:rFonts w:ascii="Arial" w:hAnsi="Arial"/>
          <w:b/>
          <w:spacing w:val="-3"/>
          <w:lang w:val="es-ES_tradnl"/>
        </w:rPr>
        <w:t>Responsabilidad del auditor</w:t>
      </w:r>
    </w:p>
    <w:p w:rsidR="002142ED" w:rsidRDefault="002142ED" w:rsidP="00265608">
      <w:pPr>
        <w:spacing w:after="260" w:line="360" w:lineRule="auto"/>
        <w:jc w:val="both"/>
        <w:rPr>
          <w:rFonts w:ascii="Arial" w:hAnsi="Arial" w:cs="Arial"/>
          <w:szCs w:val="24"/>
        </w:rPr>
      </w:pPr>
      <w:r>
        <w:rPr>
          <w:rFonts w:ascii="Arial" w:hAnsi="Arial"/>
          <w:spacing w:val="-3"/>
          <w:lang w:val="es-ES_tradnl"/>
        </w:rPr>
        <w:t xml:space="preserve">La responsabilidad del Tribunal de Cuentas es expresar una opinión sobre el Estado de Ejecución Presupuestal basada en la auditoría realizada. Esta auditoría fue practicada </w:t>
      </w:r>
      <w:r>
        <w:rPr>
          <w:rFonts w:ascii="Arial" w:hAnsi="Arial" w:cs="Arial"/>
          <w:szCs w:val="24"/>
        </w:rPr>
        <w:t xml:space="preserve"> de acuerdo con los Principios Fundamentales de Auditoría (ISSAI 100, 200, 300 y 400) y las Directrices de Auditoría Financiera (ISSAI 1000 a 2999) de la Organización Internacional de Entidades Fiscalizadoras Superiores (INTOSAI).</w:t>
      </w:r>
    </w:p>
    <w:p w:rsidR="002142ED" w:rsidRDefault="002142ED" w:rsidP="00265608">
      <w:pPr>
        <w:widowControl w:val="0"/>
        <w:tabs>
          <w:tab w:val="left" w:pos="0"/>
        </w:tabs>
        <w:spacing w:line="360" w:lineRule="auto"/>
        <w:jc w:val="both"/>
        <w:rPr>
          <w:rFonts w:ascii="Arial" w:hAnsi="Arial"/>
          <w:spacing w:val="-3"/>
          <w:lang w:val="es-ES_tradnl"/>
        </w:rPr>
      </w:pPr>
      <w:r>
        <w:rPr>
          <w:rFonts w:ascii="Arial" w:hAnsi="Arial"/>
          <w:spacing w:val="-3"/>
          <w:lang w:val="es-ES_tradnl"/>
        </w:rPr>
        <w:t>Estas normas requieren que se cumpla con requisitos éticos, se planifique y se realice la auditoría para obtener seguridad razonable acerca de si el estado presentado está libre de errores significativos.</w:t>
      </w:r>
    </w:p>
    <w:p w:rsidR="00624D31" w:rsidRDefault="00624D31" w:rsidP="00265608">
      <w:pPr>
        <w:widowControl w:val="0"/>
        <w:tabs>
          <w:tab w:val="left" w:pos="0"/>
        </w:tabs>
        <w:spacing w:line="360" w:lineRule="auto"/>
        <w:jc w:val="both"/>
        <w:rPr>
          <w:rFonts w:ascii="Arial" w:hAnsi="Arial"/>
          <w:spacing w:val="-3"/>
          <w:lang w:val="es-ES_tradnl"/>
        </w:rPr>
      </w:pPr>
    </w:p>
    <w:p w:rsidR="002142ED" w:rsidRDefault="002142ED" w:rsidP="00265608">
      <w:pPr>
        <w:widowControl w:val="0"/>
        <w:tabs>
          <w:tab w:val="left" w:pos="0"/>
        </w:tabs>
        <w:spacing w:line="360" w:lineRule="auto"/>
        <w:jc w:val="both"/>
        <w:rPr>
          <w:rFonts w:ascii="Arial" w:hAnsi="Arial"/>
          <w:spacing w:val="-3"/>
          <w:lang w:val="es-ES_tradnl"/>
        </w:rPr>
      </w:pPr>
      <w:r>
        <w:rPr>
          <w:rFonts w:ascii="Arial" w:hAnsi="Arial"/>
          <w:spacing w:val="-3"/>
          <w:lang w:val="es-ES_tradnl"/>
        </w:rPr>
        <w:lastRenderedPageBreak/>
        <w:t xml:space="preserve">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la Dirección, como la presentación del estado en su conjunto. </w:t>
      </w:r>
    </w:p>
    <w:p w:rsidR="002142ED" w:rsidRDefault="002142ED" w:rsidP="00265608">
      <w:pPr>
        <w:widowControl w:val="0"/>
        <w:tabs>
          <w:tab w:val="left" w:pos="0"/>
        </w:tabs>
        <w:spacing w:line="360" w:lineRule="auto"/>
        <w:jc w:val="both"/>
        <w:rPr>
          <w:rFonts w:ascii="Arial" w:hAnsi="Arial"/>
          <w:spacing w:val="-3"/>
          <w:lang w:val="es-ES_tradnl"/>
        </w:rPr>
      </w:pPr>
      <w:r>
        <w:rPr>
          <w:rFonts w:ascii="Arial" w:hAnsi="Arial"/>
          <w:spacing w:val="-3"/>
          <w:lang w:val="es-ES_tradnl"/>
        </w:rPr>
        <w:t>Se considera que la evidencia de auditoría obtenida brinda una base suficiente y apropiada para sustentar la opinión.</w:t>
      </w:r>
    </w:p>
    <w:p w:rsidR="002142ED" w:rsidRDefault="002142ED" w:rsidP="00265608">
      <w:pPr>
        <w:widowControl w:val="0"/>
        <w:tabs>
          <w:tab w:val="left" w:pos="0"/>
        </w:tabs>
        <w:spacing w:line="360" w:lineRule="auto"/>
        <w:jc w:val="both"/>
        <w:rPr>
          <w:rFonts w:ascii="Arial" w:hAnsi="Arial"/>
          <w:spacing w:val="-3"/>
          <w:lang w:val="es-ES_tradnl"/>
        </w:rPr>
      </w:pPr>
    </w:p>
    <w:p w:rsidR="002142ED" w:rsidRDefault="002142ED" w:rsidP="00265608">
      <w:pPr>
        <w:widowControl w:val="0"/>
        <w:tabs>
          <w:tab w:val="left" w:pos="0"/>
        </w:tabs>
        <w:spacing w:line="360" w:lineRule="auto"/>
        <w:jc w:val="both"/>
        <w:rPr>
          <w:rFonts w:ascii="Arial" w:hAnsi="Arial"/>
          <w:b/>
          <w:spacing w:val="-3"/>
          <w:lang w:val="es-ES_tradnl"/>
        </w:rPr>
      </w:pPr>
      <w:r>
        <w:rPr>
          <w:rFonts w:ascii="Arial" w:hAnsi="Arial"/>
          <w:b/>
          <w:spacing w:val="-3"/>
          <w:lang w:val="es-ES_tradnl"/>
        </w:rPr>
        <w:t>Opinión</w:t>
      </w:r>
    </w:p>
    <w:p w:rsidR="002142ED" w:rsidRDefault="002142ED" w:rsidP="00265608">
      <w:pPr>
        <w:widowControl w:val="0"/>
        <w:spacing w:line="360" w:lineRule="auto"/>
        <w:jc w:val="both"/>
        <w:rPr>
          <w:rFonts w:ascii="Arial" w:hAnsi="Arial"/>
          <w:spacing w:val="-3"/>
          <w:lang w:val="es-ES_tradnl"/>
        </w:rPr>
      </w:pPr>
      <w:r>
        <w:rPr>
          <w:rFonts w:ascii="Arial" w:hAnsi="Arial"/>
          <w:spacing w:val="-3"/>
          <w:lang w:val="es-ES_tradnl"/>
        </w:rPr>
        <w:t xml:space="preserve">En opinión del Tribunal de Cuentas, el estado mencionado presenta razonablemente en todos sus aspectos importantes, la ejecución presupuestal de </w:t>
      </w:r>
      <w:r>
        <w:rPr>
          <w:rFonts w:ascii="Arial" w:hAnsi="Arial"/>
        </w:rPr>
        <w:t>la Administración Nacional de Puertos</w:t>
      </w:r>
      <w:r>
        <w:rPr>
          <w:rFonts w:ascii="Arial" w:hAnsi="Arial"/>
          <w:spacing w:val="-3"/>
          <w:lang w:val="es-ES_tradnl"/>
        </w:rPr>
        <w:t xml:space="preserve">, </w:t>
      </w:r>
      <w:r>
        <w:rPr>
          <w:rFonts w:ascii="Arial" w:hAnsi="Arial"/>
        </w:rPr>
        <w:t>correspondiente al período 1° de enero al 31 de diciembre de 2012</w:t>
      </w:r>
      <w:r>
        <w:rPr>
          <w:rFonts w:ascii="Arial" w:hAnsi="Arial"/>
          <w:spacing w:val="-3"/>
          <w:lang w:val="es-ES_tradnl"/>
        </w:rPr>
        <w:t xml:space="preserve">, de acuerdo con las disposiciones legales aplicables, las normas y los criterios establecidos en el TOCAF, en la Ordenanza Nº 75 de este Tribunal y en el Decreto Nº </w:t>
      </w:r>
      <w:r>
        <w:rPr>
          <w:rFonts w:ascii="Arial" w:hAnsi="Arial" w:cs="Arial"/>
        </w:rPr>
        <w:t xml:space="preserve">236/012 de 30/07/2012 </w:t>
      </w:r>
      <w:r>
        <w:rPr>
          <w:rFonts w:ascii="Arial" w:hAnsi="Arial"/>
          <w:spacing w:val="-3"/>
          <w:lang w:val="es-ES_tradnl"/>
        </w:rPr>
        <w:t>aprobatorio del Presupuesto del ejercicio 2012.</w:t>
      </w:r>
    </w:p>
    <w:p w:rsidR="002142ED" w:rsidRDefault="002142ED" w:rsidP="00265608">
      <w:pPr>
        <w:spacing w:line="360" w:lineRule="auto"/>
        <w:jc w:val="both"/>
        <w:rPr>
          <w:rFonts w:ascii="Arial" w:hAnsi="Arial" w:cs="Arial"/>
          <w:spacing w:val="-3"/>
          <w:lang w:val="es-ES_tradnl"/>
        </w:rPr>
      </w:pPr>
    </w:p>
    <w:p w:rsidR="002142ED" w:rsidRDefault="002142ED" w:rsidP="00265608">
      <w:pPr>
        <w:spacing w:line="360" w:lineRule="auto"/>
        <w:jc w:val="both"/>
        <w:rPr>
          <w:rFonts w:ascii="Arial" w:hAnsi="Arial" w:cs="Arial"/>
          <w:spacing w:val="-3"/>
        </w:rPr>
      </w:pPr>
      <w:r>
        <w:rPr>
          <w:rFonts w:ascii="Arial" w:hAnsi="Arial" w:cs="Arial"/>
          <w:spacing w:val="-3"/>
          <w:lang w:val="es-ES_tradnl"/>
        </w:rPr>
        <w:t>Con  relación al cumplimiento de las disposiciones legales que fueron objeto del examen, el Tribunal de Cuentas constató los siguientes incumplimientos:</w:t>
      </w:r>
      <w:r>
        <w:rPr>
          <w:rFonts w:ascii="Arial" w:hAnsi="Arial" w:cs="Arial"/>
          <w:spacing w:val="-3"/>
        </w:rPr>
        <w:t xml:space="preserve"> </w:t>
      </w:r>
    </w:p>
    <w:p w:rsidR="002142ED" w:rsidRDefault="002142ED" w:rsidP="00265608">
      <w:pPr>
        <w:spacing w:line="360" w:lineRule="auto"/>
        <w:jc w:val="both"/>
        <w:rPr>
          <w:rFonts w:ascii="Arial" w:hAnsi="Arial" w:cs="Arial"/>
          <w:spacing w:val="-3"/>
          <w:sz w:val="20"/>
        </w:rPr>
      </w:pPr>
    </w:p>
    <w:p w:rsidR="002142ED" w:rsidRDefault="002142ED" w:rsidP="002142ED">
      <w:pPr>
        <w:widowControl w:val="0"/>
        <w:numPr>
          <w:ilvl w:val="0"/>
          <w:numId w:val="2"/>
        </w:numPr>
        <w:tabs>
          <w:tab w:val="clear" w:pos="907"/>
          <w:tab w:val="num" w:pos="360"/>
        </w:tabs>
        <w:spacing w:line="360" w:lineRule="auto"/>
        <w:ind w:left="720" w:hanging="720"/>
        <w:jc w:val="both"/>
        <w:rPr>
          <w:rFonts w:ascii="Arial" w:hAnsi="Arial" w:cs="Arial"/>
        </w:rPr>
      </w:pPr>
      <w:r>
        <w:rPr>
          <w:rFonts w:ascii="Arial" w:hAnsi="Arial" w:cs="Arial"/>
          <w:b/>
        </w:rPr>
        <w:t xml:space="preserve">Artículo 87 de la Ley Nº 14.416 </w:t>
      </w:r>
    </w:p>
    <w:p w:rsidR="002142ED" w:rsidRDefault="002142ED" w:rsidP="00265608">
      <w:pPr>
        <w:pStyle w:val="Textoindependiente21"/>
        <w:tabs>
          <w:tab w:val="clear" w:pos="-720"/>
        </w:tabs>
        <w:suppressAutoHyphens w:val="0"/>
        <w:spacing w:line="360" w:lineRule="auto"/>
        <w:rPr>
          <w:rFonts w:ascii="Arial" w:hAnsi="Arial" w:cs="Arial"/>
          <w:bCs/>
        </w:rPr>
      </w:pPr>
      <w:r>
        <w:rPr>
          <w:rFonts w:ascii="Arial" w:hAnsi="Arial"/>
          <w:lang w:val="es-ES"/>
        </w:rPr>
        <w:t>Por haber superado el tope establecido para las horas extras del</w:t>
      </w:r>
      <w:r>
        <w:rPr>
          <w:rFonts w:ascii="Arial" w:hAnsi="Arial" w:cs="Arial"/>
          <w:bCs/>
        </w:rPr>
        <w:t xml:space="preserve"> 5% de la imputación anual destinada al pago de sueldos básicos.</w:t>
      </w:r>
    </w:p>
    <w:p w:rsidR="002142ED" w:rsidRDefault="002142ED" w:rsidP="00265608">
      <w:pPr>
        <w:pStyle w:val="Textoindependiente21"/>
        <w:tabs>
          <w:tab w:val="clear" w:pos="-720"/>
        </w:tabs>
        <w:suppressAutoHyphens w:val="0"/>
        <w:spacing w:line="360" w:lineRule="auto"/>
        <w:rPr>
          <w:rFonts w:ascii="Arial" w:hAnsi="Arial" w:cs="Arial"/>
          <w:bCs/>
          <w:sz w:val="20"/>
        </w:rPr>
      </w:pPr>
    </w:p>
    <w:p w:rsidR="002142ED" w:rsidRDefault="002142ED" w:rsidP="002142ED">
      <w:pPr>
        <w:widowControl w:val="0"/>
        <w:numPr>
          <w:ilvl w:val="0"/>
          <w:numId w:val="2"/>
        </w:numPr>
        <w:tabs>
          <w:tab w:val="clear" w:pos="907"/>
          <w:tab w:val="num" w:pos="360"/>
        </w:tabs>
        <w:spacing w:line="360" w:lineRule="auto"/>
        <w:ind w:left="720" w:hanging="720"/>
        <w:jc w:val="both"/>
        <w:rPr>
          <w:rFonts w:ascii="Arial" w:hAnsi="Arial" w:cs="Arial"/>
          <w:b/>
        </w:rPr>
      </w:pPr>
      <w:r>
        <w:rPr>
          <w:rFonts w:ascii="Arial" w:hAnsi="Arial" w:cs="Arial"/>
          <w:b/>
        </w:rPr>
        <w:t xml:space="preserve">Artículo 7 Literal H) del Decreto Nº 236/012 de 30/07/2012 </w:t>
      </w:r>
    </w:p>
    <w:p w:rsidR="002142ED" w:rsidRDefault="002142ED" w:rsidP="00265608">
      <w:pPr>
        <w:pStyle w:val="Textoindependiente21"/>
        <w:tabs>
          <w:tab w:val="clear" w:pos="-720"/>
        </w:tabs>
        <w:suppressAutoHyphens w:val="0"/>
        <w:spacing w:line="360" w:lineRule="auto"/>
        <w:rPr>
          <w:rFonts w:ascii="Arial" w:hAnsi="Arial" w:cs="Arial"/>
          <w:bCs/>
        </w:rPr>
      </w:pPr>
      <w:r>
        <w:rPr>
          <w:rFonts w:ascii="Arial" w:hAnsi="Arial" w:cs="Arial"/>
          <w:bCs/>
        </w:rPr>
        <w:t>Por autorizar la realización de más de 80 horas extras por funcionario en el mes.</w:t>
      </w:r>
    </w:p>
    <w:p w:rsidR="002142ED" w:rsidRDefault="002142ED" w:rsidP="00265608">
      <w:pPr>
        <w:pStyle w:val="Textoindependiente21"/>
        <w:tabs>
          <w:tab w:val="clear" w:pos="-720"/>
        </w:tabs>
        <w:suppressAutoHyphens w:val="0"/>
        <w:spacing w:line="360" w:lineRule="auto"/>
        <w:rPr>
          <w:rFonts w:ascii="Arial" w:hAnsi="Arial" w:cs="Arial"/>
          <w:bCs/>
        </w:rPr>
      </w:pPr>
    </w:p>
    <w:p w:rsidR="00166179" w:rsidRDefault="00166179" w:rsidP="00265608">
      <w:pPr>
        <w:pStyle w:val="Textoindependiente21"/>
        <w:tabs>
          <w:tab w:val="clear" w:pos="-720"/>
        </w:tabs>
        <w:suppressAutoHyphens w:val="0"/>
        <w:spacing w:line="360" w:lineRule="auto"/>
        <w:rPr>
          <w:rFonts w:ascii="Arial" w:hAnsi="Arial" w:cs="Arial"/>
          <w:bCs/>
        </w:rPr>
      </w:pPr>
    </w:p>
    <w:p w:rsidR="002142ED" w:rsidRDefault="002142ED" w:rsidP="002142ED">
      <w:pPr>
        <w:widowControl w:val="0"/>
        <w:numPr>
          <w:ilvl w:val="0"/>
          <w:numId w:val="2"/>
        </w:numPr>
        <w:tabs>
          <w:tab w:val="clear" w:pos="907"/>
          <w:tab w:val="num" w:pos="360"/>
        </w:tabs>
        <w:spacing w:line="360" w:lineRule="auto"/>
        <w:ind w:left="720" w:hanging="720"/>
        <w:jc w:val="both"/>
        <w:rPr>
          <w:rFonts w:ascii="Arial" w:hAnsi="Arial" w:cs="Arial"/>
          <w:b/>
        </w:rPr>
      </w:pPr>
      <w:r>
        <w:rPr>
          <w:rFonts w:ascii="Arial" w:hAnsi="Arial" w:cs="Arial"/>
          <w:b/>
        </w:rPr>
        <w:lastRenderedPageBreak/>
        <w:t>Artículo 11 del Decreto Nº 236/012 de 30/07/2012</w:t>
      </w:r>
    </w:p>
    <w:p w:rsidR="002142ED" w:rsidRDefault="002142ED" w:rsidP="00265608">
      <w:pPr>
        <w:widowControl w:val="0"/>
        <w:spacing w:line="360" w:lineRule="auto"/>
        <w:jc w:val="both"/>
        <w:rPr>
          <w:rFonts w:ascii="Arial" w:hAnsi="Arial" w:cs="Arial"/>
        </w:rPr>
      </w:pPr>
      <w:r>
        <w:rPr>
          <w:rFonts w:ascii="Arial" w:hAnsi="Arial" w:cs="Arial"/>
        </w:rPr>
        <w:t>Por no comunicar al Tribunal de Cuentas la adecuación presupuestal a precios enero-diciembre de 2012.</w:t>
      </w:r>
    </w:p>
    <w:p w:rsidR="002142ED" w:rsidRDefault="002142ED" w:rsidP="00265608">
      <w:pPr>
        <w:widowControl w:val="0"/>
        <w:spacing w:line="360" w:lineRule="auto"/>
        <w:ind w:left="720"/>
        <w:jc w:val="both"/>
        <w:rPr>
          <w:rFonts w:ascii="Arial" w:hAnsi="Arial" w:cs="Arial"/>
          <w:b/>
        </w:rPr>
      </w:pPr>
    </w:p>
    <w:p w:rsidR="002142ED" w:rsidRDefault="002142ED" w:rsidP="002142ED">
      <w:pPr>
        <w:widowControl w:val="0"/>
        <w:numPr>
          <w:ilvl w:val="0"/>
          <w:numId w:val="2"/>
        </w:numPr>
        <w:tabs>
          <w:tab w:val="clear" w:pos="907"/>
          <w:tab w:val="num" w:pos="360"/>
        </w:tabs>
        <w:spacing w:line="360" w:lineRule="auto"/>
        <w:ind w:left="720" w:hanging="720"/>
        <w:jc w:val="both"/>
        <w:rPr>
          <w:rFonts w:ascii="Arial" w:hAnsi="Arial" w:cs="Arial"/>
          <w:b/>
          <w:bCs/>
          <w:spacing w:val="-3"/>
          <w:szCs w:val="24"/>
        </w:rPr>
      </w:pPr>
      <w:r>
        <w:rPr>
          <w:rFonts w:ascii="Arial" w:hAnsi="Arial" w:cs="Arial"/>
          <w:b/>
          <w:bCs/>
          <w:spacing w:val="-3"/>
          <w:szCs w:val="24"/>
        </w:rPr>
        <w:t>Artículo 17 del Decreto Nº 236/012 de 30/07/2012</w:t>
      </w:r>
    </w:p>
    <w:p w:rsidR="002142ED" w:rsidRDefault="002142ED" w:rsidP="00265608">
      <w:pPr>
        <w:pStyle w:val="Textoindependiente21"/>
        <w:tabs>
          <w:tab w:val="clear" w:pos="-720"/>
        </w:tabs>
        <w:suppressAutoHyphens w:val="0"/>
        <w:spacing w:line="360" w:lineRule="auto"/>
        <w:rPr>
          <w:rFonts w:ascii="Arial" w:hAnsi="Arial" w:cs="Arial"/>
          <w:szCs w:val="24"/>
        </w:rPr>
      </w:pPr>
      <w:r>
        <w:rPr>
          <w:rFonts w:ascii="Arial" w:hAnsi="Arial" w:cs="Arial"/>
          <w:szCs w:val="24"/>
        </w:rPr>
        <w:t>El Organismo no comunicó al 31/01/2012, a la Oficina de Planeamiento y Presupuesto las vacantes eliminadas, generadas entre el 1º de junio de 2011 y el 31 de diciembre de 2011</w:t>
      </w:r>
    </w:p>
    <w:p w:rsidR="002142ED" w:rsidRDefault="002142ED" w:rsidP="00265608">
      <w:pPr>
        <w:pStyle w:val="Textoindependiente21"/>
        <w:tabs>
          <w:tab w:val="clear" w:pos="-720"/>
        </w:tabs>
        <w:suppressAutoHyphens w:val="0"/>
        <w:spacing w:line="360" w:lineRule="auto"/>
        <w:rPr>
          <w:rFonts w:ascii="Arial" w:hAnsi="Arial" w:cs="Arial"/>
          <w:szCs w:val="24"/>
        </w:rPr>
      </w:pPr>
    </w:p>
    <w:p w:rsidR="002142ED" w:rsidRDefault="002142ED" w:rsidP="002142ED">
      <w:pPr>
        <w:widowControl w:val="0"/>
        <w:numPr>
          <w:ilvl w:val="0"/>
          <w:numId w:val="2"/>
        </w:numPr>
        <w:tabs>
          <w:tab w:val="clear" w:pos="907"/>
          <w:tab w:val="num" w:pos="360"/>
        </w:tabs>
        <w:spacing w:line="360" w:lineRule="auto"/>
        <w:ind w:left="720" w:hanging="720"/>
        <w:jc w:val="both"/>
        <w:rPr>
          <w:rFonts w:ascii="Arial" w:hAnsi="Arial"/>
          <w:spacing w:val="-3"/>
          <w:lang w:val="es-ES_tradnl"/>
        </w:rPr>
      </w:pPr>
      <w:r>
        <w:rPr>
          <w:rFonts w:ascii="Arial" w:hAnsi="Arial" w:cs="Arial"/>
          <w:b/>
          <w:lang w:val="es-ES_tradnl"/>
        </w:rPr>
        <w:t>Incumplimientos relacionados con el proceso del gasto</w:t>
      </w:r>
    </w:p>
    <w:p w:rsidR="002142ED" w:rsidRPr="00166179" w:rsidRDefault="002142ED" w:rsidP="00265608">
      <w:pPr>
        <w:pStyle w:val="Textoindependiente21"/>
        <w:spacing w:line="360" w:lineRule="auto"/>
        <w:rPr>
          <w:rStyle w:val="nfasis"/>
          <w:rFonts w:ascii="Arial" w:hAnsi="Arial"/>
          <w:bCs/>
          <w:i w:val="0"/>
          <w:snapToGrid w:val="0"/>
          <w:szCs w:val="24"/>
        </w:rPr>
      </w:pPr>
      <w:r>
        <w:rPr>
          <w:rFonts w:ascii="Arial" w:hAnsi="Arial"/>
          <w:bCs/>
          <w:szCs w:val="24"/>
        </w:rPr>
        <w:t>Asimismo, durante ejercicio 2012 los Contadores Delegados</w:t>
      </w:r>
      <w:r>
        <w:rPr>
          <w:rStyle w:val="nfasis"/>
          <w:rFonts w:ascii="Arial" w:hAnsi="Arial"/>
          <w:bCs/>
          <w:snapToGrid w:val="0"/>
          <w:szCs w:val="24"/>
        </w:rPr>
        <w:t xml:space="preserve"> </w:t>
      </w:r>
      <w:r w:rsidRPr="00166179">
        <w:rPr>
          <w:rStyle w:val="nfasis"/>
          <w:rFonts w:ascii="Arial" w:hAnsi="Arial"/>
          <w:bCs/>
          <w:i w:val="0"/>
          <w:snapToGrid w:val="0"/>
          <w:szCs w:val="24"/>
        </w:rPr>
        <w:t>y el Tribunal de Cuentas observaron gastos por incumplimiento de:</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Artículo 190  (gastos no correspondiente al  giro)</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Artículo 211 Literal B) de la Constitución de la República,</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 xml:space="preserve">Artículo 37 de la Ley 17556 ( derechos de los contratados), </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 xml:space="preserve">Artículos 4 y 37 de la Ley 18834 (omisión de publicidad de  llamado y perfeccionamiento del contrato), </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Artículo 41 de la Ley 18046 ( requisito para la contratación de zafrales),</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 xml:space="preserve"> Artículo 54 de la Ley 18719 ( requisitos para contratación de zafrales),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 xml:space="preserve">Artículo 207 del TOFUP (por ocupar dos cargos públicos)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 xml:space="preserve">Decreto 395/98, Res. MEF 31/12/98 “Clasificador del gasto”,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 xml:space="preserve">Artículo 5 Decreto 376/006 (derechos de los contratados), </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bCs/>
          <w:i w:val="0"/>
          <w:snapToGrid w:val="0"/>
          <w:szCs w:val="24"/>
        </w:rPr>
        <w:t xml:space="preserve">Artículos 13, 15, 21, 32, 33, 43, 52, 54, 56 Inciso 5), 63, 89, 90 y 131 Literal F) del TOCAF, </w:t>
      </w:r>
    </w:p>
    <w:p w:rsidR="002142ED" w:rsidRPr="00166179" w:rsidRDefault="002142ED" w:rsidP="002142ED">
      <w:pPr>
        <w:pStyle w:val="Textoindependiente21"/>
        <w:numPr>
          <w:ilvl w:val="0"/>
          <w:numId w:val="3"/>
        </w:numPr>
        <w:spacing w:line="360" w:lineRule="auto"/>
        <w:rPr>
          <w:rStyle w:val="nfasis"/>
          <w:rFonts w:ascii="Arial" w:hAnsi="Arial"/>
          <w:bCs/>
          <w:i w:val="0"/>
          <w:snapToGrid w:val="0"/>
          <w:szCs w:val="24"/>
        </w:rPr>
      </w:pPr>
      <w:r w:rsidRPr="00166179">
        <w:rPr>
          <w:rStyle w:val="nfasis"/>
          <w:rFonts w:ascii="Arial" w:hAnsi="Arial" w:cs="Arial"/>
          <w:bCs/>
          <w:i w:val="0"/>
          <w:snapToGrid w:val="0"/>
          <w:szCs w:val="24"/>
        </w:rPr>
        <w:t>Res. PE 22/01/10 recontratación de zafrales,</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Fonts w:ascii="Arial" w:hAnsi="Arial" w:cs="Arial"/>
        </w:rPr>
        <w:t xml:space="preserve">Resolución DGI 688/992   (formalidad </w:t>
      </w:r>
      <w:r w:rsidRPr="00166179">
        <w:rPr>
          <w:rStyle w:val="nfasis"/>
          <w:rFonts w:ascii="Arial" w:hAnsi="Arial" w:cs="Arial"/>
          <w:bCs/>
          <w:i w:val="0"/>
          <w:snapToGrid w:val="0"/>
          <w:szCs w:val="24"/>
        </w:rPr>
        <w:t xml:space="preserve">de las facturas), </w:t>
      </w:r>
    </w:p>
    <w:p w:rsidR="002142ED" w:rsidRPr="00166179" w:rsidRDefault="002142ED" w:rsidP="002142ED">
      <w:pPr>
        <w:pStyle w:val="Textoindependiente21"/>
        <w:numPr>
          <w:ilvl w:val="0"/>
          <w:numId w:val="3"/>
        </w:numPr>
        <w:spacing w:line="360" w:lineRule="auto"/>
        <w:rPr>
          <w:rFonts w:ascii="Arial" w:hAnsi="Arial" w:cs="Arial"/>
          <w:bCs/>
          <w:iCs/>
          <w:snapToGrid w:val="0"/>
          <w:szCs w:val="24"/>
        </w:rPr>
      </w:pPr>
      <w:r w:rsidRPr="00166179">
        <w:rPr>
          <w:rStyle w:val="nfasis"/>
          <w:rFonts w:ascii="Arial" w:hAnsi="Arial"/>
          <w:bCs/>
          <w:i w:val="0"/>
          <w:snapToGrid w:val="0"/>
          <w:szCs w:val="24"/>
        </w:rPr>
        <w:t>Artículo</w:t>
      </w:r>
      <w:r w:rsidRPr="00166179">
        <w:rPr>
          <w:rFonts w:ascii="Arial" w:hAnsi="Arial" w:cs="Arial"/>
        </w:rPr>
        <w:t xml:space="preserve"> 40 del Reglamento de compras de la ANP,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 xml:space="preserve">RD 4/3623 Reglamento de viáticos de la ANP,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 xml:space="preserve">Reglamento de Caja Chica de la ANP,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Art</w:t>
      </w:r>
      <w:r w:rsidR="00166179">
        <w:rPr>
          <w:rStyle w:val="nfasis"/>
          <w:rFonts w:ascii="Arial" w:hAnsi="Arial" w:cs="Arial"/>
          <w:bCs/>
          <w:i w:val="0"/>
          <w:snapToGrid w:val="0"/>
          <w:szCs w:val="24"/>
        </w:rPr>
        <w:t>í</w:t>
      </w:r>
      <w:r w:rsidRPr="00166179">
        <w:rPr>
          <w:rStyle w:val="nfasis"/>
          <w:rFonts w:ascii="Arial" w:hAnsi="Arial" w:cs="Arial"/>
          <w:bCs/>
          <w:i w:val="0"/>
          <w:snapToGrid w:val="0"/>
          <w:szCs w:val="24"/>
        </w:rPr>
        <w:t xml:space="preserve">culos 3, 5 y 7 contrato 1534 LP10816 (alcance de trabajos, liquidación </w:t>
      </w:r>
      <w:r w:rsidRPr="00166179">
        <w:rPr>
          <w:rStyle w:val="nfasis"/>
          <w:rFonts w:ascii="Arial" w:hAnsi="Arial" w:cs="Arial"/>
          <w:bCs/>
          <w:i w:val="0"/>
          <w:snapToGrid w:val="0"/>
          <w:szCs w:val="24"/>
        </w:rPr>
        <w:lastRenderedPageBreak/>
        <w:t xml:space="preserve">y pago y plazo de las obras), </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RD 28/3428 de 5/2/2007 (pago retiro incentivado a personal dado de baja),</w:t>
      </w:r>
    </w:p>
    <w:p w:rsidR="002142ED" w:rsidRPr="00166179" w:rsidRDefault="002142ED" w:rsidP="002142ED">
      <w:pPr>
        <w:pStyle w:val="Textoindependiente21"/>
        <w:numPr>
          <w:ilvl w:val="0"/>
          <w:numId w:val="3"/>
        </w:numPr>
        <w:spacing w:line="360" w:lineRule="auto"/>
        <w:rPr>
          <w:rStyle w:val="nfasis"/>
          <w:rFonts w:ascii="Arial" w:hAnsi="Arial" w:cs="Arial"/>
          <w:bCs/>
          <w:i w:val="0"/>
          <w:snapToGrid w:val="0"/>
          <w:szCs w:val="24"/>
        </w:rPr>
      </w:pPr>
      <w:r w:rsidRPr="00166179">
        <w:rPr>
          <w:rStyle w:val="nfasis"/>
          <w:rFonts w:ascii="Arial" w:hAnsi="Arial" w:cs="Arial"/>
          <w:bCs/>
          <w:i w:val="0"/>
          <w:snapToGrid w:val="0"/>
          <w:szCs w:val="24"/>
        </w:rPr>
        <w:t xml:space="preserve">Convenio ANP- SUANP (incumplimiento de cláusulas del convenio) y </w:t>
      </w:r>
    </w:p>
    <w:p w:rsidR="002142ED" w:rsidRPr="00166179" w:rsidRDefault="002142ED" w:rsidP="00265608">
      <w:pPr>
        <w:pStyle w:val="Textoindependiente21"/>
        <w:spacing w:line="360" w:lineRule="auto"/>
        <w:rPr>
          <w:rStyle w:val="nfasis"/>
          <w:rFonts w:ascii="Arial" w:hAnsi="Arial"/>
          <w:bCs/>
          <w:i w:val="0"/>
          <w:snapToGrid w:val="0"/>
          <w:szCs w:val="24"/>
        </w:rPr>
      </w:pPr>
      <w:r w:rsidRPr="00166179">
        <w:rPr>
          <w:rStyle w:val="nfasis"/>
          <w:rFonts w:ascii="Arial" w:hAnsi="Arial"/>
          <w:bCs/>
          <w:i w:val="0"/>
          <w:snapToGrid w:val="0"/>
          <w:szCs w:val="24"/>
        </w:rPr>
        <w:t xml:space="preserve">           </w:t>
      </w:r>
      <w:proofErr w:type="gramStart"/>
      <w:r w:rsidRPr="00166179">
        <w:rPr>
          <w:rStyle w:val="nfasis"/>
          <w:rFonts w:ascii="Arial" w:hAnsi="Arial"/>
          <w:bCs/>
          <w:i w:val="0"/>
          <w:snapToGrid w:val="0"/>
          <w:szCs w:val="24"/>
        </w:rPr>
        <w:t>los</w:t>
      </w:r>
      <w:proofErr w:type="gramEnd"/>
      <w:r w:rsidRPr="00166179">
        <w:rPr>
          <w:rStyle w:val="nfasis"/>
          <w:rFonts w:ascii="Arial" w:hAnsi="Arial"/>
          <w:bCs/>
          <w:i w:val="0"/>
          <w:snapToGrid w:val="0"/>
          <w:szCs w:val="24"/>
        </w:rPr>
        <w:t xml:space="preserve"> que fueron reiterados por el Ordenador competente.</w:t>
      </w:r>
    </w:p>
    <w:p w:rsidR="002142ED" w:rsidRDefault="002142ED" w:rsidP="00265608">
      <w:pPr>
        <w:jc w:val="right"/>
        <w:rPr>
          <w:rFonts w:ascii="Arial" w:hAnsi="Arial" w:cs="Arial"/>
        </w:rPr>
      </w:pPr>
      <w:r w:rsidRPr="00166179">
        <w:rPr>
          <w:rFonts w:ascii="Arial" w:hAnsi="Arial" w:cs="Arial"/>
        </w:rPr>
        <w:t>Montevideo, 30 de set</w:t>
      </w:r>
      <w:r>
        <w:rPr>
          <w:rFonts w:ascii="Arial" w:hAnsi="Arial" w:cs="Arial"/>
        </w:rPr>
        <w:t>iembre de 2013</w:t>
      </w:r>
    </w:p>
    <w:p w:rsidR="002142ED" w:rsidRDefault="002142ED"/>
    <w:p w:rsidR="002142ED" w:rsidRDefault="002142ED"/>
    <w:p w:rsidR="002142ED" w:rsidRDefault="002142ED"/>
    <w:p w:rsidR="002142ED" w:rsidRDefault="002142ED" w:rsidP="00265608">
      <w:pPr>
        <w:spacing w:line="360" w:lineRule="auto"/>
        <w:jc w:val="center"/>
        <w:rPr>
          <w:rFonts w:ascii="Arial" w:hAnsi="Arial" w:cs="Arial"/>
          <w:b/>
        </w:rPr>
      </w:pPr>
      <w:r>
        <w:rPr>
          <w:rFonts w:ascii="Arial" w:hAnsi="Arial" w:cs="Arial"/>
          <w:b/>
        </w:rPr>
        <w:t>INFORME A LA ADMINISTRACIÓN</w:t>
      </w:r>
    </w:p>
    <w:p w:rsidR="002A4A4B" w:rsidRDefault="002A4A4B" w:rsidP="00265608">
      <w:pPr>
        <w:spacing w:line="360" w:lineRule="auto"/>
        <w:jc w:val="center"/>
        <w:rPr>
          <w:rFonts w:ascii="Arial" w:hAnsi="Arial" w:cs="Arial"/>
          <w:b/>
        </w:rPr>
      </w:pPr>
    </w:p>
    <w:p w:rsidR="002142ED" w:rsidRDefault="002142ED" w:rsidP="00265608">
      <w:pPr>
        <w:spacing w:line="360" w:lineRule="auto"/>
        <w:jc w:val="both"/>
        <w:rPr>
          <w:rFonts w:ascii="Arial" w:hAnsi="Arial" w:cs="Arial"/>
        </w:rPr>
      </w:pPr>
      <w:r>
        <w:rPr>
          <w:rFonts w:ascii="Arial" w:hAnsi="Arial" w:cs="Arial"/>
        </w:rPr>
        <w:t>El Tribunal de Cuentas ha examinado el Estado de Ejecución Presupuestal al 31 de diciembre de 2012 de la Administración Nacional de Puertos (ANP) y ha emitido su Dictamen.</w:t>
      </w:r>
    </w:p>
    <w:p w:rsidR="002142ED" w:rsidRDefault="002142ED" w:rsidP="00265608">
      <w:pPr>
        <w:spacing w:line="360" w:lineRule="auto"/>
        <w:jc w:val="both"/>
        <w:rPr>
          <w:rFonts w:ascii="Arial" w:hAnsi="Arial" w:cs="Arial"/>
        </w:rPr>
      </w:pPr>
      <w:r>
        <w:rPr>
          <w:rFonts w:ascii="Arial" w:hAnsi="Arial" w:cs="Arial"/>
        </w:rPr>
        <w:t>Este informe incluye comentarios que se ha entendido conveniente exponer, relacionados a la situación de determinados capítulos y rubros del estado examinado y a disposiciones legales vigentes.</w:t>
      </w:r>
    </w:p>
    <w:p w:rsidR="002142ED" w:rsidRDefault="002142ED" w:rsidP="00265608">
      <w:pPr>
        <w:spacing w:line="360" w:lineRule="auto"/>
        <w:jc w:val="both"/>
        <w:rPr>
          <w:rFonts w:ascii="Arial" w:hAnsi="Arial" w:cs="Arial"/>
        </w:rPr>
      </w:pPr>
      <w:r>
        <w:rPr>
          <w:rFonts w:ascii="Arial" w:hAnsi="Arial" w:cs="Arial"/>
        </w:rPr>
        <w:t xml:space="preserve">También se agregan las principales recomendaciones que </w:t>
      </w:r>
      <w:proofErr w:type="gramStart"/>
      <w:r>
        <w:rPr>
          <w:rFonts w:ascii="Arial" w:hAnsi="Arial" w:cs="Arial"/>
        </w:rPr>
        <w:t>deberá</w:t>
      </w:r>
      <w:proofErr w:type="gramEnd"/>
      <w:r>
        <w:rPr>
          <w:rFonts w:ascii="Arial" w:hAnsi="Arial" w:cs="Arial"/>
        </w:rPr>
        <w:t xml:space="preserve"> atender el Organismo y una evaluación del cumplimiento de las recomendaciones efectuadas en el informe de auditoría del ejercicio anterior.</w:t>
      </w:r>
    </w:p>
    <w:p w:rsidR="002142ED" w:rsidRDefault="002142ED" w:rsidP="00265608">
      <w:pPr>
        <w:spacing w:line="360" w:lineRule="auto"/>
        <w:jc w:val="both"/>
        <w:rPr>
          <w:rFonts w:ascii="Arial" w:hAnsi="Arial" w:cs="Arial"/>
        </w:rPr>
      </w:pPr>
    </w:p>
    <w:p w:rsidR="002142ED" w:rsidRDefault="002142ED" w:rsidP="00265608">
      <w:pPr>
        <w:spacing w:line="360" w:lineRule="auto"/>
        <w:jc w:val="both"/>
        <w:rPr>
          <w:rFonts w:ascii="Arial" w:hAnsi="Arial" w:cs="Arial"/>
          <w:b/>
        </w:rPr>
      </w:pPr>
      <w:r>
        <w:rPr>
          <w:rFonts w:ascii="Arial" w:hAnsi="Arial" w:cs="Arial"/>
          <w:b/>
        </w:rPr>
        <w:t>1. Aprobación y presentación del Estado de Ejecución Presupuestal</w:t>
      </w:r>
    </w:p>
    <w:p w:rsidR="002142ED" w:rsidRDefault="002142ED" w:rsidP="00265608">
      <w:pPr>
        <w:spacing w:line="360" w:lineRule="auto"/>
        <w:jc w:val="both"/>
        <w:rPr>
          <w:rFonts w:ascii="Arial" w:hAnsi="Arial" w:cs="Arial"/>
        </w:rPr>
      </w:pPr>
      <w:r>
        <w:rPr>
          <w:rFonts w:ascii="Arial" w:hAnsi="Arial" w:cs="Arial"/>
        </w:rPr>
        <w:t>El mencionado Estado de Ejecución fue aprobado por Resolución de Directorio Nº 52/13 de fecha 30/05/2013 (Expediente ANP 130941) y remitido a este Tribunal con fecha 31/05/2013, dentro del plazo establecido por la Ordenanza Nº 75.</w:t>
      </w:r>
    </w:p>
    <w:p w:rsidR="002142ED" w:rsidRDefault="002142ED" w:rsidP="00265608">
      <w:pPr>
        <w:spacing w:line="360" w:lineRule="auto"/>
        <w:jc w:val="both"/>
        <w:rPr>
          <w:rFonts w:ascii="Arial" w:hAnsi="Arial" w:cs="Arial"/>
        </w:rPr>
      </w:pPr>
    </w:p>
    <w:p w:rsidR="002142ED" w:rsidRDefault="002142ED" w:rsidP="00265608">
      <w:pPr>
        <w:spacing w:line="360" w:lineRule="auto"/>
        <w:jc w:val="both"/>
        <w:rPr>
          <w:rFonts w:ascii="Arial" w:hAnsi="Arial" w:cs="Arial"/>
          <w:b/>
        </w:rPr>
      </w:pPr>
      <w:r>
        <w:rPr>
          <w:rFonts w:ascii="Arial" w:hAnsi="Arial" w:cs="Arial"/>
          <w:b/>
        </w:rPr>
        <w:t>2. Situaciones constatadas</w:t>
      </w:r>
    </w:p>
    <w:p w:rsidR="002142ED" w:rsidRDefault="002142ED" w:rsidP="002142ED">
      <w:pPr>
        <w:numPr>
          <w:ilvl w:val="1"/>
          <w:numId w:val="6"/>
        </w:numPr>
        <w:spacing w:line="360" w:lineRule="auto"/>
        <w:ind w:left="709" w:hanging="425"/>
        <w:jc w:val="both"/>
        <w:rPr>
          <w:rFonts w:ascii="Arial" w:hAnsi="Arial" w:cs="Arial"/>
        </w:rPr>
      </w:pPr>
      <w:r>
        <w:rPr>
          <w:rFonts w:ascii="Arial" w:hAnsi="Arial" w:cs="Arial"/>
        </w:rPr>
        <w:t>El Organismo no comunicó al Tribunal de Cuentas  la adecuación a precios promedio enero-dicie</w:t>
      </w:r>
      <w:r w:rsidR="00166179">
        <w:rPr>
          <w:rFonts w:ascii="Arial" w:hAnsi="Arial" w:cs="Arial"/>
        </w:rPr>
        <w:t>mbre de 2012 aprobada por RD N°</w:t>
      </w:r>
      <w:r>
        <w:rPr>
          <w:rFonts w:ascii="Arial" w:hAnsi="Arial" w:cs="Arial"/>
        </w:rPr>
        <w:t xml:space="preserve">752/3665 de fecha 18/12/12. Si bien la misma fue comunicada a la OPP, quien dio su conformidad por nota de fecha 22/01/2013, el </w:t>
      </w:r>
      <w:r>
        <w:rPr>
          <w:rFonts w:ascii="Arial" w:hAnsi="Arial" w:cs="Arial"/>
        </w:rPr>
        <w:lastRenderedPageBreak/>
        <w:t>organismo no cumplió con la comunicación al Tribunal de Cuentas establecida en el Artículo 11 del Decreto 236/012 de 30/07/2012.</w:t>
      </w:r>
    </w:p>
    <w:p w:rsidR="00B46884" w:rsidRDefault="00B46884" w:rsidP="00B46884">
      <w:pPr>
        <w:spacing w:line="360" w:lineRule="auto"/>
        <w:ind w:left="709"/>
        <w:jc w:val="both"/>
        <w:rPr>
          <w:rFonts w:ascii="Arial" w:hAnsi="Arial" w:cs="Arial"/>
        </w:rPr>
      </w:pPr>
    </w:p>
    <w:p w:rsidR="002142ED" w:rsidRDefault="002142ED" w:rsidP="002142ED">
      <w:pPr>
        <w:numPr>
          <w:ilvl w:val="1"/>
          <w:numId w:val="6"/>
        </w:numPr>
        <w:spacing w:line="360" w:lineRule="auto"/>
        <w:ind w:hanging="76"/>
        <w:jc w:val="both"/>
        <w:rPr>
          <w:rFonts w:ascii="Arial" w:hAnsi="Arial" w:cs="Arial"/>
          <w:lang w:val="es-ES_tradnl"/>
        </w:rPr>
      </w:pPr>
      <w:r>
        <w:rPr>
          <w:rFonts w:ascii="Arial" w:hAnsi="Arial" w:cs="Arial"/>
        </w:rPr>
        <w:t>En re</w:t>
      </w:r>
      <w:proofErr w:type="spellStart"/>
      <w:r>
        <w:rPr>
          <w:rFonts w:ascii="Arial" w:hAnsi="Arial" w:cs="Arial"/>
          <w:lang w:val="es-ES_tradnl"/>
        </w:rPr>
        <w:t>ferencia</w:t>
      </w:r>
      <w:proofErr w:type="spellEnd"/>
      <w:r>
        <w:rPr>
          <w:rFonts w:ascii="Arial" w:hAnsi="Arial" w:cs="Arial"/>
          <w:lang w:val="es-ES_tradnl"/>
        </w:rPr>
        <w:t xml:space="preserve"> al grupo 0 – Servicios personales se menciona:</w:t>
      </w:r>
    </w:p>
    <w:p w:rsidR="002142ED" w:rsidRDefault="002142ED" w:rsidP="002142ED">
      <w:pPr>
        <w:numPr>
          <w:ilvl w:val="2"/>
          <w:numId w:val="6"/>
        </w:numPr>
        <w:spacing w:line="360" w:lineRule="auto"/>
        <w:ind w:left="709" w:firstLine="0"/>
        <w:jc w:val="both"/>
        <w:rPr>
          <w:rFonts w:ascii="Arial" w:hAnsi="Arial" w:cs="Arial"/>
          <w:bCs/>
          <w:szCs w:val="24"/>
        </w:rPr>
      </w:pPr>
      <w:r>
        <w:rPr>
          <w:rFonts w:ascii="Arial" w:hAnsi="Arial" w:cs="Arial"/>
        </w:rPr>
        <w:t xml:space="preserve">El Organismo abonó en el ejercicio 2012 por concepto de horas extras $22:501.257, lo que representa el 9,01 % del monto de las retribuciones básicas, superando así el tope del 5% sobre los sueldos básicos establecidos por el Artículo 87 de la Ley Nº 14.416. </w:t>
      </w:r>
    </w:p>
    <w:p w:rsidR="002142ED" w:rsidRDefault="002142ED" w:rsidP="002142ED">
      <w:pPr>
        <w:numPr>
          <w:ilvl w:val="2"/>
          <w:numId w:val="6"/>
        </w:numPr>
        <w:spacing w:line="360" w:lineRule="auto"/>
        <w:ind w:left="709" w:firstLine="0"/>
        <w:jc w:val="both"/>
        <w:rPr>
          <w:rFonts w:ascii="Arial" w:hAnsi="Arial" w:cs="Arial"/>
        </w:rPr>
      </w:pPr>
      <w:r>
        <w:rPr>
          <w:rFonts w:ascii="Arial" w:hAnsi="Arial" w:cs="Arial"/>
        </w:rPr>
        <w:t xml:space="preserve">En el Organismo hay funcionarios que realizan más de 80 </w:t>
      </w:r>
      <w:proofErr w:type="spellStart"/>
      <w:r>
        <w:rPr>
          <w:rFonts w:ascii="Arial" w:hAnsi="Arial" w:cs="Arial"/>
        </w:rPr>
        <w:t>hs</w:t>
      </w:r>
      <w:proofErr w:type="spellEnd"/>
      <w:r>
        <w:rPr>
          <w:rFonts w:ascii="Arial" w:hAnsi="Arial" w:cs="Arial"/>
        </w:rPr>
        <w:t xml:space="preserve"> extras mensuales, no cumpliendo con lo establecido en el Artículo 7 Literal H) del Decreto 236/012 de fecha 30/07/12. El sistema de liquidación de sueldos está programado para no pagar más de dicho tope pasando el excedente de horas extras para el mes siguiente. De esta forma las horas excedidas por cada funcionario pasan a una cuenta de horas pendientes que se liquidan en los períodos en los cuales no llegue a las 80 horas extras. </w:t>
      </w:r>
    </w:p>
    <w:p w:rsidR="002142ED" w:rsidRDefault="002142ED" w:rsidP="002142ED">
      <w:pPr>
        <w:numPr>
          <w:ilvl w:val="2"/>
          <w:numId w:val="6"/>
        </w:numPr>
        <w:spacing w:line="360" w:lineRule="auto"/>
        <w:ind w:left="709" w:firstLine="0"/>
        <w:jc w:val="both"/>
        <w:rPr>
          <w:rFonts w:ascii="Arial" w:hAnsi="Arial" w:cs="Arial"/>
        </w:rPr>
      </w:pPr>
      <w:r>
        <w:rPr>
          <w:rFonts w:ascii="Arial" w:hAnsi="Arial"/>
          <w:lang w:val="es-ES_tradnl"/>
        </w:rPr>
        <w:t xml:space="preserve">El Organismo no comunicó a la Oficina de Planeamiento y Presupuesto, al 31 de enero de 2011, la nómina correspondiente al 100% de las vacantes eliminadas entre el 1º de junio de 2011 y el 31 de diciembre de 2011, incumpliendo lo dispuesto en el Artículo 17 del Decreto Nº 236/12 </w:t>
      </w:r>
      <w:r>
        <w:rPr>
          <w:rFonts w:ascii="Arial" w:hAnsi="Arial" w:cs="Arial"/>
        </w:rPr>
        <w:t>de fecha 30/07/12</w:t>
      </w:r>
      <w:r>
        <w:rPr>
          <w:rFonts w:ascii="Arial" w:hAnsi="Arial"/>
          <w:lang w:val="es-ES_tradnl"/>
        </w:rPr>
        <w:t>.</w:t>
      </w:r>
    </w:p>
    <w:p w:rsidR="002142ED" w:rsidRDefault="002142ED" w:rsidP="00265608">
      <w:pPr>
        <w:spacing w:line="360" w:lineRule="auto"/>
        <w:ind w:left="397"/>
        <w:jc w:val="both"/>
        <w:rPr>
          <w:rFonts w:ascii="Arial" w:hAnsi="Arial" w:cs="Arial"/>
          <w:lang w:val="es-ES_tradnl"/>
        </w:rPr>
      </w:pPr>
    </w:p>
    <w:p w:rsidR="002142ED" w:rsidRDefault="002142ED" w:rsidP="002142ED">
      <w:pPr>
        <w:numPr>
          <w:ilvl w:val="1"/>
          <w:numId w:val="6"/>
        </w:numPr>
        <w:spacing w:line="360" w:lineRule="auto"/>
        <w:ind w:left="709" w:hanging="425"/>
        <w:jc w:val="both"/>
        <w:rPr>
          <w:rFonts w:ascii="Arial" w:hAnsi="Arial" w:cs="Arial"/>
          <w:lang w:val="es-ES_tradnl"/>
        </w:rPr>
      </w:pPr>
      <w:r>
        <w:rPr>
          <w:rFonts w:ascii="Arial" w:hAnsi="Arial" w:cs="Arial"/>
          <w:lang w:val="es-ES_tradnl"/>
        </w:rPr>
        <w:t>En relación a las asignaciones de los Grupos 1 y 2 y sus ejecuciones corresponde expresar:</w:t>
      </w:r>
    </w:p>
    <w:p w:rsidR="002142ED" w:rsidRDefault="002142ED" w:rsidP="002142ED">
      <w:pPr>
        <w:numPr>
          <w:ilvl w:val="2"/>
          <w:numId w:val="6"/>
        </w:numPr>
        <w:spacing w:line="360" w:lineRule="auto"/>
        <w:ind w:hanging="11"/>
        <w:jc w:val="both"/>
        <w:rPr>
          <w:rFonts w:ascii="Arial" w:hAnsi="Arial" w:cs="Arial"/>
          <w:lang w:val="es-ES_tradnl"/>
        </w:rPr>
      </w:pPr>
      <w:r>
        <w:rPr>
          <w:rFonts w:ascii="Arial" w:hAnsi="Arial" w:cs="Arial"/>
          <w:lang w:val="es-ES_tradnl"/>
        </w:rPr>
        <w:t xml:space="preserve">En el Programa Puerto de Montevideo en el Objeto 198 – “Repuestos y accesorios menores”, se imputaron repuestos y gastos de mantenimiento de las embarcaciones y en especial de la Draga y los </w:t>
      </w:r>
      <w:proofErr w:type="spellStart"/>
      <w:r>
        <w:rPr>
          <w:rFonts w:ascii="Arial" w:hAnsi="Arial" w:cs="Arial"/>
          <w:lang w:val="es-ES_tradnl"/>
        </w:rPr>
        <w:t>ganguiles</w:t>
      </w:r>
      <w:proofErr w:type="spellEnd"/>
      <w:r>
        <w:rPr>
          <w:rFonts w:ascii="Arial" w:hAnsi="Arial" w:cs="Arial"/>
          <w:lang w:val="es-ES_tradnl"/>
        </w:rPr>
        <w:t xml:space="preserve">. Para este objeto de gasto se presupuestaron $1.389.777 y se ejecutaron $ 23:147.721, resultando una desviación respecto a lo </w:t>
      </w:r>
      <w:r>
        <w:rPr>
          <w:rFonts w:ascii="Arial" w:hAnsi="Arial" w:cs="Arial"/>
          <w:lang w:val="es-ES_tradnl"/>
        </w:rPr>
        <w:lastRenderedPageBreak/>
        <w:t>presupuestado de $ 21:757.944, situación similar a lo ocurrido en el ejercicio anterior</w:t>
      </w:r>
    </w:p>
    <w:p w:rsidR="002142ED" w:rsidRDefault="002142ED" w:rsidP="002142ED">
      <w:pPr>
        <w:numPr>
          <w:ilvl w:val="2"/>
          <w:numId w:val="6"/>
        </w:numPr>
        <w:spacing w:line="360" w:lineRule="auto"/>
        <w:ind w:hanging="11"/>
        <w:jc w:val="both"/>
        <w:rPr>
          <w:rFonts w:ascii="Arial" w:hAnsi="Arial" w:cs="Arial"/>
          <w:lang w:val="es-ES_tradnl"/>
        </w:rPr>
      </w:pPr>
      <w:r>
        <w:rPr>
          <w:rFonts w:ascii="Arial" w:hAnsi="Arial" w:cs="Arial"/>
          <w:lang w:val="es-ES_tradnl"/>
        </w:rPr>
        <w:t>A nivel de todos los puertos el total del Grupo 2 no presenta excesos, en cambio sí se producen en los Objetos 291 “Servicios de vigilancia y custodia” y 278 “De limpieza y aseo” del 150% y del 140% respectivamente. Estos objetos mencionados presentaron una situación similar en el ejercicio anterior.</w:t>
      </w:r>
    </w:p>
    <w:p w:rsidR="002142ED" w:rsidRDefault="002142ED" w:rsidP="002142ED">
      <w:pPr>
        <w:numPr>
          <w:ilvl w:val="2"/>
          <w:numId w:val="6"/>
        </w:numPr>
        <w:spacing w:line="360" w:lineRule="auto"/>
        <w:ind w:hanging="11"/>
        <w:jc w:val="both"/>
        <w:rPr>
          <w:rFonts w:ascii="Arial" w:hAnsi="Arial" w:cs="Arial"/>
          <w:lang w:val="es-ES_tradnl"/>
        </w:rPr>
      </w:pPr>
      <w:r>
        <w:rPr>
          <w:rFonts w:ascii="Arial" w:hAnsi="Arial" w:cs="Arial"/>
          <w:lang w:val="es-ES_tradnl"/>
        </w:rPr>
        <w:t>Asimismo, a nivel general en los grupos 1 y 2 se pudo constatar que, en los objetos cuyo nombre genérico es “Otros” (por ejemplo objetos 259, 279, 289 y 299), el total ejecutado es sensiblemente menor a la asignación presupuestal, situación que evidencia que en la etapa de elaboración del presupuesto no se consideró la ejecución pasada como elemento para mejora la misma.</w:t>
      </w:r>
    </w:p>
    <w:p w:rsidR="002142ED" w:rsidRDefault="002142ED" w:rsidP="002142ED">
      <w:pPr>
        <w:numPr>
          <w:ilvl w:val="2"/>
          <w:numId w:val="6"/>
        </w:numPr>
        <w:spacing w:line="360" w:lineRule="auto"/>
        <w:ind w:hanging="11"/>
        <w:jc w:val="both"/>
        <w:rPr>
          <w:rFonts w:ascii="Arial" w:hAnsi="Arial" w:cs="Arial"/>
        </w:rPr>
      </w:pPr>
      <w:r>
        <w:rPr>
          <w:rFonts w:ascii="Arial" w:hAnsi="Arial" w:cs="Arial"/>
          <w:lang w:val="es-ES_tradnl"/>
        </w:rPr>
        <w:t>En los cuadros presentados resulta una apertura mayor a nivel de objeto, a la aprobada en el presupuesto. Existen objetos con importes ejecutados que no tenían asignación presupuestal prevista.</w:t>
      </w:r>
    </w:p>
    <w:p w:rsidR="002142ED" w:rsidRDefault="002142ED" w:rsidP="00265608">
      <w:pPr>
        <w:spacing w:line="360" w:lineRule="auto"/>
        <w:ind w:left="709"/>
        <w:jc w:val="both"/>
        <w:rPr>
          <w:rFonts w:ascii="Arial" w:hAnsi="Arial" w:cs="Arial"/>
        </w:rPr>
      </w:pPr>
      <w:r>
        <w:rPr>
          <w:rFonts w:ascii="Arial" w:hAnsi="Arial" w:cs="Arial"/>
        </w:rPr>
        <w:t>Además existen otros que si contaban con asignación pero no tuvieron ejecución presupuestal en el ejercicio.</w:t>
      </w:r>
      <w:r>
        <w:rPr>
          <w:rFonts w:ascii="Arial" w:hAnsi="Arial" w:cs="Arial"/>
          <w:lang w:val="es-ES_tradnl"/>
        </w:rPr>
        <w:t xml:space="preserve"> </w:t>
      </w:r>
    </w:p>
    <w:p w:rsidR="002142ED" w:rsidRDefault="002142ED" w:rsidP="00265608">
      <w:pPr>
        <w:spacing w:line="360" w:lineRule="auto"/>
        <w:jc w:val="both"/>
        <w:rPr>
          <w:rFonts w:ascii="Arial" w:hAnsi="Arial" w:cs="Arial"/>
        </w:rPr>
      </w:pPr>
    </w:p>
    <w:p w:rsidR="002142ED" w:rsidRDefault="002142ED" w:rsidP="002142ED">
      <w:pPr>
        <w:numPr>
          <w:ilvl w:val="1"/>
          <w:numId w:val="6"/>
        </w:numPr>
        <w:spacing w:line="360" w:lineRule="auto"/>
        <w:ind w:left="709" w:hanging="567"/>
        <w:jc w:val="both"/>
        <w:rPr>
          <w:rFonts w:ascii="Arial" w:hAnsi="Arial" w:cs="Arial"/>
        </w:rPr>
      </w:pPr>
      <w:r>
        <w:rPr>
          <w:rFonts w:ascii="Arial" w:hAnsi="Arial" w:cs="Arial"/>
        </w:rPr>
        <w:t>De acuerdo a lo informado por el Organismo el criterio de imputación utilizado es “Caja” para los egresos y para los ingresos se considera lo “Facturado”. Si bien a fin de ejercicio los gastos devengados en su gran mayoría están registrados, no lo están en el momento en que se compromete el gasto. En cuanto a los ingresos, un porcentaje de lo facturado se considera como percibido aunque no se ha realizado el cobro respectivo.</w:t>
      </w:r>
    </w:p>
    <w:p w:rsidR="002142ED" w:rsidRDefault="002142ED" w:rsidP="00265608">
      <w:pPr>
        <w:spacing w:line="360" w:lineRule="auto"/>
        <w:ind w:left="720"/>
        <w:jc w:val="both"/>
        <w:rPr>
          <w:rFonts w:ascii="Arial" w:hAnsi="Arial" w:cs="Arial"/>
        </w:rPr>
      </w:pPr>
      <w:r>
        <w:rPr>
          <w:rFonts w:ascii="Arial" w:hAnsi="Arial" w:cs="Arial"/>
        </w:rPr>
        <w:t>Por lo señalado no se  cumple con el criterio de lo devengado  establecido en el Artículo 20 del TOCAF. Este artículo dispone que el gasto se devenga cuando surge la obligación de pago, independientemente de que se haya efectuado el mismo.</w:t>
      </w:r>
    </w:p>
    <w:p w:rsidR="002142ED" w:rsidRDefault="002142ED" w:rsidP="00265608">
      <w:pPr>
        <w:spacing w:line="360" w:lineRule="auto"/>
        <w:ind w:left="720"/>
        <w:jc w:val="both"/>
        <w:rPr>
          <w:rFonts w:ascii="Arial" w:hAnsi="Arial" w:cs="Arial"/>
        </w:rPr>
      </w:pPr>
      <w:r>
        <w:rPr>
          <w:rFonts w:ascii="Arial" w:hAnsi="Arial" w:cs="Arial"/>
        </w:rPr>
        <w:lastRenderedPageBreak/>
        <w:t>Respecto a los ingresos, no se da cumplimiento con el Artículo 12 del TOCAF  que establece que se consideran recursos del ejercicio lo efectivamente depositado o ingresado en el organismo.</w:t>
      </w:r>
    </w:p>
    <w:p w:rsidR="002142ED" w:rsidRDefault="002142ED" w:rsidP="00265608">
      <w:pPr>
        <w:spacing w:line="360" w:lineRule="auto"/>
        <w:ind w:left="720"/>
        <w:jc w:val="both"/>
        <w:rPr>
          <w:rFonts w:ascii="Arial" w:hAnsi="Arial" w:cs="Arial"/>
          <w:bCs/>
        </w:rPr>
      </w:pPr>
    </w:p>
    <w:p w:rsidR="002142ED" w:rsidRDefault="002142ED" w:rsidP="002142ED">
      <w:pPr>
        <w:pStyle w:val="Textoindependiente"/>
        <w:numPr>
          <w:ilvl w:val="0"/>
          <w:numId w:val="4"/>
        </w:numPr>
        <w:spacing w:after="0" w:line="360" w:lineRule="auto"/>
        <w:jc w:val="both"/>
        <w:rPr>
          <w:rFonts w:ascii="Arial" w:hAnsi="Arial" w:cs="Arial"/>
          <w:b/>
        </w:rPr>
      </w:pPr>
      <w:r>
        <w:rPr>
          <w:rFonts w:ascii="Arial" w:hAnsi="Arial" w:cs="Arial"/>
          <w:b/>
        </w:rPr>
        <w:t>Recomendaciones</w:t>
      </w:r>
    </w:p>
    <w:p w:rsidR="002142ED" w:rsidRDefault="002142ED" w:rsidP="002142ED">
      <w:pPr>
        <w:pStyle w:val="Textoindependiente"/>
        <w:numPr>
          <w:ilvl w:val="1"/>
          <w:numId w:val="4"/>
        </w:numPr>
        <w:tabs>
          <w:tab w:val="left" w:pos="284"/>
          <w:tab w:val="left" w:pos="709"/>
        </w:tabs>
        <w:spacing w:after="0" w:line="360" w:lineRule="auto"/>
        <w:jc w:val="both"/>
        <w:rPr>
          <w:rFonts w:ascii="Arial" w:hAnsi="Arial" w:cs="Arial"/>
          <w:b/>
        </w:rPr>
      </w:pPr>
      <w:r>
        <w:rPr>
          <w:rFonts w:ascii="Arial" w:hAnsi="Arial" w:cs="Arial"/>
          <w:b/>
        </w:rPr>
        <w:t xml:space="preserve"> Recomendaciones de ejercicios anteriores</w:t>
      </w:r>
    </w:p>
    <w:p w:rsidR="002142ED" w:rsidRDefault="002142ED" w:rsidP="002142ED">
      <w:pPr>
        <w:pStyle w:val="Textoindependiente"/>
        <w:numPr>
          <w:ilvl w:val="2"/>
          <w:numId w:val="4"/>
        </w:numPr>
        <w:tabs>
          <w:tab w:val="left" w:pos="567"/>
        </w:tabs>
        <w:spacing w:after="0" w:line="360" w:lineRule="auto"/>
        <w:jc w:val="both"/>
        <w:rPr>
          <w:rFonts w:ascii="Arial" w:hAnsi="Arial" w:cs="Arial"/>
          <w:b/>
        </w:rPr>
      </w:pPr>
      <w:r>
        <w:rPr>
          <w:rFonts w:ascii="Arial" w:hAnsi="Arial" w:cs="Arial"/>
          <w:b/>
        </w:rPr>
        <w:t xml:space="preserve">   Cumplidas</w:t>
      </w:r>
    </w:p>
    <w:p w:rsidR="002142ED" w:rsidRDefault="002142ED" w:rsidP="00265608">
      <w:pPr>
        <w:spacing w:line="360" w:lineRule="auto"/>
        <w:jc w:val="both"/>
        <w:rPr>
          <w:rFonts w:ascii="Arial" w:hAnsi="Arial" w:cs="Arial"/>
          <w:b/>
        </w:rPr>
      </w:pPr>
    </w:p>
    <w:p w:rsidR="002142ED" w:rsidRDefault="002142ED" w:rsidP="00265608">
      <w:pPr>
        <w:pStyle w:val="Textoindependiente"/>
        <w:spacing w:line="360" w:lineRule="auto"/>
        <w:rPr>
          <w:rFonts w:ascii="Arial" w:hAnsi="Arial" w:cs="Arial"/>
        </w:rPr>
      </w:pPr>
      <w:r>
        <w:rPr>
          <w:rFonts w:ascii="Arial" w:hAnsi="Arial" w:cs="Arial"/>
          <w:b/>
        </w:rPr>
        <w:t>3.1.1.1</w:t>
      </w:r>
      <w:r>
        <w:rPr>
          <w:rFonts w:ascii="Arial" w:hAnsi="Arial" w:cs="Arial"/>
        </w:rPr>
        <w:t xml:space="preserve"> En los Cuadros en donde se exponen los distintos Proyectos de Inversión, se identifican a cada uno de éstos con la apertura aprobada en el Presupuesto correspondiente. </w:t>
      </w:r>
    </w:p>
    <w:p w:rsidR="002142ED" w:rsidRDefault="002142ED" w:rsidP="00265608">
      <w:pPr>
        <w:spacing w:line="360" w:lineRule="auto"/>
        <w:jc w:val="both"/>
        <w:rPr>
          <w:rFonts w:ascii="Arial" w:hAnsi="Arial" w:cs="Arial"/>
        </w:rPr>
      </w:pPr>
      <w:r>
        <w:rPr>
          <w:rFonts w:ascii="Arial" w:hAnsi="Arial" w:cs="Arial"/>
          <w:b/>
        </w:rPr>
        <w:t>3.1.1.2</w:t>
      </w:r>
      <w:r>
        <w:rPr>
          <w:rFonts w:ascii="Arial" w:hAnsi="Arial" w:cs="Arial"/>
        </w:rPr>
        <w:t xml:space="preserve"> El cuadro que presenta las asignaciones y ejecuciones de los proyectos de inversión, se formuló transcribiendo correctamente los datos de la contabilidad presupuestal. </w:t>
      </w:r>
    </w:p>
    <w:p w:rsidR="002142ED" w:rsidRDefault="002142ED" w:rsidP="00265608">
      <w:pPr>
        <w:spacing w:line="360" w:lineRule="auto"/>
        <w:jc w:val="both"/>
        <w:rPr>
          <w:rFonts w:ascii="Arial" w:hAnsi="Arial" w:cs="Arial"/>
        </w:rPr>
      </w:pPr>
      <w:r>
        <w:rPr>
          <w:rFonts w:ascii="Arial" w:hAnsi="Arial" w:cs="Arial"/>
          <w:b/>
        </w:rPr>
        <w:t>3.1.1.3</w:t>
      </w:r>
      <w:r>
        <w:rPr>
          <w:rFonts w:ascii="Arial" w:hAnsi="Arial" w:cs="Arial"/>
        </w:rPr>
        <w:t xml:space="preserve"> En la etapa presupuestal se incluyeron dentro del Proyecto de Inversión “Dragado con medios propios y varadas” todos los gastos relacionados con la draga. </w:t>
      </w:r>
    </w:p>
    <w:p w:rsidR="002142ED" w:rsidRDefault="002142ED" w:rsidP="00265608">
      <w:pPr>
        <w:spacing w:line="360" w:lineRule="auto"/>
        <w:jc w:val="both"/>
        <w:rPr>
          <w:rFonts w:ascii="Arial" w:hAnsi="Arial" w:cs="Arial"/>
        </w:rPr>
      </w:pPr>
    </w:p>
    <w:p w:rsidR="002142ED" w:rsidRDefault="002142ED" w:rsidP="002142ED">
      <w:pPr>
        <w:pStyle w:val="Textoindependiente"/>
        <w:numPr>
          <w:ilvl w:val="2"/>
          <w:numId w:val="4"/>
        </w:numPr>
        <w:tabs>
          <w:tab w:val="left" w:pos="567"/>
        </w:tabs>
        <w:spacing w:after="0" w:line="360" w:lineRule="auto"/>
        <w:jc w:val="both"/>
        <w:rPr>
          <w:rFonts w:ascii="Arial" w:hAnsi="Arial" w:cs="Arial"/>
          <w:b/>
        </w:rPr>
      </w:pPr>
      <w:r>
        <w:rPr>
          <w:rFonts w:ascii="Arial" w:hAnsi="Arial" w:cs="Arial"/>
          <w:b/>
        </w:rPr>
        <w:t xml:space="preserve"> No Cumplidas</w:t>
      </w:r>
    </w:p>
    <w:p w:rsidR="002142ED" w:rsidRDefault="002142ED" w:rsidP="00265608">
      <w:pPr>
        <w:pStyle w:val="Textoindependiente"/>
        <w:tabs>
          <w:tab w:val="left" w:pos="851"/>
        </w:tabs>
        <w:spacing w:line="360" w:lineRule="auto"/>
        <w:rPr>
          <w:rFonts w:ascii="Arial" w:hAnsi="Arial" w:cs="Arial"/>
          <w:b/>
          <w:bCs/>
        </w:rPr>
      </w:pPr>
      <w:r>
        <w:rPr>
          <w:rFonts w:ascii="Arial" w:hAnsi="Arial" w:cs="Arial"/>
          <w:b/>
        </w:rPr>
        <w:t>3.1.2.1</w:t>
      </w:r>
      <w:r>
        <w:rPr>
          <w:rFonts w:ascii="Arial" w:hAnsi="Arial" w:cs="Arial"/>
        </w:rPr>
        <w:t xml:space="preserve"> Las horas extras realizadas por los funcionarios no deben exceder el tope del 5% de la dotación asignada a los sueldos básicos. </w:t>
      </w:r>
    </w:p>
    <w:p w:rsidR="002142ED" w:rsidRDefault="002142ED" w:rsidP="00265608">
      <w:pPr>
        <w:pStyle w:val="Textoindependiente"/>
        <w:tabs>
          <w:tab w:val="left" w:pos="851"/>
        </w:tabs>
        <w:spacing w:line="360" w:lineRule="auto"/>
        <w:rPr>
          <w:rFonts w:ascii="Arial" w:hAnsi="Arial" w:cs="Arial"/>
          <w:b/>
          <w:bCs/>
        </w:rPr>
      </w:pPr>
      <w:r>
        <w:rPr>
          <w:rFonts w:ascii="Arial" w:hAnsi="Arial" w:cs="Arial"/>
          <w:b/>
        </w:rPr>
        <w:t>3.1.2.2</w:t>
      </w:r>
      <w:r>
        <w:rPr>
          <w:rFonts w:ascii="Arial" w:hAnsi="Arial" w:cs="Arial"/>
        </w:rPr>
        <w:t xml:space="preserve"> Los funcionarios que realizan horas extras no podrán superar las 80 horas extras mensuales de acuerdo a las normas presupuestales. </w:t>
      </w:r>
    </w:p>
    <w:p w:rsidR="002142ED" w:rsidRDefault="002142ED" w:rsidP="00265608">
      <w:pPr>
        <w:pStyle w:val="Textoindependiente"/>
        <w:tabs>
          <w:tab w:val="left" w:pos="851"/>
        </w:tabs>
        <w:spacing w:line="360" w:lineRule="auto"/>
        <w:rPr>
          <w:rFonts w:ascii="Arial" w:hAnsi="Arial" w:cs="Arial"/>
        </w:rPr>
      </w:pPr>
      <w:r>
        <w:rPr>
          <w:rFonts w:ascii="Arial" w:hAnsi="Arial" w:cs="Arial"/>
          <w:b/>
        </w:rPr>
        <w:t>3.1.2.3</w:t>
      </w:r>
      <w:r>
        <w:rPr>
          <w:rFonts w:ascii="Arial" w:hAnsi="Arial" w:cs="Arial"/>
        </w:rPr>
        <w:t xml:space="preserve"> </w:t>
      </w:r>
      <w:r>
        <w:rPr>
          <w:rFonts w:ascii="Arial" w:hAnsi="Arial" w:cs="Arial"/>
          <w:szCs w:val="24"/>
        </w:rPr>
        <w:t>La apertura a nivel de objeto en los cuadros de ejecución debe</w:t>
      </w:r>
      <w:r>
        <w:rPr>
          <w:rFonts w:ascii="Arial" w:hAnsi="Arial" w:cs="Arial"/>
        </w:rPr>
        <w:t xml:space="preserve"> coincidir con la aprobada en los cuadros del presupuesto y éste debe contener una apertura adecuada a la ejecución de ejercicios anteriores. </w:t>
      </w:r>
    </w:p>
    <w:p w:rsidR="002142ED" w:rsidRDefault="002142ED" w:rsidP="00265608">
      <w:pPr>
        <w:pStyle w:val="Textoindependiente"/>
        <w:tabs>
          <w:tab w:val="left" w:pos="851"/>
        </w:tabs>
        <w:spacing w:line="360" w:lineRule="auto"/>
        <w:rPr>
          <w:rFonts w:ascii="Arial" w:hAnsi="Arial" w:cs="Arial"/>
        </w:rPr>
      </w:pPr>
      <w:r>
        <w:rPr>
          <w:rFonts w:ascii="Arial" w:hAnsi="Arial" w:cs="Arial"/>
          <w:b/>
        </w:rPr>
        <w:lastRenderedPageBreak/>
        <w:t>3.1.2.4</w:t>
      </w:r>
      <w:r>
        <w:rPr>
          <w:rFonts w:ascii="Arial" w:hAnsi="Arial" w:cs="Arial"/>
        </w:rPr>
        <w:t xml:space="preserve"> Remitir a la Oficina de Planeamiento y Presupuesto, al 31 de enero de cada año, las vacantes eliminadas generadas entre el 1 de junio y 31 de diciembre del año anterior.</w:t>
      </w:r>
    </w:p>
    <w:p w:rsidR="002142ED" w:rsidRPr="00352232" w:rsidRDefault="002142ED" w:rsidP="002142ED">
      <w:pPr>
        <w:pStyle w:val="Textoindependiente"/>
        <w:numPr>
          <w:ilvl w:val="1"/>
          <w:numId w:val="4"/>
        </w:numPr>
        <w:tabs>
          <w:tab w:val="left" w:pos="284"/>
          <w:tab w:val="left" w:pos="709"/>
        </w:tabs>
        <w:spacing w:after="0" w:line="360" w:lineRule="auto"/>
        <w:jc w:val="both"/>
        <w:rPr>
          <w:rFonts w:ascii="Arial" w:hAnsi="Arial" w:cs="Arial"/>
        </w:rPr>
      </w:pPr>
      <w:r>
        <w:rPr>
          <w:rFonts w:ascii="Arial" w:hAnsi="Arial" w:cs="Arial"/>
          <w:b/>
        </w:rPr>
        <w:t>Recomendaciones del presente ejercicio</w:t>
      </w:r>
    </w:p>
    <w:p w:rsidR="002142ED" w:rsidRDefault="002142ED" w:rsidP="00265608">
      <w:pPr>
        <w:pStyle w:val="Textoindependiente"/>
        <w:spacing w:line="360" w:lineRule="auto"/>
        <w:rPr>
          <w:rFonts w:ascii="Arial" w:hAnsi="Arial" w:cs="Arial"/>
          <w:lang w:val="es-UY"/>
        </w:rPr>
      </w:pPr>
      <w:r>
        <w:rPr>
          <w:rFonts w:ascii="Arial" w:hAnsi="Arial" w:cs="Arial"/>
          <w:lang w:val="es-UY"/>
        </w:rPr>
        <w:t>Se reiteran las recomendaciones no cumplidas de ejercicios anteriores, a las que se agregan las siguientes:</w:t>
      </w:r>
    </w:p>
    <w:p w:rsidR="002142ED" w:rsidRDefault="002142ED" w:rsidP="002142ED">
      <w:pPr>
        <w:pStyle w:val="Textoindependiente"/>
        <w:numPr>
          <w:ilvl w:val="2"/>
          <w:numId w:val="5"/>
        </w:numPr>
        <w:tabs>
          <w:tab w:val="left" w:pos="851"/>
          <w:tab w:val="num" w:pos="1276"/>
        </w:tabs>
        <w:spacing w:after="0" w:line="360" w:lineRule="auto"/>
        <w:ind w:left="851" w:hanging="851"/>
        <w:jc w:val="both"/>
        <w:rPr>
          <w:rFonts w:ascii="Arial" w:hAnsi="Arial" w:cs="Arial"/>
        </w:rPr>
      </w:pPr>
      <w:r>
        <w:rPr>
          <w:rFonts w:ascii="Arial" w:hAnsi="Arial" w:cs="Arial"/>
        </w:rPr>
        <w:t>Adoptar las medidas necesarias a efectos de dar cumplimiento a lo establecido en el Artículo 11 del Decreto 236/012 de 30/07/2012. (2.1)</w:t>
      </w:r>
    </w:p>
    <w:p w:rsidR="002142ED" w:rsidRDefault="002142ED" w:rsidP="002142ED">
      <w:pPr>
        <w:pStyle w:val="Textoindependiente"/>
        <w:numPr>
          <w:ilvl w:val="2"/>
          <w:numId w:val="5"/>
        </w:numPr>
        <w:tabs>
          <w:tab w:val="left" w:pos="851"/>
          <w:tab w:val="num" w:pos="1276"/>
        </w:tabs>
        <w:spacing w:after="0" w:line="360" w:lineRule="auto"/>
        <w:ind w:left="851" w:hanging="851"/>
        <w:jc w:val="both"/>
        <w:rPr>
          <w:rFonts w:ascii="Arial" w:hAnsi="Arial" w:cs="Arial"/>
        </w:rPr>
      </w:pPr>
      <w:r>
        <w:rPr>
          <w:rFonts w:ascii="Arial" w:hAnsi="Arial" w:cs="Arial"/>
        </w:rPr>
        <w:t>Implementar mecanismos para que al proyectar en la etapa presupuestal las asignaciones para todos los grupos, y en especial los grupos 1 y 2, se consideren  los importes ejecutados en el ejercicio anterior (2.3).</w:t>
      </w:r>
    </w:p>
    <w:p w:rsidR="002142ED" w:rsidRDefault="002142ED" w:rsidP="002142ED">
      <w:pPr>
        <w:pStyle w:val="Textoindependiente"/>
        <w:numPr>
          <w:ilvl w:val="2"/>
          <w:numId w:val="5"/>
        </w:numPr>
        <w:tabs>
          <w:tab w:val="left" w:pos="851"/>
          <w:tab w:val="num" w:pos="1276"/>
        </w:tabs>
        <w:spacing w:after="0" w:line="360" w:lineRule="auto"/>
        <w:ind w:left="851" w:hanging="851"/>
        <w:jc w:val="both"/>
        <w:rPr>
          <w:rFonts w:ascii="Arial" w:hAnsi="Arial" w:cs="Arial"/>
        </w:rPr>
      </w:pPr>
      <w:r>
        <w:rPr>
          <w:rFonts w:ascii="Arial" w:hAnsi="Arial" w:cs="Arial"/>
        </w:rPr>
        <w:t xml:space="preserve">Implementar los mecanismos necesarios para contabilizar la ejecución presupuestal de acuerdo a los criterios establecidos en los Artículos 12 y 20 del TOCAF. (2.4) </w:t>
      </w:r>
    </w:p>
    <w:p w:rsidR="002142ED" w:rsidRDefault="002142ED" w:rsidP="00265608">
      <w:pPr>
        <w:pStyle w:val="Textoindependiente"/>
        <w:tabs>
          <w:tab w:val="left" w:pos="851"/>
          <w:tab w:val="num" w:pos="1440"/>
        </w:tabs>
        <w:spacing w:line="360" w:lineRule="auto"/>
        <w:jc w:val="right"/>
        <w:rPr>
          <w:rFonts w:ascii="Arial" w:hAnsi="Arial" w:cs="Arial"/>
        </w:rPr>
      </w:pPr>
      <w:r>
        <w:rPr>
          <w:rFonts w:ascii="Arial" w:hAnsi="Arial" w:cs="Arial"/>
        </w:rPr>
        <w:t xml:space="preserve"> Montevideo, 30 de setiembre de 2013</w:t>
      </w:r>
    </w:p>
    <w:p w:rsidR="002142ED" w:rsidRDefault="002142ED" w:rsidP="00265608">
      <w:pPr>
        <w:pStyle w:val="Textoindependiente"/>
        <w:tabs>
          <w:tab w:val="left" w:pos="851"/>
          <w:tab w:val="num" w:pos="1440"/>
        </w:tabs>
        <w:jc w:val="right"/>
        <w:rPr>
          <w:rFonts w:ascii="Arial" w:hAnsi="Arial" w:cs="Arial"/>
        </w:rPr>
      </w:pPr>
    </w:p>
    <w:p w:rsidR="002142ED" w:rsidRDefault="002142ED"/>
    <w:p w:rsidR="002142ED" w:rsidRPr="002A4A4B" w:rsidRDefault="002A4A4B" w:rsidP="002A4A4B">
      <w:pPr>
        <w:spacing w:line="360" w:lineRule="auto"/>
        <w:rPr>
          <w:rFonts w:ascii="Arial" w:hAnsi="Arial" w:cs="Arial"/>
          <w:b/>
        </w:rPr>
      </w:pPr>
      <w:r w:rsidRPr="002A4A4B">
        <w:rPr>
          <w:rFonts w:ascii="Arial" w:hAnsi="Arial" w:cs="Arial"/>
          <w:b/>
          <w:szCs w:val="24"/>
        </w:rPr>
        <w:t xml:space="preserve">Oficio remitido a la </w:t>
      </w:r>
      <w:r w:rsidR="002142ED" w:rsidRPr="002A4A4B">
        <w:rPr>
          <w:rFonts w:ascii="Arial" w:hAnsi="Arial" w:cs="Arial"/>
          <w:b/>
          <w:szCs w:val="24"/>
        </w:rPr>
        <w:t>Sra. Presidente del Servicio Oficial de Difusión, Radiotelevisión y Espectáculos (SODRE)</w:t>
      </w:r>
      <w:r w:rsidRPr="002A4A4B">
        <w:rPr>
          <w:rFonts w:ascii="Arial" w:hAnsi="Arial" w:cs="Arial"/>
          <w:b/>
          <w:szCs w:val="24"/>
        </w:rPr>
        <w:t xml:space="preserve"> </w:t>
      </w:r>
      <w:r w:rsidR="002142ED" w:rsidRPr="002A4A4B">
        <w:rPr>
          <w:rFonts w:ascii="Arial" w:hAnsi="Arial" w:cs="Arial"/>
          <w:b/>
        </w:rPr>
        <w:t>Arq. Eneida De León</w:t>
      </w:r>
      <w:r w:rsidRPr="002A4A4B">
        <w:rPr>
          <w:rFonts w:ascii="Arial" w:hAnsi="Arial" w:cs="Arial"/>
          <w:b/>
        </w:rPr>
        <w:t>.-</w:t>
      </w:r>
      <w:r w:rsidR="002142ED" w:rsidRPr="002A4A4B">
        <w:rPr>
          <w:rFonts w:ascii="Arial" w:hAnsi="Arial" w:cs="Arial"/>
          <w:b/>
        </w:rPr>
        <w:tab/>
      </w:r>
    </w:p>
    <w:p w:rsidR="002142ED" w:rsidRDefault="002142ED" w:rsidP="00265608">
      <w:pPr>
        <w:spacing w:line="360" w:lineRule="auto"/>
        <w:rPr>
          <w:rFonts w:ascii="Arial" w:hAnsi="Arial" w:cs="Arial"/>
          <w:szCs w:val="24"/>
        </w:rPr>
      </w:pPr>
    </w:p>
    <w:p w:rsidR="002142ED" w:rsidRDefault="002142ED" w:rsidP="00265608">
      <w:pPr>
        <w:spacing w:line="360" w:lineRule="auto"/>
        <w:ind w:firstLine="851"/>
        <w:jc w:val="both"/>
        <w:rPr>
          <w:rFonts w:ascii="Arial" w:hAnsi="Arial" w:cs="Arial"/>
          <w:szCs w:val="24"/>
        </w:rPr>
      </w:pPr>
      <w:r>
        <w:rPr>
          <w:rFonts w:ascii="Arial" w:hAnsi="Arial" w:cs="Arial"/>
          <w:szCs w:val="24"/>
        </w:rPr>
        <w:t>Efectuado el control del cumplimiento de lo dispuesto en los Artículos 17 de la Ley Nº 17.904 de 07/10/05 y 226 de la Ley  N° 18.172 de 31/08/07, en oportunidad de dictaminar sobre la Rendición de Cuentas y el Balance de Ejecución Presupuestal correspondiente al ejercicio 2012 de la Administración Nacional de Puertos, el Tribunal de Cuentas ha verificado que dicho Organismo no realizó gastos en publicidad durante el ejercicio 2012.</w:t>
      </w:r>
    </w:p>
    <w:p w:rsidR="002142ED" w:rsidRPr="002142ED" w:rsidRDefault="002142ED">
      <w:pPr>
        <w:rPr>
          <w:rFonts w:ascii="Arial" w:hAnsi="Arial" w:cs="Arial"/>
        </w:rPr>
      </w:pPr>
      <w:r w:rsidRPr="00C508BD">
        <w:rPr>
          <w:rFonts w:ascii="Arial" w:hAnsi="Arial" w:cs="Arial"/>
        </w:rPr>
        <w:t>cc</w:t>
      </w:r>
    </w:p>
    <w:sectPr w:rsidR="002142ED" w:rsidRPr="002142ED" w:rsidSect="00D40ADF">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A0B"/>
    <w:multiLevelType w:val="multilevel"/>
    <w:tmpl w:val="5E567556"/>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b/>
      </w:rPr>
    </w:lvl>
    <w:lvl w:ilvl="2">
      <w:start w:val="1"/>
      <w:numFmt w:val="decimal"/>
      <w:lvlText w:val="%1.%2.%3"/>
      <w:lvlJc w:val="left"/>
      <w:pPr>
        <w:tabs>
          <w:tab w:val="num" w:pos="765"/>
        </w:tabs>
        <w:ind w:left="765" w:hanging="765"/>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8C15896"/>
    <w:multiLevelType w:val="hybridMultilevel"/>
    <w:tmpl w:val="3D1CBCEE"/>
    <w:lvl w:ilvl="0" w:tplc="7E340B36">
      <w:start w:val="1"/>
      <w:numFmt w:val="bullet"/>
      <w:lvlText w:val=""/>
      <w:lvlJc w:val="left"/>
      <w:pPr>
        <w:tabs>
          <w:tab w:val="num" w:pos="907"/>
        </w:tabs>
        <w:ind w:left="907" w:hanging="340"/>
      </w:pPr>
      <w:rPr>
        <w:rFonts w:ascii="Wingdings" w:hAnsi="Wingdings" w:hint="default"/>
      </w:rPr>
    </w:lvl>
    <w:lvl w:ilvl="1" w:tplc="F0A20604">
      <w:start w:val="1"/>
      <w:numFmt w:val="bullet"/>
      <w:lvlText w:val=""/>
      <w:lvlJc w:val="left"/>
      <w:pPr>
        <w:tabs>
          <w:tab w:val="num" w:pos="1440"/>
        </w:tabs>
        <w:ind w:left="1440" w:hanging="360"/>
      </w:pPr>
      <w:rPr>
        <w:rFonts w:ascii="Wingdings" w:hAnsi="Wingdings" w:hint="default"/>
        <w:b/>
        <w:i w:val="0"/>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9EF1721"/>
    <w:multiLevelType w:val="multilevel"/>
    <w:tmpl w:val="06AE879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4C895C07"/>
    <w:multiLevelType w:val="hybridMultilevel"/>
    <w:tmpl w:val="CEEA6D78"/>
    <w:lvl w:ilvl="0" w:tplc="0608DD7E">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6BC11DF7"/>
    <w:multiLevelType w:val="hybridMultilevel"/>
    <w:tmpl w:val="0FC2FC58"/>
    <w:lvl w:ilvl="0" w:tplc="C32AD572">
      <w:start w:val="1"/>
      <w:numFmt w:val="decimal"/>
      <w:lvlText w:val="%1."/>
      <w:lvlJc w:val="left"/>
      <w:pPr>
        <w:tabs>
          <w:tab w:val="num" w:pos="750"/>
        </w:tabs>
        <w:ind w:left="750" w:hanging="39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3B70515"/>
    <w:multiLevelType w:val="multilevel"/>
    <w:tmpl w:val="3C46D80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DF"/>
    <w:rsid w:val="00030FAB"/>
    <w:rsid w:val="00166179"/>
    <w:rsid w:val="002142ED"/>
    <w:rsid w:val="00265608"/>
    <w:rsid w:val="002A4A4B"/>
    <w:rsid w:val="004B341C"/>
    <w:rsid w:val="00624D31"/>
    <w:rsid w:val="00741228"/>
    <w:rsid w:val="007A55C7"/>
    <w:rsid w:val="00934FDC"/>
    <w:rsid w:val="00B46884"/>
    <w:rsid w:val="00D40ADF"/>
    <w:rsid w:val="00F135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Bookman Old Style" w:eastAsia="Times New Roman" w:hAnsi="Bookman Old Style" w:cs="Times New Roman"/>
      <w:sz w:val="24"/>
      <w:szCs w:val="20"/>
      <w:lang w:val="es-ES" w:eastAsia="es-ES"/>
    </w:rPr>
  </w:style>
  <w:style w:type="paragraph" w:styleId="Ttulo1">
    <w:name w:val="heading 1"/>
    <w:basedOn w:val="Normal"/>
    <w:next w:val="Normal"/>
    <w:link w:val="Ttulo1Car"/>
    <w:qFormat/>
    <w:rsid w:val="002142E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40ADF"/>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40ADF"/>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D40ADF"/>
    <w:pPr>
      <w:tabs>
        <w:tab w:val="center" w:pos="4419"/>
        <w:tab w:val="right" w:pos="8838"/>
      </w:tabs>
    </w:pPr>
  </w:style>
  <w:style w:type="character" w:customStyle="1" w:styleId="EncabezadoCar">
    <w:name w:val="Encabezado Car"/>
    <w:basedOn w:val="Fuentedeprrafopredeter"/>
    <w:link w:val="Encabezado"/>
    <w:semiHidden/>
    <w:rsid w:val="00D40ADF"/>
    <w:rPr>
      <w:rFonts w:ascii="Bookman Old Style" w:eastAsia="Times New Roman" w:hAnsi="Bookman Old Style" w:cs="Times New Roman"/>
      <w:sz w:val="24"/>
      <w:szCs w:val="20"/>
      <w:lang w:val="es-ES" w:eastAsia="es-ES"/>
    </w:rPr>
  </w:style>
  <w:style w:type="character" w:customStyle="1" w:styleId="Ttulo1Car">
    <w:name w:val="Título 1 Car"/>
    <w:basedOn w:val="Fuentedeprrafopredeter"/>
    <w:link w:val="Ttulo1"/>
    <w:rsid w:val="002142ED"/>
    <w:rPr>
      <w:rFonts w:ascii="Arial" w:eastAsia="Times New Roman" w:hAnsi="Arial" w:cs="Arial"/>
      <w:b/>
      <w:bCs/>
      <w:kern w:val="32"/>
      <w:sz w:val="32"/>
      <w:szCs w:val="32"/>
      <w:lang w:val="es-ES" w:eastAsia="es-ES"/>
    </w:rPr>
  </w:style>
  <w:style w:type="paragraph" w:styleId="Sangradetextonormal">
    <w:name w:val="Body Text Indent"/>
    <w:basedOn w:val="Normal"/>
    <w:link w:val="SangradetextonormalCar"/>
    <w:semiHidden/>
    <w:rsid w:val="002142ED"/>
    <w:pPr>
      <w:widowControl w:val="0"/>
      <w:spacing w:line="360" w:lineRule="auto"/>
    </w:pPr>
    <w:rPr>
      <w:snapToGrid w:val="0"/>
    </w:rPr>
  </w:style>
  <w:style w:type="character" w:customStyle="1" w:styleId="SangradetextonormalCar">
    <w:name w:val="Sangría de texto normal Car"/>
    <w:basedOn w:val="Fuentedeprrafopredeter"/>
    <w:link w:val="Sangradetextonormal"/>
    <w:semiHidden/>
    <w:rsid w:val="002142ED"/>
    <w:rPr>
      <w:rFonts w:ascii="Bookman Old Style" w:eastAsia="Times New Roman" w:hAnsi="Bookman Old Style" w:cs="Times New Roman"/>
      <w:snapToGrid w:val="0"/>
      <w:sz w:val="24"/>
      <w:szCs w:val="20"/>
      <w:lang w:val="es-ES" w:eastAsia="es-ES"/>
    </w:rPr>
  </w:style>
  <w:style w:type="paragraph" w:styleId="Textoindependiente2">
    <w:name w:val="Body Text 2"/>
    <w:basedOn w:val="Normal"/>
    <w:link w:val="Textoindependiente2Car"/>
    <w:semiHidden/>
    <w:rsid w:val="002142ED"/>
    <w:pPr>
      <w:jc w:val="both"/>
    </w:pPr>
    <w:rPr>
      <w:rFonts w:ascii="Arial" w:hAnsi="Arial" w:cs="Arial"/>
      <w:sz w:val="22"/>
      <w:szCs w:val="22"/>
    </w:rPr>
  </w:style>
  <w:style w:type="character" w:customStyle="1" w:styleId="Textoindependiente2Car">
    <w:name w:val="Texto independiente 2 Car"/>
    <w:basedOn w:val="Fuentedeprrafopredeter"/>
    <w:link w:val="Textoindependiente2"/>
    <w:semiHidden/>
    <w:rsid w:val="002142ED"/>
    <w:rPr>
      <w:rFonts w:ascii="Arial" w:eastAsia="Times New Roman" w:hAnsi="Arial" w:cs="Arial"/>
      <w:lang w:val="es-ES" w:eastAsia="es-ES"/>
    </w:rPr>
  </w:style>
  <w:style w:type="paragraph" w:customStyle="1" w:styleId="Textoindependiente21">
    <w:name w:val="Texto independiente 21"/>
    <w:basedOn w:val="Normal"/>
    <w:rsid w:val="002142ED"/>
    <w:pPr>
      <w:widowControl w:val="0"/>
      <w:tabs>
        <w:tab w:val="left" w:pos="-720"/>
      </w:tabs>
      <w:suppressAutoHyphens/>
      <w:jc w:val="both"/>
    </w:pPr>
    <w:rPr>
      <w:spacing w:val="-3"/>
      <w:lang w:val="es-UY"/>
    </w:rPr>
  </w:style>
  <w:style w:type="character" w:styleId="nfasis">
    <w:name w:val="Emphasis"/>
    <w:qFormat/>
    <w:rsid w:val="002142ED"/>
    <w:rPr>
      <w:i/>
      <w:iCs/>
    </w:rPr>
  </w:style>
  <w:style w:type="paragraph" w:styleId="Textoindependiente">
    <w:name w:val="Body Text"/>
    <w:basedOn w:val="Normal"/>
    <w:link w:val="TextoindependienteCar"/>
    <w:uiPriority w:val="99"/>
    <w:unhideWhenUsed/>
    <w:rsid w:val="002142ED"/>
    <w:pPr>
      <w:spacing w:after="120"/>
    </w:pPr>
  </w:style>
  <w:style w:type="character" w:customStyle="1" w:styleId="TextoindependienteCar">
    <w:name w:val="Texto independiente Car"/>
    <w:basedOn w:val="Fuentedeprrafopredeter"/>
    <w:link w:val="Textoindependiente"/>
    <w:uiPriority w:val="99"/>
    <w:rsid w:val="002142ED"/>
    <w:rPr>
      <w:rFonts w:ascii="Bookman Old Style" w:eastAsia="Times New Roman" w:hAnsi="Bookman Old Style"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Bookman Old Style" w:eastAsia="Times New Roman" w:hAnsi="Bookman Old Style" w:cs="Times New Roman"/>
      <w:sz w:val="24"/>
      <w:szCs w:val="20"/>
      <w:lang w:val="es-ES" w:eastAsia="es-ES"/>
    </w:rPr>
  </w:style>
  <w:style w:type="paragraph" w:styleId="Ttulo1">
    <w:name w:val="heading 1"/>
    <w:basedOn w:val="Normal"/>
    <w:next w:val="Normal"/>
    <w:link w:val="Ttulo1Car"/>
    <w:qFormat/>
    <w:rsid w:val="002142E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40ADF"/>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40ADF"/>
    <w:rPr>
      <w:rFonts w:ascii="Bookman Old Style" w:eastAsia="Times New Roman" w:hAnsi="Bookman Old Style" w:cs="Times New Roman"/>
      <w:b/>
      <w:sz w:val="24"/>
      <w:szCs w:val="20"/>
      <w:lang w:val="es-ES" w:eastAsia="es-ES"/>
    </w:rPr>
  </w:style>
  <w:style w:type="paragraph" w:styleId="Encabezado">
    <w:name w:val="header"/>
    <w:basedOn w:val="Normal"/>
    <w:link w:val="EncabezadoCar"/>
    <w:semiHidden/>
    <w:rsid w:val="00D40ADF"/>
    <w:pPr>
      <w:tabs>
        <w:tab w:val="center" w:pos="4419"/>
        <w:tab w:val="right" w:pos="8838"/>
      </w:tabs>
    </w:pPr>
  </w:style>
  <w:style w:type="character" w:customStyle="1" w:styleId="EncabezadoCar">
    <w:name w:val="Encabezado Car"/>
    <w:basedOn w:val="Fuentedeprrafopredeter"/>
    <w:link w:val="Encabezado"/>
    <w:semiHidden/>
    <w:rsid w:val="00D40ADF"/>
    <w:rPr>
      <w:rFonts w:ascii="Bookman Old Style" w:eastAsia="Times New Roman" w:hAnsi="Bookman Old Style" w:cs="Times New Roman"/>
      <w:sz w:val="24"/>
      <w:szCs w:val="20"/>
      <w:lang w:val="es-ES" w:eastAsia="es-ES"/>
    </w:rPr>
  </w:style>
  <w:style w:type="character" w:customStyle="1" w:styleId="Ttulo1Car">
    <w:name w:val="Título 1 Car"/>
    <w:basedOn w:val="Fuentedeprrafopredeter"/>
    <w:link w:val="Ttulo1"/>
    <w:rsid w:val="002142ED"/>
    <w:rPr>
      <w:rFonts w:ascii="Arial" w:eastAsia="Times New Roman" w:hAnsi="Arial" w:cs="Arial"/>
      <w:b/>
      <w:bCs/>
      <w:kern w:val="32"/>
      <w:sz w:val="32"/>
      <w:szCs w:val="32"/>
      <w:lang w:val="es-ES" w:eastAsia="es-ES"/>
    </w:rPr>
  </w:style>
  <w:style w:type="paragraph" w:styleId="Sangradetextonormal">
    <w:name w:val="Body Text Indent"/>
    <w:basedOn w:val="Normal"/>
    <w:link w:val="SangradetextonormalCar"/>
    <w:semiHidden/>
    <w:rsid w:val="002142ED"/>
    <w:pPr>
      <w:widowControl w:val="0"/>
      <w:spacing w:line="360" w:lineRule="auto"/>
    </w:pPr>
    <w:rPr>
      <w:snapToGrid w:val="0"/>
    </w:rPr>
  </w:style>
  <w:style w:type="character" w:customStyle="1" w:styleId="SangradetextonormalCar">
    <w:name w:val="Sangría de texto normal Car"/>
    <w:basedOn w:val="Fuentedeprrafopredeter"/>
    <w:link w:val="Sangradetextonormal"/>
    <w:semiHidden/>
    <w:rsid w:val="002142ED"/>
    <w:rPr>
      <w:rFonts w:ascii="Bookman Old Style" w:eastAsia="Times New Roman" w:hAnsi="Bookman Old Style" w:cs="Times New Roman"/>
      <w:snapToGrid w:val="0"/>
      <w:sz w:val="24"/>
      <w:szCs w:val="20"/>
      <w:lang w:val="es-ES" w:eastAsia="es-ES"/>
    </w:rPr>
  </w:style>
  <w:style w:type="paragraph" w:styleId="Textoindependiente2">
    <w:name w:val="Body Text 2"/>
    <w:basedOn w:val="Normal"/>
    <w:link w:val="Textoindependiente2Car"/>
    <w:semiHidden/>
    <w:rsid w:val="002142ED"/>
    <w:pPr>
      <w:jc w:val="both"/>
    </w:pPr>
    <w:rPr>
      <w:rFonts w:ascii="Arial" w:hAnsi="Arial" w:cs="Arial"/>
      <w:sz w:val="22"/>
      <w:szCs w:val="22"/>
    </w:rPr>
  </w:style>
  <w:style w:type="character" w:customStyle="1" w:styleId="Textoindependiente2Car">
    <w:name w:val="Texto independiente 2 Car"/>
    <w:basedOn w:val="Fuentedeprrafopredeter"/>
    <w:link w:val="Textoindependiente2"/>
    <w:semiHidden/>
    <w:rsid w:val="002142ED"/>
    <w:rPr>
      <w:rFonts w:ascii="Arial" w:eastAsia="Times New Roman" w:hAnsi="Arial" w:cs="Arial"/>
      <w:lang w:val="es-ES" w:eastAsia="es-ES"/>
    </w:rPr>
  </w:style>
  <w:style w:type="paragraph" w:customStyle="1" w:styleId="Textoindependiente21">
    <w:name w:val="Texto independiente 21"/>
    <w:basedOn w:val="Normal"/>
    <w:rsid w:val="002142ED"/>
    <w:pPr>
      <w:widowControl w:val="0"/>
      <w:tabs>
        <w:tab w:val="left" w:pos="-720"/>
      </w:tabs>
      <w:suppressAutoHyphens/>
      <w:jc w:val="both"/>
    </w:pPr>
    <w:rPr>
      <w:spacing w:val="-3"/>
      <w:lang w:val="es-UY"/>
    </w:rPr>
  </w:style>
  <w:style w:type="character" w:styleId="nfasis">
    <w:name w:val="Emphasis"/>
    <w:qFormat/>
    <w:rsid w:val="002142ED"/>
    <w:rPr>
      <w:i/>
      <w:iCs/>
    </w:rPr>
  </w:style>
  <w:style w:type="paragraph" w:styleId="Textoindependiente">
    <w:name w:val="Body Text"/>
    <w:basedOn w:val="Normal"/>
    <w:link w:val="TextoindependienteCar"/>
    <w:uiPriority w:val="99"/>
    <w:unhideWhenUsed/>
    <w:rsid w:val="002142ED"/>
    <w:pPr>
      <w:spacing w:after="120"/>
    </w:pPr>
  </w:style>
  <w:style w:type="character" w:customStyle="1" w:styleId="TextoindependienteCar">
    <w:name w:val="Texto independiente Car"/>
    <w:basedOn w:val="Fuentedeprrafopredeter"/>
    <w:link w:val="Textoindependiente"/>
    <w:uiPriority w:val="99"/>
    <w:rsid w:val="002142ED"/>
    <w:rPr>
      <w:rFonts w:ascii="Bookman Old Style" w:eastAsia="Times New Roman" w:hAnsi="Bookman Old Style"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2097</Words>
  <Characters>11535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43704168</dc:creator>
  <cp:keywords/>
  <dc:description/>
  <cp:lastModifiedBy> </cp:lastModifiedBy>
  <cp:revision>7</cp:revision>
  <cp:lastPrinted>2013-10-25T17:48:00Z</cp:lastPrinted>
  <dcterms:created xsi:type="dcterms:W3CDTF">2013-10-23T19:00:00Z</dcterms:created>
  <dcterms:modified xsi:type="dcterms:W3CDTF">2013-11-18T16:37:00Z</dcterms:modified>
</cp:coreProperties>
</file>