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A1" w:rsidRPr="00273BA1" w:rsidRDefault="00273BA1" w:rsidP="00273B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273BA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73BA1" w:rsidRPr="00273BA1" w:rsidRDefault="00273BA1" w:rsidP="00273BA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73BA1" w:rsidRPr="00273BA1" w:rsidRDefault="00273BA1" w:rsidP="00273B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73BA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73BA1" w:rsidRPr="00273BA1" w:rsidRDefault="00273BA1" w:rsidP="00273BA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73BA1" w:rsidRPr="00273BA1" w:rsidRDefault="00273BA1" w:rsidP="00273B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73BA1">
        <w:rPr>
          <w:rFonts w:ascii="Arial" w:hAnsi="Arial" w:cs="Arial"/>
          <w:b/>
          <w:sz w:val="24"/>
          <w:szCs w:val="24"/>
          <w:lang w:val="es-ES_tradnl"/>
        </w:rPr>
        <w:t>EN SESION DE FECHA 23 DE OCTUBRE DE 2013</w:t>
      </w:r>
    </w:p>
    <w:p w:rsidR="00273BA1" w:rsidRPr="00273BA1" w:rsidRDefault="00273BA1" w:rsidP="00273B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73BA1" w:rsidRPr="00273BA1" w:rsidRDefault="00273BA1" w:rsidP="00273BA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73BA1">
        <w:rPr>
          <w:rFonts w:ascii="Arial" w:hAnsi="Arial" w:cs="Arial"/>
          <w:b/>
          <w:sz w:val="24"/>
          <w:szCs w:val="24"/>
          <w:lang w:val="es-ES_tradnl"/>
        </w:rPr>
        <w:t xml:space="preserve">(E. E. Nº 2013-17-1-0006269, </w:t>
      </w:r>
      <w:proofErr w:type="spellStart"/>
      <w:r w:rsidRPr="00273BA1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273BA1">
        <w:rPr>
          <w:rFonts w:ascii="Arial" w:hAnsi="Arial" w:cs="Arial"/>
          <w:b/>
          <w:sz w:val="24"/>
          <w:szCs w:val="24"/>
          <w:lang w:val="es-ES_tradnl"/>
        </w:rPr>
        <w:t>. N° 5488/13)</w:t>
      </w:r>
    </w:p>
    <w:p w:rsidR="00914BB0" w:rsidRPr="00B5276B" w:rsidRDefault="00914BB0" w:rsidP="00914BB0">
      <w:pPr>
        <w:jc w:val="center"/>
        <w:rPr>
          <w:rFonts w:ascii="Arial" w:hAnsi="Arial" w:cs="Arial"/>
          <w:b/>
          <w:sz w:val="24"/>
          <w:szCs w:val="24"/>
        </w:rPr>
      </w:pPr>
    </w:p>
    <w:p w:rsidR="009A1B02" w:rsidRPr="00B5276B" w:rsidRDefault="009A1B02" w:rsidP="00273B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76B">
        <w:rPr>
          <w:rFonts w:ascii="Arial" w:hAnsi="Arial" w:cs="Arial"/>
          <w:b/>
          <w:sz w:val="24"/>
          <w:szCs w:val="24"/>
        </w:rPr>
        <w:t xml:space="preserve">VISTO: </w:t>
      </w:r>
      <w:r w:rsidRPr="00B5276B">
        <w:rPr>
          <w:rFonts w:ascii="Arial" w:hAnsi="Arial" w:cs="Arial"/>
          <w:sz w:val="24"/>
          <w:szCs w:val="24"/>
        </w:rPr>
        <w:t xml:space="preserve">la nota de fecha 20 de agosto de 2013 </w:t>
      </w:r>
      <w:r w:rsidR="006D0E9B" w:rsidRPr="00B5276B">
        <w:rPr>
          <w:rFonts w:ascii="Arial" w:hAnsi="Arial" w:cs="Arial"/>
          <w:sz w:val="24"/>
          <w:szCs w:val="24"/>
        </w:rPr>
        <w:t xml:space="preserve">de la Facultad de Veterinaria, </w:t>
      </w:r>
      <w:r w:rsidRPr="00B5276B">
        <w:rPr>
          <w:rFonts w:ascii="Arial" w:hAnsi="Arial" w:cs="Arial"/>
          <w:sz w:val="24"/>
          <w:szCs w:val="24"/>
        </w:rPr>
        <w:t xml:space="preserve">remitida </w:t>
      </w:r>
      <w:r w:rsidR="006D0E9B" w:rsidRPr="00B5276B">
        <w:rPr>
          <w:rFonts w:ascii="Arial" w:hAnsi="Arial" w:cs="Arial"/>
          <w:sz w:val="24"/>
          <w:szCs w:val="24"/>
        </w:rPr>
        <w:t xml:space="preserve">por la Universidad de la República, referentes a </w:t>
      </w:r>
      <w:r w:rsidR="00793220">
        <w:rPr>
          <w:rFonts w:ascii="Arial" w:hAnsi="Arial" w:cs="Arial"/>
          <w:sz w:val="24"/>
          <w:szCs w:val="24"/>
        </w:rPr>
        <w:t>dos</w:t>
      </w:r>
      <w:r w:rsidR="006D0E9B" w:rsidRPr="00B5276B">
        <w:rPr>
          <w:rFonts w:ascii="Arial" w:hAnsi="Arial" w:cs="Arial"/>
          <w:sz w:val="24"/>
          <w:szCs w:val="24"/>
        </w:rPr>
        <w:t xml:space="preserve"> observaci</w:t>
      </w:r>
      <w:r w:rsidR="00793220">
        <w:rPr>
          <w:rFonts w:ascii="Arial" w:hAnsi="Arial" w:cs="Arial"/>
          <w:sz w:val="24"/>
          <w:szCs w:val="24"/>
        </w:rPr>
        <w:t>o</w:t>
      </w:r>
      <w:r w:rsidR="006D0E9B" w:rsidRPr="00B5276B">
        <w:rPr>
          <w:rFonts w:ascii="Arial" w:hAnsi="Arial" w:cs="Arial"/>
          <w:sz w:val="24"/>
          <w:szCs w:val="24"/>
        </w:rPr>
        <w:t>n</w:t>
      </w:r>
      <w:r w:rsidR="00793220">
        <w:rPr>
          <w:rFonts w:ascii="Arial" w:hAnsi="Arial" w:cs="Arial"/>
          <w:sz w:val="24"/>
          <w:szCs w:val="24"/>
        </w:rPr>
        <w:t>es</w:t>
      </w:r>
      <w:r w:rsidR="006D0E9B" w:rsidRPr="00B5276B">
        <w:rPr>
          <w:rFonts w:ascii="Arial" w:hAnsi="Arial" w:cs="Arial"/>
          <w:sz w:val="24"/>
          <w:szCs w:val="24"/>
        </w:rPr>
        <w:t xml:space="preserve"> </w:t>
      </w:r>
      <w:r w:rsidR="00793220">
        <w:rPr>
          <w:rFonts w:ascii="Arial" w:hAnsi="Arial" w:cs="Arial"/>
          <w:sz w:val="24"/>
          <w:szCs w:val="24"/>
        </w:rPr>
        <w:t>al</w:t>
      </w:r>
      <w:r w:rsidR="006D0E9B" w:rsidRPr="00B5276B">
        <w:rPr>
          <w:rFonts w:ascii="Arial" w:hAnsi="Arial" w:cs="Arial"/>
          <w:sz w:val="24"/>
          <w:szCs w:val="24"/>
        </w:rPr>
        <w:t xml:space="preserve"> procedimiento de rendición de la</w:t>
      </w:r>
      <w:r w:rsidR="00914BB0">
        <w:rPr>
          <w:rFonts w:ascii="Arial" w:hAnsi="Arial" w:cs="Arial"/>
          <w:sz w:val="24"/>
          <w:szCs w:val="24"/>
        </w:rPr>
        <w:t>s</w:t>
      </w:r>
      <w:r w:rsidR="006D0E9B" w:rsidRPr="00B5276B">
        <w:rPr>
          <w:rFonts w:ascii="Arial" w:hAnsi="Arial" w:cs="Arial"/>
          <w:sz w:val="24"/>
          <w:szCs w:val="24"/>
        </w:rPr>
        <w:t xml:space="preserve"> partidas para gastos prevista en el </w:t>
      </w:r>
      <w:r w:rsidR="00273BA1">
        <w:rPr>
          <w:rFonts w:ascii="Arial" w:hAnsi="Arial" w:cs="Arial"/>
          <w:sz w:val="24"/>
          <w:szCs w:val="24"/>
        </w:rPr>
        <w:t>A</w:t>
      </w:r>
      <w:r w:rsidR="006D0E9B" w:rsidRPr="00B5276B">
        <w:rPr>
          <w:rFonts w:ascii="Arial" w:hAnsi="Arial" w:cs="Arial"/>
          <w:sz w:val="24"/>
          <w:szCs w:val="24"/>
        </w:rPr>
        <w:t>rtículo 57 del estatuto del Personal Docente</w:t>
      </w:r>
      <w:r w:rsidR="00273BA1">
        <w:rPr>
          <w:rFonts w:ascii="Arial" w:hAnsi="Arial" w:cs="Arial"/>
          <w:sz w:val="24"/>
          <w:szCs w:val="24"/>
        </w:rPr>
        <w:t>;</w:t>
      </w:r>
      <w:r w:rsidR="006D0E9B" w:rsidRPr="00B5276B">
        <w:rPr>
          <w:rFonts w:ascii="Arial" w:hAnsi="Arial" w:cs="Arial"/>
          <w:sz w:val="24"/>
          <w:szCs w:val="24"/>
        </w:rPr>
        <w:t xml:space="preserve"> </w:t>
      </w:r>
    </w:p>
    <w:p w:rsidR="006D0E9B" w:rsidRPr="00B5276B" w:rsidRDefault="006D0E9B" w:rsidP="00273B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76B">
        <w:rPr>
          <w:rFonts w:ascii="Arial" w:hAnsi="Arial" w:cs="Arial"/>
          <w:b/>
          <w:sz w:val="24"/>
          <w:szCs w:val="24"/>
        </w:rPr>
        <w:t>RESULTANDO:</w:t>
      </w:r>
      <w:r w:rsidR="00273BA1">
        <w:rPr>
          <w:rFonts w:ascii="Arial" w:hAnsi="Arial" w:cs="Arial"/>
          <w:b/>
          <w:sz w:val="24"/>
          <w:szCs w:val="24"/>
        </w:rPr>
        <w:tab/>
      </w:r>
      <w:r w:rsidRPr="00B5276B">
        <w:rPr>
          <w:rFonts w:ascii="Arial" w:hAnsi="Arial" w:cs="Arial"/>
          <w:b/>
          <w:sz w:val="24"/>
          <w:szCs w:val="24"/>
        </w:rPr>
        <w:t xml:space="preserve">1) </w:t>
      </w:r>
      <w:r w:rsidRPr="00B5276B">
        <w:rPr>
          <w:rFonts w:ascii="Arial" w:hAnsi="Arial" w:cs="Arial"/>
          <w:sz w:val="24"/>
          <w:szCs w:val="24"/>
        </w:rPr>
        <w:t>que por dicha nota se pone</w:t>
      </w:r>
      <w:r w:rsidR="00914BB0">
        <w:rPr>
          <w:rFonts w:ascii="Arial" w:hAnsi="Arial" w:cs="Arial"/>
          <w:sz w:val="24"/>
          <w:szCs w:val="24"/>
        </w:rPr>
        <w:t>n</w:t>
      </w:r>
      <w:r w:rsidRPr="00B5276B">
        <w:rPr>
          <w:rFonts w:ascii="Arial" w:hAnsi="Arial" w:cs="Arial"/>
          <w:sz w:val="24"/>
          <w:szCs w:val="24"/>
        </w:rPr>
        <w:t xml:space="preserve"> en conocimiento de este </w:t>
      </w:r>
      <w:r w:rsidR="00E5241A" w:rsidRPr="00B5276B">
        <w:rPr>
          <w:rFonts w:ascii="Arial" w:hAnsi="Arial" w:cs="Arial"/>
          <w:sz w:val="24"/>
          <w:szCs w:val="24"/>
        </w:rPr>
        <w:t>T</w:t>
      </w:r>
      <w:r w:rsidRPr="00B5276B">
        <w:rPr>
          <w:rFonts w:ascii="Arial" w:hAnsi="Arial" w:cs="Arial"/>
          <w:sz w:val="24"/>
          <w:szCs w:val="24"/>
        </w:rPr>
        <w:t xml:space="preserve">ribunal dos observaciones al procedimiento de rendición de la partida para gastos correspondiente al </w:t>
      </w:r>
      <w:r w:rsidR="0056175D">
        <w:rPr>
          <w:rFonts w:ascii="Arial" w:hAnsi="Arial" w:cs="Arial"/>
          <w:sz w:val="24"/>
          <w:szCs w:val="24"/>
        </w:rPr>
        <w:t>A</w:t>
      </w:r>
      <w:r w:rsidRPr="00B5276B">
        <w:rPr>
          <w:rFonts w:ascii="Arial" w:hAnsi="Arial" w:cs="Arial"/>
          <w:sz w:val="24"/>
          <w:szCs w:val="24"/>
        </w:rPr>
        <w:t xml:space="preserve">rtículo 57 del </w:t>
      </w:r>
      <w:r w:rsidR="00E5241A" w:rsidRPr="00B5276B">
        <w:rPr>
          <w:rFonts w:ascii="Arial" w:hAnsi="Arial" w:cs="Arial"/>
          <w:sz w:val="24"/>
          <w:szCs w:val="24"/>
        </w:rPr>
        <w:t>E</w:t>
      </w:r>
      <w:r w:rsidRPr="00B5276B">
        <w:rPr>
          <w:rFonts w:ascii="Arial" w:hAnsi="Arial" w:cs="Arial"/>
          <w:sz w:val="24"/>
          <w:szCs w:val="24"/>
        </w:rPr>
        <w:t>statuto del Personal Docente de la Universidad de la República, realizad</w:t>
      </w:r>
      <w:r w:rsidR="00793220">
        <w:rPr>
          <w:rFonts w:ascii="Arial" w:hAnsi="Arial" w:cs="Arial"/>
          <w:sz w:val="24"/>
          <w:szCs w:val="24"/>
        </w:rPr>
        <w:t>a</w:t>
      </w:r>
      <w:r w:rsidRPr="00B5276B">
        <w:rPr>
          <w:rFonts w:ascii="Arial" w:hAnsi="Arial" w:cs="Arial"/>
          <w:sz w:val="24"/>
          <w:szCs w:val="24"/>
        </w:rPr>
        <w:t>s por la Contadora Delegada del Tribunal de Cuentas en la Facultad de Veterinaria,</w:t>
      </w:r>
      <w:r w:rsidR="00793220" w:rsidRPr="00B5276B">
        <w:rPr>
          <w:rFonts w:ascii="Arial" w:hAnsi="Arial" w:cs="Arial"/>
          <w:sz w:val="24"/>
          <w:szCs w:val="24"/>
        </w:rPr>
        <w:t xml:space="preserve"> pagados en el mes de abril de 2013</w:t>
      </w:r>
      <w:r w:rsidR="00793220">
        <w:rPr>
          <w:rFonts w:ascii="Arial" w:hAnsi="Arial" w:cs="Arial"/>
          <w:sz w:val="24"/>
          <w:szCs w:val="24"/>
        </w:rPr>
        <w:t xml:space="preserve">, </w:t>
      </w:r>
      <w:r w:rsidRPr="00B5276B">
        <w:rPr>
          <w:rFonts w:ascii="Arial" w:hAnsi="Arial" w:cs="Arial"/>
          <w:sz w:val="24"/>
          <w:szCs w:val="24"/>
        </w:rPr>
        <w:t xml:space="preserve">por no cumplir con el </w:t>
      </w:r>
      <w:r w:rsidR="0056175D">
        <w:rPr>
          <w:rFonts w:ascii="Arial" w:hAnsi="Arial" w:cs="Arial"/>
          <w:sz w:val="24"/>
          <w:szCs w:val="24"/>
        </w:rPr>
        <w:t>A</w:t>
      </w:r>
      <w:r w:rsidRPr="00B5276B">
        <w:rPr>
          <w:rFonts w:ascii="Arial" w:hAnsi="Arial" w:cs="Arial"/>
          <w:sz w:val="24"/>
          <w:szCs w:val="24"/>
        </w:rPr>
        <w:t xml:space="preserve">rtículo 132 del TOCAF, de acuerdo </w:t>
      </w:r>
      <w:r w:rsidR="00032574">
        <w:rPr>
          <w:rFonts w:ascii="Arial" w:hAnsi="Arial" w:cs="Arial"/>
          <w:sz w:val="24"/>
          <w:szCs w:val="24"/>
        </w:rPr>
        <w:t>con e</w:t>
      </w:r>
      <w:r w:rsidRPr="00B5276B">
        <w:rPr>
          <w:rFonts w:ascii="Arial" w:hAnsi="Arial" w:cs="Arial"/>
          <w:sz w:val="24"/>
          <w:szCs w:val="24"/>
        </w:rPr>
        <w:t>l siguiente detalle:</w:t>
      </w:r>
    </w:p>
    <w:p w:rsidR="006D0E9B" w:rsidRPr="00B5276B" w:rsidRDefault="006D0E9B" w:rsidP="00B5276B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2157"/>
      </w:tblGrid>
      <w:tr w:rsidR="006D0E9B" w:rsidRPr="00B5276B" w:rsidTr="00914BB0">
        <w:tc>
          <w:tcPr>
            <w:tcW w:w="4644" w:type="dxa"/>
          </w:tcPr>
          <w:p w:rsidR="006D0E9B" w:rsidRPr="00B5276B" w:rsidRDefault="006D0E9B" w:rsidP="0056175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  <w:tc>
          <w:tcPr>
            <w:tcW w:w="1843" w:type="dxa"/>
          </w:tcPr>
          <w:p w:rsidR="006D0E9B" w:rsidRPr="00B5276B" w:rsidRDefault="006D0E9B" w:rsidP="0091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157" w:type="dxa"/>
          </w:tcPr>
          <w:p w:rsidR="006D0E9B" w:rsidRPr="00B5276B" w:rsidRDefault="006D0E9B" w:rsidP="00B527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IMPORTE ($)</w:t>
            </w:r>
          </w:p>
        </w:tc>
      </w:tr>
      <w:tr w:rsidR="006D0E9B" w:rsidRPr="00B5276B" w:rsidTr="00914BB0">
        <w:tc>
          <w:tcPr>
            <w:tcW w:w="4644" w:type="dxa"/>
          </w:tcPr>
          <w:p w:rsidR="006D0E9B" w:rsidRPr="00B5276B" w:rsidRDefault="006D0E9B" w:rsidP="005617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Artículo 132 TOCAF Decreto 150/2012</w:t>
            </w:r>
          </w:p>
        </w:tc>
        <w:tc>
          <w:tcPr>
            <w:tcW w:w="1843" w:type="dxa"/>
          </w:tcPr>
          <w:p w:rsidR="006D0E9B" w:rsidRPr="00B5276B" w:rsidRDefault="006D0E9B" w:rsidP="0091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6D0E9B" w:rsidRPr="00B5276B" w:rsidRDefault="006D0E9B" w:rsidP="00B527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14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276B">
              <w:rPr>
                <w:rFonts w:ascii="Arial" w:hAnsi="Arial" w:cs="Arial"/>
                <w:sz w:val="24"/>
                <w:szCs w:val="24"/>
              </w:rPr>
              <w:t>929.377</w:t>
            </w:r>
          </w:p>
        </w:tc>
      </w:tr>
      <w:tr w:rsidR="006D0E9B" w:rsidRPr="00B5276B" w:rsidTr="00914BB0">
        <w:tc>
          <w:tcPr>
            <w:tcW w:w="4644" w:type="dxa"/>
          </w:tcPr>
          <w:p w:rsidR="006D0E9B" w:rsidRPr="00B5276B" w:rsidRDefault="006D0E9B" w:rsidP="005617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Artículo 132 TOCAF Decreto 150/2012</w:t>
            </w:r>
          </w:p>
        </w:tc>
        <w:tc>
          <w:tcPr>
            <w:tcW w:w="1843" w:type="dxa"/>
          </w:tcPr>
          <w:p w:rsidR="006D0E9B" w:rsidRPr="00B5276B" w:rsidRDefault="006D0E9B" w:rsidP="0091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6D0E9B" w:rsidRPr="00B5276B" w:rsidRDefault="006D0E9B" w:rsidP="00B527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14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276B">
              <w:rPr>
                <w:rFonts w:ascii="Arial" w:hAnsi="Arial" w:cs="Arial"/>
                <w:sz w:val="24"/>
                <w:szCs w:val="24"/>
              </w:rPr>
              <w:t>501.840</w:t>
            </w:r>
          </w:p>
        </w:tc>
      </w:tr>
      <w:tr w:rsidR="006D0E9B" w:rsidRPr="00B5276B" w:rsidTr="00914BB0">
        <w:tc>
          <w:tcPr>
            <w:tcW w:w="4644" w:type="dxa"/>
          </w:tcPr>
          <w:p w:rsidR="006D0E9B" w:rsidRPr="00B5276B" w:rsidRDefault="006D0E9B" w:rsidP="0056175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6D0E9B" w:rsidRPr="00B5276B" w:rsidRDefault="006D0E9B" w:rsidP="00914B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D0E9B" w:rsidRPr="00B5276B" w:rsidRDefault="006D0E9B" w:rsidP="00B527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1.431.217</w:t>
            </w:r>
          </w:p>
        </w:tc>
      </w:tr>
    </w:tbl>
    <w:p w:rsidR="00B5276B" w:rsidRPr="00B5276B" w:rsidRDefault="00B5276B" w:rsidP="00B52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2001" w:rsidRPr="00B5276B" w:rsidRDefault="003D2001" w:rsidP="00B52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3D2001" w:rsidRPr="00B5276B" w:rsidRDefault="003D2001" w:rsidP="00273B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9D6D9C">
        <w:rPr>
          <w:rFonts w:ascii="Arial" w:hAnsi="Arial" w:cs="Arial"/>
          <w:b/>
          <w:sz w:val="24"/>
          <w:szCs w:val="24"/>
        </w:rPr>
        <w:t xml:space="preserve">CONSIDERANDO: 1) </w:t>
      </w:r>
      <w:r w:rsidRPr="00914BB0">
        <w:rPr>
          <w:rFonts w:ascii="Arial" w:hAnsi="Arial" w:cs="Arial"/>
          <w:sz w:val="24"/>
          <w:szCs w:val="24"/>
        </w:rPr>
        <w:t>que resulta fundado el motivo expuesto por el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Delegado para no aprobar el proc</w:t>
      </w:r>
      <w:r w:rsidR="0056175D">
        <w:rPr>
          <w:rFonts w:ascii="Arial" w:hAnsi="Arial" w:cs="Arial"/>
          <w:sz w:val="24"/>
          <w:szCs w:val="24"/>
          <w:lang w:val="es-UY"/>
        </w:rPr>
        <w:t>edimiento de rendición referido;</w:t>
      </w:r>
    </w:p>
    <w:p w:rsidR="003D2001" w:rsidRDefault="00F30E25" w:rsidP="00273BA1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2)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que no obstante por Oficio Nº 7114/13 de fecha 16 de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setiembre de 2013, este Tribunal comunicó a la Universidad de la República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criterio respecto al procedimiento que se debe cumplir a los efectos de la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rendición de cuentas de dicha partida;</w:t>
      </w:r>
    </w:p>
    <w:p w:rsidR="003D2001" w:rsidRPr="00B5276B" w:rsidRDefault="00F30E25" w:rsidP="00F30E25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lastRenderedPageBreak/>
        <w:t xml:space="preserve"> </w:t>
      </w:r>
      <w:r w:rsidR="003D2001"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3)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que este Tribunal entiende que una partida puede ser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rendida, aunque no esté ejecutada en su totalidad, siempre que se informe en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forma documentada o comprobable respecto a la totalidad de los fondos;</w:t>
      </w:r>
    </w:p>
    <w:p w:rsidR="003D2001" w:rsidRPr="00B5276B" w:rsidRDefault="00F30E25" w:rsidP="00F30E25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4)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que la Universidad deberá determinar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procedimiento que permita justificar la existencia de fondos otorgados por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273BA1">
        <w:rPr>
          <w:rFonts w:ascii="Arial" w:hAnsi="Arial" w:cs="Arial"/>
          <w:sz w:val="24"/>
          <w:szCs w:val="24"/>
          <w:lang w:val="es-UY"/>
        </w:rPr>
        <w:t>A</w:t>
      </w:r>
      <w:r w:rsidR="003D2001" w:rsidRPr="00B5276B">
        <w:rPr>
          <w:rFonts w:ascii="Arial" w:hAnsi="Arial" w:cs="Arial"/>
          <w:sz w:val="24"/>
          <w:szCs w:val="24"/>
          <w:lang w:val="es-UY"/>
        </w:rPr>
        <w:t>rtículo 57 citado y no ejecutados al efectuar la rendición de cuentas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B5276B">
        <w:rPr>
          <w:rFonts w:ascii="Arial" w:hAnsi="Arial" w:cs="Arial"/>
          <w:sz w:val="24"/>
          <w:szCs w:val="24"/>
          <w:lang w:val="es-UY"/>
        </w:rPr>
        <w:t>correspondiente y poner</w:t>
      </w:r>
      <w:r w:rsidR="00273BA1">
        <w:rPr>
          <w:rFonts w:ascii="Arial" w:hAnsi="Arial" w:cs="Arial"/>
          <w:sz w:val="24"/>
          <w:szCs w:val="24"/>
          <w:lang w:val="es-UY"/>
        </w:rPr>
        <w:t>lo en conocimiento del Tribunal;</w:t>
      </w:r>
    </w:p>
    <w:p w:rsidR="00B5276B" w:rsidRDefault="003D2001" w:rsidP="0056175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ATENTO: 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a lo expuesto precedentemente y a lo dispuesto por el </w:t>
      </w:r>
      <w:r w:rsidR="00C2796F">
        <w:rPr>
          <w:rFonts w:ascii="Arial" w:hAnsi="Arial" w:cs="Arial"/>
          <w:sz w:val="24"/>
          <w:szCs w:val="24"/>
          <w:lang w:val="es-UY"/>
        </w:rPr>
        <w:t>A</w:t>
      </w:r>
      <w:r w:rsidRPr="00B5276B">
        <w:rPr>
          <w:rFonts w:ascii="Arial" w:hAnsi="Arial" w:cs="Arial"/>
          <w:sz w:val="24"/>
          <w:szCs w:val="24"/>
          <w:lang w:val="es-UY"/>
        </w:rPr>
        <w:t>rt</w:t>
      </w:r>
      <w:r w:rsidR="00C2796F">
        <w:rPr>
          <w:rFonts w:ascii="Arial" w:hAnsi="Arial" w:cs="Arial"/>
          <w:sz w:val="24"/>
          <w:szCs w:val="24"/>
          <w:lang w:val="es-UY"/>
        </w:rPr>
        <w:t>ículo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211 Lit</w:t>
      </w:r>
      <w:r w:rsidR="00273BA1">
        <w:rPr>
          <w:rFonts w:ascii="Arial" w:hAnsi="Arial" w:cs="Arial"/>
          <w:sz w:val="24"/>
          <w:szCs w:val="24"/>
          <w:lang w:val="es-UY"/>
        </w:rPr>
        <w:t>eral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E)</w:t>
      </w:r>
      <w:r w:rsidR="00273BA1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de la Constitución de la República;</w:t>
      </w:r>
    </w:p>
    <w:p w:rsidR="003D2001" w:rsidRPr="00B5276B" w:rsidRDefault="003D2001" w:rsidP="00273BA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t>EL TRIBUNAL ACUERDA</w:t>
      </w:r>
    </w:p>
    <w:p w:rsidR="003D2001" w:rsidRPr="00273BA1" w:rsidRDefault="003D2001" w:rsidP="00273BA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273BA1">
        <w:rPr>
          <w:rFonts w:ascii="Arial" w:hAnsi="Arial" w:cs="Arial"/>
          <w:sz w:val="24"/>
          <w:szCs w:val="24"/>
          <w:lang w:val="es-UY"/>
        </w:rPr>
        <w:t xml:space="preserve">Ratificar lo actuado por </w:t>
      </w:r>
      <w:r w:rsidR="00B5276B" w:rsidRPr="00273BA1">
        <w:rPr>
          <w:rFonts w:ascii="Arial" w:hAnsi="Arial" w:cs="Arial"/>
          <w:sz w:val="24"/>
          <w:szCs w:val="24"/>
          <w:lang w:val="es-UY"/>
        </w:rPr>
        <w:t>la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B5276B" w:rsidRPr="00273BA1">
        <w:rPr>
          <w:rFonts w:ascii="Arial" w:hAnsi="Arial" w:cs="Arial"/>
          <w:sz w:val="24"/>
          <w:szCs w:val="24"/>
          <w:lang w:val="es-UY"/>
        </w:rPr>
        <w:t>a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 Delegad</w:t>
      </w:r>
      <w:r w:rsidR="00B5276B" w:rsidRPr="00273BA1">
        <w:rPr>
          <w:rFonts w:ascii="Arial" w:hAnsi="Arial" w:cs="Arial"/>
          <w:sz w:val="24"/>
          <w:szCs w:val="24"/>
          <w:lang w:val="es-UY"/>
        </w:rPr>
        <w:t>a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 en la Facultad de</w:t>
      </w:r>
      <w:r w:rsidR="00B5276B" w:rsidRPr="00273BA1">
        <w:rPr>
          <w:rFonts w:ascii="Arial" w:hAnsi="Arial" w:cs="Arial"/>
          <w:sz w:val="24"/>
          <w:szCs w:val="24"/>
          <w:lang w:val="es-UY"/>
        </w:rPr>
        <w:t xml:space="preserve"> Veterinaria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 de la Universidad de la República respecto a la </w:t>
      </w:r>
      <w:r w:rsidR="009F0DE4">
        <w:rPr>
          <w:rFonts w:ascii="Arial" w:hAnsi="Arial" w:cs="Arial"/>
          <w:sz w:val="24"/>
          <w:szCs w:val="24"/>
          <w:lang w:val="es-UY"/>
        </w:rPr>
        <w:t>r</w:t>
      </w:r>
      <w:r w:rsidRPr="00273BA1">
        <w:rPr>
          <w:rFonts w:ascii="Arial" w:hAnsi="Arial" w:cs="Arial"/>
          <w:sz w:val="24"/>
          <w:szCs w:val="24"/>
          <w:lang w:val="es-UY"/>
        </w:rPr>
        <w:t>endición</w:t>
      </w:r>
      <w:r w:rsidR="00B5276B" w:rsidRPr="00273BA1">
        <w:rPr>
          <w:rFonts w:ascii="Arial" w:hAnsi="Arial" w:cs="Arial"/>
          <w:sz w:val="24"/>
          <w:szCs w:val="24"/>
          <w:lang w:val="es-UY"/>
        </w:rPr>
        <w:t xml:space="preserve"> 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de </w:t>
      </w:r>
      <w:r w:rsidR="009F0DE4">
        <w:rPr>
          <w:rFonts w:ascii="Arial" w:hAnsi="Arial" w:cs="Arial"/>
          <w:sz w:val="24"/>
          <w:szCs w:val="24"/>
          <w:lang w:val="es-UY"/>
        </w:rPr>
        <w:t>c</w:t>
      </w:r>
      <w:r w:rsidRPr="00273BA1">
        <w:rPr>
          <w:rFonts w:ascii="Arial" w:hAnsi="Arial" w:cs="Arial"/>
          <w:sz w:val="24"/>
          <w:szCs w:val="24"/>
          <w:lang w:val="es-UY"/>
        </w:rPr>
        <w:t>uenta</w:t>
      </w:r>
      <w:r w:rsidR="007A5C05">
        <w:rPr>
          <w:rFonts w:ascii="Arial" w:hAnsi="Arial" w:cs="Arial"/>
          <w:sz w:val="24"/>
          <w:szCs w:val="24"/>
          <w:lang w:val="es-UY"/>
        </w:rPr>
        <w:t>s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 de </w:t>
      </w:r>
      <w:r w:rsidR="00793220" w:rsidRPr="00273BA1">
        <w:rPr>
          <w:rFonts w:ascii="Arial" w:hAnsi="Arial" w:cs="Arial"/>
          <w:sz w:val="24"/>
          <w:szCs w:val="24"/>
          <w:lang w:val="es-UY"/>
        </w:rPr>
        <w:t>dos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 partida</w:t>
      </w:r>
      <w:r w:rsidR="00793220" w:rsidRPr="00273BA1">
        <w:rPr>
          <w:rFonts w:ascii="Arial" w:hAnsi="Arial" w:cs="Arial"/>
          <w:sz w:val="24"/>
          <w:szCs w:val="24"/>
          <w:lang w:val="es-UY"/>
        </w:rPr>
        <w:t>s</w:t>
      </w:r>
      <w:r w:rsidRPr="00273BA1">
        <w:rPr>
          <w:rFonts w:ascii="Arial" w:hAnsi="Arial" w:cs="Arial"/>
          <w:sz w:val="24"/>
          <w:szCs w:val="24"/>
          <w:lang w:val="es-UY"/>
        </w:rPr>
        <w:t xml:space="preserve"> para gastos del </w:t>
      </w:r>
      <w:r w:rsidR="00C2796F">
        <w:rPr>
          <w:rFonts w:ascii="Arial" w:hAnsi="Arial" w:cs="Arial"/>
          <w:sz w:val="24"/>
          <w:szCs w:val="24"/>
          <w:lang w:val="es-UY"/>
        </w:rPr>
        <w:t>A</w:t>
      </w:r>
      <w:r w:rsidRPr="00273BA1">
        <w:rPr>
          <w:rFonts w:ascii="Arial" w:hAnsi="Arial" w:cs="Arial"/>
          <w:sz w:val="24"/>
          <w:szCs w:val="24"/>
          <w:lang w:val="es-UY"/>
        </w:rPr>
        <w:t>rtículo 57 del Estatuto del</w:t>
      </w:r>
      <w:r w:rsidR="00B5276B" w:rsidRPr="00273BA1">
        <w:rPr>
          <w:rFonts w:ascii="Arial" w:hAnsi="Arial" w:cs="Arial"/>
          <w:sz w:val="24"/>
          <w:szCs w:val="24"/>
          <w:lang w:val="es-UY"/>
        </w:rPr>
        <w:t xml:space="preserve"> </w:t>
      </w:r>
      <w:r w:rsidRPr="00273BA1">
        <w:rPr>
          <w:rFonts w:ascii="Arial" w:hAnsi="Arial" w:cs="Arial"/>
          <w:sz w:val="24"/>
          <w:szCs w:val="24"/>
          <w:lang w:val="es-UY"/>
        </w:rPr>
        <w:t>Personal Docente;</w:t>
      </w:r>
    </w:p>
    <w:p w:rsidR="003D2001" w:rsidRPr="00273BA1" w:rsidRDefault="003D2001" w:rsidP="00273BA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273BA1">
        <w:rPr>
          <w:rFonts w:ascii="Arial" w:hAnsi="Arial" w:cs="Arial"/>
          <w:sz w:val="24"/>
          <w:szCs w:val="24"/>
          <w:lang w:val="es-UY"/>
        </w:rPr>
        <w:t xml:space="preserve">Téngase presente lo expresado en los </w:t>
      </w:r>
      <w:r w:rsidR="00C2796F">
        <w:rPr>
          <w:rFonts w:ascii="Arial" w:hAnsi="Arial" w:cs="Arial"/>
          <w:sz w:val="24"/>
          <w:szCs w:val="24"/>
          <w:lang w:val="es-UY"/>
        </w:rPr>
        <w:t>Considerandos 2, 3 y 4;</w:t>
      </w:r>
    </w:p>
    <w:p w:rsidR="00B5276B" w:rsidRDefault="003D2001" w:rsidP="00C279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273BA1">
        <w:rPr>
          <w:rFonts w:ascii="Arial" w:hAnsi="Arial" w:cs="Arial"/>
          <w:sz w:val="24"/>
          <w:szCs w:val="24"/>
          <w:lang w:val="es-UY"/>
        </w:rPr>
        <w:t xml:space="preserve">Comunicar a la Facultad de </w:t>
      </w:r>
      <w:r w:rsidR="00B5276B" w:rsidRPr="00273BA1">
        <w:rPr>
          <w:rFonts w:ascii="Arial" w:hAnsi="Arial" w:cs="Arial"/>
          <w:sz w:val="24"/>
          <w:szCs w:val="24"/>
          <w:lang w:val="es-UY"/>
        </w:rPr>
        <w:t xml:space="preserve">Veterinaria </w:t>
      </w:r>
      <w:r w:rsidR="00C2796F">
        <w:rPr>
          <w:rFonts w:ascii="Arial" w:hAnsi="Arial" w:cs="Arial"/>
          <w:sz w:val="24"/>
          <w:szCs w:val="24"/>
          <w:lang w:val="es-UY"/>
        </w:rPr>
        <w:t>y a</w:t>
      </w:r>
      <w:r w:rsidR="00306A50">
        <w:rPr>
          <w:rFonts w:ascii="Arial" w:hAnsi="Arial" w:cs="Arial"/>
          <w:sz w:val="24"/>
          <w:szCs w:val="24"/>
          <w:lang w:val="es-UY"/>
        </w:rPr>
        <w:t xml:space="preserve"> </w:t>
      </w:r>
      <w:r w:rsidR="00C2796F">
        <w:rPr>
          <w:rFonts w:ascii="Arial" w:hAnsi="Arial" w:cs="Arial"/>
          <w:sz w:val="24"/>
          <w:szCs w:val="24"/>
          <w:lang w:val="es-UY"/>
        </w:rPr>
        <w:t>l</w:t>
      </w:r>
      <w:r w:rsidR="00306A50">
        <w:rPr>
          <w:rFonts w:ascii="Arial" w:hAnsi="Arial" w:cs="Arial"/>
          <w:sz w:val="24"/>
          <w:szCs w:val="24"/>
          <w:lang w:val="es-UY"/>
        </w:rPr>
        <w:t>a</w:t>
      </w:r>
      <w:r w:rsidR="00C2796F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306A50">
        <w:rPr>
          <w:rFonts w:ascii="Arial" w:hAnsi="Arial" w:cs="Arial"/>
          <w:sz w:val="24"/>
          <w:szCs w:val="24"/>
          <w:lang w:val="es-UY"/>
        </w:rPr>
        <w:t>a</w:t>
      </w:r>
      <w:r w:rsidR="00C2796F">
        <w:rPr>
          <w:rFonts w:ascii="Arial" w:hAnsi="Arial" w:cs="Arial"/>
          <w:sz w:val="24"/>
          <w:szCs w:val="24"/>
          <w:lang w:val="es-UY"/>
        </w:rPr>
        <w:t xml:space="preserve"> Delegad</w:t>
      </w:r>
      <w:r w:rsidR="00306A50">
        <w:rPr>
          <w:rFonts w:ascii="Arial" w:hAnsi="Arial" w:cs="Arial"/>
          <w:sz w:val="24"/>
          <w:szCs w:val="24"/>
          <w:lang w:val="es-UY"/>
        </w:rPr>
        <w:t>a</w:t>
      </w:r>
      <w:r w:rsidR="00C2796F">
        <w:rPr>
          <w:rFonts w:ascii="Arial" w:hAnsi="Arial" w:cs="Arial"/>
          <w:sz w:val="24"/>
          <w:szCs w:val="24"/>
          <w:lang w:val="es-UY"/>
        </w:rPr>
        <w:t>.</w:t>
      </w:r>
    </w:p>
    <w:p w:rsidR="00273BA1" w:rsidRDefault="00273BA1" w:rsidP="00B52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UY"/>
        </w:rPr>
        <w:t>ag</w:t>
      </w:r>
      <w:proofErr w:type="spellEnd"/>
      <w:proofErr w:type="gramEnd"/>
    </w:p>
    <w:sectPr w:rsidR="00273BA1" w:rsidSect="00306A50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095A"/>
    <w:multiLevelType w:val="hybridMultilevel"/>
    <w:tmpl w:val="5912706E"/>
    <w:lvl w:ilvl="0" w:tplc="B71E7D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55738"/>
    <w:multiLevelType w:val="hybridMultilevel"/>
    <w:tmpl w:val="E092C2A0"/>
    <w:lvl w:ilvl="0" w:tplc="236C6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EA"/>
    <w:rsid w:val="00032574"/>
    <w:rsid w:val="000658A3"/>
    <w:rsid w:val="00273BA1"/>
    <w:rsid w:val="002B6400"/>
    <w:rsid w:val="00306A50"/>
    <w:rsid w:val="003602BE"/>
    <w:rsid w:val="003D2001"/>
    <w:rsid w:val="0056175D"/>
    <w:rsid w:val="006D0E9B"/>
    <w:rsid w:val="00763AFE"/>
    <w:rsid w:val="00793220"/>
    <w:rsid w:val="007A5C05"/>
    <w:rsid w:val="00914BB0"/>
    <w:rsid w:val="00980454"/>
    <w:rsid w:val="009A1B02"/>
    <w:rsid w:val="009C77EA"/>
    <w:rsid w:val="009D6D9C"/>
    <w:rsid w:val="009F0DE4"/>
    <w:rsid w:val="00AA266C"/>
    <w:rsid w:val="00B12DFB"/>
    <w:rsid w:val="00B5276B"/>
    <w:rsid w:val="00B63BC5"/>
    <w:rsid w:val="00BD31D9"/>
    <w:rsid w:val="00BE710E"/>
    <w:rsid w:val="00C2796F"/>
    <w:rsid w:val="00E5241A"/>
    <w:rsid w:val="00EE4AFC"/>
    <w:rsid w:val="00F043FD"/>
    <w:rsid w:val="00F3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4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4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1</dc:creator>
  <cp:keywords/>
  <dc:description/>
  <cp:lastModifiedBy> </cp:lastModifiedBy>
  <cp:revision>10</cp:revision>
  <cp:lastPrinted>2013-10-28T13:07:00Z</cp:lastPrinted>
  <dcterms:created xsi:type="dcterms:W3CDTF">2013-10-28T12:46:00Z</dcterms:created>
  <dcterms:modified xsi:type="dcterms:W3CDTF">2013-11-15T18:50:00Z</dcterms:modified>
</cp:coreProperties>
</file>