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0E" w:rsidRDefault="0014490E">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14490E" w:rsidRDefault="0014490E">
      <w:pPr>
        <w:tabs>
          <w:tab w:val="left" w:pos="-720"/>
        </w:tabs>
        <w:suppressAutoHyphens/>
        <w:jc w:val="center"/>
        <w:rPr>
          <w:rFonts w:ascii="Helvetica" w:hAnsi="Helvetica"/>
          <w:b/>
          <w:lang w:val="es-ES_tradnl"/>
        </w:rPr>
      </w:pPr>
    </w:p>
    <w:p w:rsidR="0014490E" w:rsidRDefault="0014490E">
      <w:pPr>
        <w:tabs>
          <w:tab w:val="center" w:pos="4253"/>
        </w:tabs>
        <w:suppressAutoHyphens/>
        <w:jc w:val="center"/>
        <w:rPr>
          <w:rFonts w:ascii="Helvetica" w:hAnsi="Helvetica"/>
          <w:b/>
          <w:lang w:val="es-ES_tradnl"/>
        </w:rPr>
      </w:pPr>
      <w:r>
        <w:rPr>
          <w:rFonts w:ascii="Helvetica" w:hAnsi="Helvetica"/>
          <w:b/>
          <w:lang w:val="es-ES_tradnl"/>
        </w:rPr>
        <w:t>TRIBUNAL DE CUENTAS</w:t>
      </w:r>
    </w:p>
    <w:p w:rsidR="0014490E" w:rsidRDefault="0014490E">
      <w:pPr>
        <w:tabs>
          <w:tab w:val="left" w:pos="-720"/>
        </w:tabs>
        <w:suppressAutoHyphens/>
        <w:jc w:val="center"/>
        <w:rPr>
          <w:rFonts w:ascii="Helvetica" w:hAnsi="Helvetica"/>
          <w:b/>
          <w:lang w:val="es-ES_tradnl"/>
        </w:rPr>
      </w:pPr>
    </w:p>
    <w:p w:rsidR="0014490E" w:rsidRDefault="0014490E">
      <w:pPr>
        <w:tabs>
          <w:tab w:val="center" w:pos="4253"/>
        </w:tabs>
        <w:suppressAutoHyphens/>
        <w:jc w:val="center"/>
        <w:rPr>
          <w:rFonts w:ascii="Helvetica" w:hAnsi="Helvetica"/>
          <w:b/>
          <w:lang w:val="es-ES_tradnl"/>
        </w:rPr>
      </w:pPr>
      <w:r>
        <w:rPr>
          <w:rFonts w:ascii="Helvetica" w:hAnsi="Helvetica"/>
          <w:b/>
          <w:lang w:val="es-ES_tradnl"/>
        </w:rPr>
        <w:t>EN SESION DE FECHA 23 DE OCTUBRE DE 2013</w:t>
      </w:r>
    </w:p>
    <w:p w:rsidR="0014490E" w:rsidRDefault="0014490E">
      <w:pPr>
        <w:tabs>
          <w:tab w:val="center" w:pos="4253"/>
        </w:tabs>
        <w:suppressAutoHyphens/>
        <w:jc w:val="center"/>
        <w:rPr>
          <w:rFonts w:ascii="Helvetica" w:hAnsi="Helvetica"/>
          <w:b/>
          <w:lang w:val="es-ES_tradnl"/>
        </w:rPr>
      </w:pPr>
    </w:p>
    <w:p w:rsidR="0014490E" w:rsidRPr="0014490E" w:rsidRDefault="0014490E">
      <w:pPr>
        <w:tabs>
          <w:tab w:val="center" w:pos="4253"/>
        </w:tabs>
        <w:suppressAutoHyphens/>
        <w:jc w:val="center"/>
        <w:rPr>
          <w:rFonts w:ascii="Helvetica" w:hAnsi="Helvetica"/>
          <w:b/>
          <w:lang w:val="es-UY"/>
        </w:rPr>
      </w:pPr>
      <w:r w:rsidRPr="0014490E">
        <w:rPr>
          <w:rFonts w:ascii="Helvetica" w:hAnsi="Helvetica"/>
          <w:b/>
          <w:lang w:val="es-UY"/>
        </w:rPr>
        <w:t>(E. E. Nº 201</w:t>
      </w:r>
      <w:r w:rsidR="006B0525">
        <w:rPr>
          <w:rFonts w:ascii="Helvetica" w:hAnsi="Helvetica"/>
          <w:b/>
          <w:lang w:val="es-UY"/>
        </w:rPr>
        <w:t xml:space="preserve">3-17-1-0003815, </w:t>
      </w:r>
      <w:proofErr w:type="spellStart"/>
      <w:r w:rsidR="006B0525">
        <w:rPr>
          <w:rFonts w:ascii="Helvetica" w:hAnsi="Helvetica"/>
          <w:b/>
          <w:lang w:val="es-UY"/>
        </w:rPr>
        <w:t>Ent</w:t>
      </w:r>
      <w:proofErr w:type="spellEnd"/>
      <w:r w:rsidR="006B0525">
        <w:rPr>
          <w:rFonts w:ascii="Helvetica" w:hAnsi="Helvetica"/>
          <w:b/>
          <w:lang w:val="es-UY"/>
        </w:rPr>
        <w:t>. N° 5329/13</w:t>
      </w:r>
      <w:r w:rsidRPr="0014490E">
        <w:rPr>
          <w:rFonts w:ascii="Helvetica" w:hAnsi="Helvetica"/>
          <w:b/>
          <w:lang w:val="es-UY"/>
        </w:rPr>
        <w:t>)</w:t>
      </w:r>
    </w:p>
    <w:p w:rsidR="0014490E" w:rsidRPr="0014490E" w:rsidRDefault="0014490E">
      <w:pPr>
        <w:tabs>
          <w:tab w:val="center" w:pos="4253"/>
        </w:tabs>
        <w:suppressAutoHyphens/>
        <w:jc w:val="center"/>
        <w:rPr>
          <w:spacing w:val="-3"/>
          <w:lang w:val="es-UY"/>
        </w:rPr>
      </w:pPr>
    </w:p>
    <w:p w:rsidR="00C52406" w:rsidRDefault="00B242F6" w:rsidP="00FE3EEF">
      <w:pPr>
        <w:pStyle w:val="Textoindependiente"/>
        <w:ind w:firstLine="851"/>
      </w:pPr>
      <w:r>
        <w:rPr>
          <w:b/>
          <w:bCs/>
        </w:rPr>
        <w:t>VISTO:</w:t>
      </w:r>
      <w:r>
        <w:t xml:space="preserve"> las </w:t>
      </w:r>
      <w:r w:rsidR="00C52406">
        <w:t xml:space="preserve">nuevas </w:t>
      </w:r>
      <w:r>
        <w:t xml:space="preserve">actuaciones remitidas por </w:t>
      </w:r>
      <w:r w:rsidR="00C52406">
        <w:t>el Ministerio de Transporte y Obras Públicas relacionadas con la reiteración del gasto correspondiente a la Compra Directa por Excepción Nº 1066/13</w:t>
      </w:r>
      <w:r w:rsidR="00687B45">
        <w:t>,</w:t>
      </w:r>
      <w:r w:rsidR="00C52406">
        <w:t xml:space="preserve"> cuyo objeto es la ejecución de los trabajos denominados “Pasaje artificial (</w:t>
      </w:r>
      <w:proofErr w:type="spellStart"/>
      <w:r w:rsidR="00C52406">
        <w:t>by</w:t>
      </w:r>
      <w:proofErr w:type="spellEnd"/>
      <w:r w:rsidR="00C52406">
        <w:t xml:space="preserve"> </w:t>
      </w:r>
      <w:proofErr w:type="spellStart"/>
      <w:r w:rsidR="00C52406">
        <w:t>pass</w:t>
      </w:r>
      <w:proofErr w:type="spellEnd"/>
      <w:r w:rsidR="00C52406">
        <w:t xml:space="preserve">) de arena desde el Arroyo </w:t>
      </w:r>
      <w:proofErr w:type="spellStart"/>
      <w:r w:rsidR="00C52406">
        <w:t>Cufré</w:t>
      </w:r>
      <w:proofErr w:type="spellEnd"/>
      <w:r w:rsidR="00C52406">
        <w:t xml:space="preserve"> (Depa</w:t>
      </w:r>
      <w:r w:rsidR="00687B45">
        <w:t>rtamento de San José y Colonia)</w:t>
      </w:r>
      <w:r w:rsidR="00C52406">
        <w:t>”</w:t>
      </w:r>
      <w:r w:rsidR="00687B45">
        <w:t>;</w:t>
      </w:r>
    </w:p>
    <w:p w:rsidR="00C52406" w:rsidRDefault="00B242F6" w:rsidP="00FE3EEF">
      <w:pPr>
        <w:spacing w:line="360" w:lineRule="auto"/>
        <w:ind w:firstLine="851"/>
        <w:jc w:val="both"/>
      </w:pPr>
      <w:r>
        <w:rPr>
          <w:b/>
          <w:bCs/>
          <w:iCs/>
        </w:rPr>
        <w:t xml:space="preserve">RESULTANDO: 1) </w:t>
      </w:r>
      <w:r w:rsidRPr="00CF68C3">
        <w:rPr>
          <w:bCs/>
          <w:iCs/>
        </w:rPr>
        <w:t>que e</w:t>
      </w:r>
      <w:r>
        <w:t xml:space="preserve">n Sesión de fecha </w:t>
      </w:r>
      <w:r w:rsidR="00C52406" w:rsidRPr="00C52406">
        <w:t xml:space="preserve">7 de agosto de 2013, </w:t>
      </w:r>
      <w:r w:rsidR="00C52406">
        <w:t>este Tribunal acordó observar el gasto emergente de la Compra Directa por Excepción de referencia, en base a las siguientes consideraciones:</w:t>
      </w:r>
    </w:p>
    <w:p w:rsidR="00C52406" w:rsidRDefault="00C52406" w:rsidP="0014490E">
      <w:pPr>
        <w:spacing w:line="360" w:lineRule="auto"/>
        <w:jc w:val="both"/>
      </w:pPr>
      <w:r w:rsidRPr="00C52406">
        <w:rPr>
          <w:b/>
        </w:rPr>
        <w:t>1.1)</w:t>
      </w:r>
      <w:r>
        <w:t xml:space="preserve"> </w:t>
      </w:r>
      <w:r w:rsidRPr="00FB3615">
        <w:t xml:space="preserve">No consta en el expediente la documentación referida en el </w:t>
      </w:r>
      <w:r w:rsidR="00687B45">
        <w:t>R</w:t>
      </w:r>
      <w:r w:rsidRPr="00FB3615">
        <w:t>esultando 3) por parte de la empresa propuesta como adjudicataria (Alfredo Miller y Cía. Ltda.) contra</w:t>
      </w:r>
      <w:r>
        <w:t>viniendo lo establecido en los A</w:t>
      </w:r>
      <w:r w:rsidRPr="00FB3615">
        <w:t xml:space="preserve">rtículos 63,  68 inciso final y 77 del TOCAF, </w:t>
      </w:r>
      <w:r w:rsidR="00687B45">
        <w:t>A</w:t>
      </w:r>
      <w:r w:rsidRPr="00FB3615">
        <w:t xml:space="preserve">rtículo 61 de la Ley Nº 16.074 y </w:t>
      </w:r>
      <w:r w:rsidR="00687B45">
        <w:t>A</w:t>
      </w:r>
      <w:r w:rsidRPr="00FB3615">
        <w:t>rtículo 3 del Decreto N° 342/99 de 26.10.1999</w:t>
      </w:r>
      <w:r>
        <w:t xml:space="preserve"> (Considerando 3</w:t>
      </w:r>
      <w:r w:rsidRPr="00FB3615">
        <w:t>);</w:t>
      </w:r>
    </w:p>
    <w:p w:rsidR="00C52406" w:rsidRDefault="00C52406" w:rsidP="0014490E">
      <w:pPr>
        <w:spacing w:line="360" w:lineRule="auto"/>
        <w:jc w:val="both"/>
      </w:pPr>
      <w:r w:rsidRPr="00C52406">
        <w:rPr>
          <w:b/>
        </w:rPr>
        <w:t>1.2)</w:t>
      </w:r>
      <w:r>
        <w:t xml:space="preserve"> </w:t>
      </w:r>
      <w:r w:rsidRPr="00FB3615">
        <w:t>E</w:t>
      </w:r>
      <w:r w:rsidRPr="00C52406">
        <w:rPr>
          <w:bCs/>
        </w:rPr>
        <w:t>l Pliego Particular de Con</w:t>
      </w:r>
      <w:r w:rsidR="00542A28">
        <w:rPr>
          <w:bCs/>
        </w:rPr>
        <w:t xml:space="preserve">diciones que rige el </w:t>
      </w:r>
      <w:r w:rsidR="00687B45">
        <w:rPr>
          <w:bCs/>
        </w:rPr>
        <w:t>L</w:t>
      </w:r>
      <w:r w:rsidR="00542A28">
        <w:rPr>
          <w:bCs/>
        </w:rPr>
        <w:t xml:space="preserve">lamado </w:t>
      </w:r>
      <w:r w:rsidRPr="00C52406">
        <w:rPr>
          <w:bCs/>
        </w:rPr>
        <w:t xml:space="preserve">establece descripciones generales para la evaluación de las ofertas (Cláusula V.11 del Pliego) sin establecer mecanismos de ponderación </w:t>
      </w:r>
      <w:r w:rsidRPr="00C52406">
        <w:rPr>
          <w:rFonts w:cs="Arial"/>
          <w:bCs/>
        </w:rPr>
        <w:t>de dichos factores, a efectos de determinar la calificación de las ofertas en forma cuantitativa, como lo requiere el Artículo 48 Literal C del TOCAF (Considerando 5</w:t>
      </w:r>
      <w:r>
        <w:rPr>
          <w:rFonts w:cs="Arial"/>
          <w:bCs/>
        </w:rPr>
        <w:t xml:space="preserve">); </w:t>
      </w:r>
    </w:p>
    <w:p w:rsidR="00B242F6" w:rsidRDefault="00B242F6" w:rsidP="00FE3EEF">
      <w:pPr>
        <w:spacing w:line="360" w:lineRule="auto"/>
        <w:ind w:firstLine="2694"/>
        <w:jc w:val="both"/>
      </w:pPr>
      <w:r w:rsidRPr="00357DC6">
        <w:rPr>
          <w:b/>
        </w:rPr>
        <w:t>2)</w:t>
      </w:r>
      <w:r>
        <w:t xml:space="preserve"> </w:t>
      </w:r>
      <w:r w:rsidR="001F2B67">
        <w:t xml:space="preserve">que en la oportunidad la Administración actuante remite Resolución dictada por el Poder Ejecutivo, de fecha 17 de setiembre de 2013, mediante la cual se adjudica la contratación de referencia, insistiendo en el gasto. Surge de dicha Resolución que las observaciones oportunamente efectuadas no afectaron la transparencia del proceso ni las oportunidades de </w:t>
      </w:r>
      <w:r w:rsidR="00747173">
        <w:lastRenderedPageBreak/>
        <w:t>las empresas a ofertar,</w:t>
      </w:r>
      <w:r w:rsidR="001F2B67">
        <w:t xml:space="preserve"> y considerando la imperiosa necesidad de realizar las obras objeto del </w:t>
      </w:r>
      <w:r w:rsidR="00747173">
        <w:t>L</w:t>
      </w:r>
      <w:r w:rsidR="001F2B67">
        <w:t xml:space="preserve">lamado es que se insiste en el gasto; </w:t>
      </w:r>
    </w:p>
    <w:p w:rsidR="00B242F6" w:rsidRDefault="00B242F6" w:rsidP="00FE3EEF">
      <w:pPr>
        <w:spacing w:line="360" w:lineRule="auto"/>
        <w:ind w:firstLine="851"/>
        <w:jc w:val="both"/>
      </w:pPr>
      <w:r>
        <w:rPr>
          <w:b/>
          <w:bCs/>
        </w:rPr>
        <w:t xml:space="preserve">CONSIDERANDO: </w:t>
      </w:r>
      <w:r>
        <w:t xml:space="preserve">que se mantienen incambiadas las razones por las cuales se observó el gasto de referencia, no esgrimiéndose por parte de la Administración argumentos que ameriten su reconsideración y subsiguiente levantamiento;  </w:t>
      </w:r>
    </w:p>
    <w:p w:rsidR="00B242F6" w:rsidRDefault="00B242F6" w:rsidP="00FE3EEF">
      <w:pPr>
        <w:spacing w:line="360" w:lineRule="auto"/>
        <w:ind w:firstLine="851"/>
        <w:jc w:val="both"/>
        <w:rPr>
          <w:b/>
          <w:bCs/>
        </w:rPr>
      </w:pPr>
      <w:r>
        <w:rPr>
          <w:b/>
        </w:rPr>
        <w:t xml:space="preserve">ATENTO: </w:t>
      </w:r>
      <w:r>
        <w:t>a lo precedentemente expuesto;</w:t>
      </w:r>
    </w:p>
    <w:p w:rsidR="00B242F6" w:rsidRDefault="00B242F6" w:rsidP="00B242F6">
      <w:pPr>
        <w:pStyle w:val="Ttulo2"/>
      </w:pPr>
      <w:r>
        <w:t>EL TRIBUNAL ACUERDA</w:t>
      </w:r>
    </w:p>
    <w:p w:rsidR="0014490E" w:rsidRDefault="00B242F6" w:rsidP="0014490E">
      <w:pPr>
        <w:spacing w:line="360" w:lineRule="auto"/>
        <w:jc w:val="both"/>
        <w:rPr>
          <w:lang w:val="es-UY"/>
        </w:rPr>
      </w:pPr>
      <w:r>
        <w:rPr>
          <w:b/>
        </w:rPr>
        <w:t>1</w:t>
      </w:r>
      <w:r w:rsidR="0014490E">
        <w:rPr>
          <w:b/>
        </w:rPr>
        <w:t>)</w:t>
      </w:r>
      <w:r>
        <w:rPr>
          <w:b/>
        </w:rPr>
        <w:t xml:space="preserve"> </w:t>
      </w:r>
      <w:r>
        <w:t xml:space="preserve">Mantener la observación formulada </w:t>
      </w:r>
      <w:r w:rsidR="00D105E0">
        <w:rPr>
          <w:lang w:val="es-UY"/>
        </w:rPr>
        <w:t>con fecha 7</w:t>
      </w:r>
      <w:r>
        <w:rPr>
          <w:lang w:val="es-UY"/>
        </w:rPr>
        <w:t xml:space="preserve"> de </w:t>
      </w:r>
      <w:r w:rsidR="00D105E0">
        <w:rPr>
          <w:lang w:val="es-UY"/>
        </w:rPr>
        <w:t>agosto</w:t>
      </w:r>
      <w:r>
        <w:rPr>
          <w:lang w:val="es-UY"/>
        </w:rPr>
        <w:t xml:space="preserve"> de 2013.</w:t>
      </w:r>
    </w:p>
    <w:p w:rsidR="0014490E" w:rsidRDefault="00B242F6" w:rsidP="0014490E">
      <w:pPr>
        <w:spacing w:line="360" w:lineRule="auto"/>
        <w:jc w:val="both"/>
      </w:pPr>
      <w:r>
        <w:rPr>
          <w:b/>
        </w:rPr>
        <w:t>2</w:t>
      </w:r>
      <w:r w:rsidR="0014490E">
        <w:rPr>
          <w:b/>
        </w:rPr>
        <w:t>)</w:t>
      </w:r>
      <w:r>
        <w:rPr>
          <w:b/>
        </w:rPr>
        <w:t xml:space="preserve"> </w:t>
      </w:r>
      <w:r>
        <w:t>Comunicar al Poder Ejecutivo</w:t>
      </w:r>
      <w:r w:rsidR="0014490E">
        <w:t>;</w:t>
      </w:r>
    </w:p>
    <w:p w:rsidR="00B242F6" w:rsidRPr="0014490E" w:rsidRDefault="0014490E" w:rsidP="0014490E">
      <w:pPr>
        <w:spacing w:line="360" w:lineRule="auto"/>
        <w:jc w:val="both"/>
        <w:rPr>
          <w:lang w:val="es-UY"/>
        </w:rPr>
      </w:pPr>
      <w:r w:rsidRPr="0014490E">
        <w:rPr>
          <w:b/>
        </w:rPr>
        <w:t>3)</w:t>
      </w:r>
      <w:r>
        <w:rPr>
          <w:b/>
        </w:rPr>
        <w:t xml:space="preserve"> </w:t>
      </w:r>
      <w:r>
        <w:t xml:space="preserve">Dar cuenta a la Asamblea General. </w:t>
      </w:r>
    </w:p>
    <w:p w:rsidR="0014490E" w:rsidRDefault="0014490E" w:rsidP="0014490E">
      <w:pPr>
        <w:spacing w:line="360" w:lineRule="auto"/>
        <w:rPr>
          <w:rFonts w:cs="Arial"/>
        </w:rPr>
      </w:pPr>
      <w:proofErr w:type="spellStart"/>
      <w:proofErr w:type="gramStart"/>
      <w:r>
        <w:rPr>
          <w:rFonts w:cs="Arial"/>
        </w:rPr>
        <w:t>cr</w:t>
      </w:r>
      <w:proofErr w:type="spellEnd"/>
      <w:proofErr w:type="gramEnd"/>
    </w:p>
    <w:sectPr w:rsidR="0014490E" w:rsidSect="0014490E">
      <w:footerReference w:type="even" r:id="rId9"/>
      <w:footerReference w:type="default" r:id="rId10"/>
      <w:pgSz w:w="11906" w:h="16838" w:code="9"/>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92" w:rsidRDefault="0014490E">
      <w:r>
        <w:separator/>
      </w:r>
    </w:p>
  </w:endnote>
  <w:endnote w:type="continuationSeparator" w:id="0">
    <w:p w:rsidR="00187292" w:rsidRDefault="0014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84" w:rsidRDefault="004708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3615">
      <w:rPr>
        <w:rStyle w:val="Nmerodepgina"/>
        <w:noProof/>
      </w:rPr>
      <w:t>1</w:t>
    </w:r>
    <w:r>
      <w:rPr>
        <w:rStyle w:val="Nmerodepgina"/>
      </w:rPr>
      <w:fldChar w:fldCharType="end"/>
    </w:r>
  </w:p>
  <w:p w:rsidR="00470884" w:rsidRDefault="004708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84" w:rsidRDefault="004708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3EEF">
      <w:rPr>
        <w:rStyle w:val="Nmerodepgina"/>
        <w:noProof/>
      </w:rPr>
      <w:t>1</w:t>
    </w:r>
    <w:r>
      <w:rPr>
        <w:rStyle w:val="Nmerodepgina"/>
      </w:rPr>
      <w:fldChar w:fldCharType="end"/>
    </w:r>
  </w:p>
  <w:p w:rsidR="00470884" w:rsidRDefault="004708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92" w:rsidRDefault="0014490E">
      <w:r>
        <w:separator/>
      </w:r>
    </w:p>
  </w:footnote>
  <w:footnote w:type="continuationSeparator" w:id="0">
    <w:p w:rsidR="00187292" w:rsidRDefault="00144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E42"/>
    <w:multiLevelType w:val="multilevel"/>
    <w:tmpl w:val="641E6144"/>
    <w:lvl w:ilvl="0">
      <w:start w:val="1"/>
      <w:numFmt w:val="decimal"/>
      <w:lvlText w:val="%1."/>
      <w:lvlJc w:val="left"/>
      <w:pPr>
        <w:ind w:left="525" w:hanging="52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
    <w:nsid w:val="25B53FE8"/>
    <w:multiLevelType w:val="hybridMultilevel"/>
    <w:tmpl w:val="AAE6BA96"/>
    <w:lvl w:ilvl="0" w:tplc="FF04E1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737D6236"/>
    <w:multiLevelType w:val="hybridMultilevel"/>
    <w:tmpl w:val="18746258"/>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24"/>
    <w:rsid w:val="00142088"/>
    <w:rsid w:val="0014490E"/>
    <w:rsid w:val="00187292"/>
    <w:rsid w:val="001F2B67"/>
    <w:rsid w:val="002B01F3"/>
    <w:rsid w:val="003372FB"/>
    <w:rsid w:val="003F1FB7"/>
    <w:rsid w:val="00416764"/>
    <w:rsid w:val="00470884"/>
    <w:rsid w:val="004C4E22"/>
    <w:rsid w:val="00516224"/>
    <w:rsid w:val="00542A28"/>
    <w:rsid w:val="00687B45"/>
    <w:rsid w:val="006B0525"/>
    <w:rsid w:val="00746DB2"/>
    <w:rsid w:val="00747173"/>
    <w:rsid w:val="007D715D"/>
    <w:rsid w:val="00841AD4"/>
    <w:rsid w:val="008C7743"/>
    <w:rsid w:val="009E2584"/>
    <w:rsid w:val="009E2CD4"/>
    <w:rsid w:val="00A46272"/>
    <w:rsid w:val="00AC7ED4"/>
    <w:rsid w:val="00B0699D"/>
    <w:rsid w:val="00B242F6"/>
    <w:rsid w:val="00C52406"/>
    <w:rsid w:val="00D105E0"/>
    <w:rsid w:val="00D91532"/>
    <w:rsid w:val="00FB3615"/>
    <w:rsid w:val="00FE3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D1C0-FB3A-4DC0-AF15-58E5E30C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 </cp:lastModifiedBy>
  <cp:revision>9</cp:revision>
  <cp:lastPrinted>2013-10-29T19:24:00Z</cp:lastPrinted>
  <dcterms:created xsi:type="dcterms:W3CDTF">2013-10-29T17:18:00Z</dcterms:created>
  <dcterms:modified xsi:type="dcterms:W3CDTF">2013-11-14T20:28:00Z</dcterms:modified>
</cp:coreProperties>
</file>