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6D" w:rsidRDefault="00C17F6D">
      <w:pPr>
        <w:tabs>
          <w:tab w:val="center" w:pos="4253"/>
        </w:tabs>
        <w:suppressAutoHyphens/>
        <w:jc w:val="center"/>
        <w:rPr>
          <w:rFonts w:ascii="Helvetica" w:hAnsi="Helvetica"/>
          <w:b/>
          <w:sz w:val="24"/>
        </w:rPr>
      </w:pPr>
      <w:bookmarkStart w:id="0" w:name="_GoBack"/>
      <w:bookmarkEnd w:id="0"/>
      <w:r>
        <w:rPr>
          <w:rFonts w:ascii="Helvetica" w:hAnsi="Helvetica"/>
          <w:b/>
          <w:sz w:val="24"/>
        </w:rPr>
        <w:t>RESOLUCION ADOPTADA POR EL</w:t>
      </w:r>
    </w:p>
    <w:p w:rsidR="00C17F6D" w:rsidRDefault="00C17F6D">
      <w:pPr>
        <w:tabs>
          <w:tab w:val="center" w:pos="4253"/>
        </w:tabs>
        <w:suppressAutoHyphens/>
        <w:jc w:val="center"/>
        <w:rPr>
          <w:rFonts w:ascii="Helvetica" w:hAnsi="Helvetica"/>
          <w:b/>
          <w:sz w:val="24"/>
        </w:rPr>
      </w:pPr>
      <w:r>
        <w:rPr>
          <w:rFonts w:ascii="Helvetica" w:hAnsi="Helvetica"/>
          <w:b/>
          <w:sz w:val="24"/>
        </w:rPr>
        <w:t>TRIBUNAL DE CUENTAS</w:t>
      </w:r>
    </w:p>
    <w:p w:rsidR="00C17F6D" w:rsidRDefault="00C17F6D">
      <w:pPr>
        <w:tabs>
          <w:tab w:val="center" w:pos="4253"/>
        </w:tabs>
        <w:suppressAutoHyphens/>
        <w:jc w:val="center"/>
        <w:rPr>
          <w:rFonts w:ascii="Helvetica" w:hAnsi="Helvetica"/>
          <w:b/>
          <w:sz w:val="24"/>
        </w:rPr>
      </w:pPr>
      <w:r>
        <w:rPr>
          <w:rFonts w:ascii="Helvetica" w:hAnsi="Helvetica"/>
          <w:b/>
          <w:sz w:val="24"/>
        </w:rPr>
        <w:t>EN SESION DE FECHA 16 DE OCTUBRE DE 2013</w:t>
      </w:r>
    </w:p>
    <w:p w:rsidR="00C17F6D" w:rsidRDefault="00C17F6D">
      <w:pPr>
        <w:tabs>
          <w:tab w:val="center" w:pos="4253"/>
        </w:tabs>
        <w:suppressAutoHyphens/>
        <w:jc w:val="center"/>
        <w:rPr>
          <w:rFonts w:ascii="Helvetica" w:hAnsi="Helvetica"/>
          <w:b/>
          <w:sz w:val="24"/>
        </w:rPr>
      </w:pPr>
      <w:r>
        <w:rPr>
          <w:rFonts w:ascii="Helvetica" w:hAnsi="Helvetica"/>
          <w:b/>
          <w:sz w:val="24"/>
        </w:rPr>
        <w:t>(E. E. N° 2013-17-1-0006032 E. N° 5313/13)</w:t>
      </w:r>
    </w:p>
    <w:p w:rsidR="00B43D1D" w:rsidRPr="00B43D1D" w:rsidRDefault="00B43D1D" w:rsidP="00B50E53">
      <w:pPr>
        <w:suppressAutoHyphens/>
        <w:spacing w:line="360" w:lineRule="auto"/>
        <w:ind w:firstLine="851"/>
        <w:jc w:val="both"/>
        <w:rPr>
          <w:rFonts w:ascii="Arial" w:eastAsia="Times New Roman" w:hAnsi="Arial" w:cs="Times New Roman"/>
          <w:sz w:val="24"/>
          <w:szCs w:val="20"/>
          <w:lang w:val="es-ES" w:eastAsia="es-ES"/>
        </w:rPr>
      </w:pPr>
      <w:r w:rsidRPr="00B43D1D">
        <w:rPr>
          <w:rFonts w:ascii="Arial" w:eastAsia="Times New Roman" w:hAnsi="Arial" w:cs="Times New Roman"/>
          <w:b/>
          <w:sz w:val="24"/>
          <w:szCs w:val="20"/>
          <w:lang w:val="es-ES" w:eastAsia="es-ES"/>
        </w:rPr>
        <w:t>VISTO:</w:t>
      </w:r>
      <w:r w:rsidRPr="00B43D1D">
        <w:rPr>
          <w:rFonts w:ascii="Arial" w:eastAsia="Times New Roman" w:hAnsi="Arial" w:cs="Times New Roman"/>
          <w:sz w:val="24"/>
          <w:szCs w:val="20"/>
          <w:lang w:val="es-ES" w:eastAsia="es-ES"/>
        </w:rPr>
        <w:t xml:space="preserve"> los antecedentes remitidos con fecha 23/09/13 por la Administración de las Obras Sanitarias del Estado (OSE), referentes a la planilla de Liquidación de Haberes observada en el mes de diciembre de 2012;</w:t>
      </w:r>
    </w:p>
    <w:p w:rsidR="00B43D1D" w:rsidRPr="00B43D1D" w:rsidRDefault="00B43D1D" w:rsidP="00B43D1D">
      <w:pPr>
        <w:spacing w:after="0" w:line="360" w:lineRule="auto"/>
        <w:ind w:firstLine="851"/>
        <w:jc w:val="both"/>
        <w:rPr>
          <w:rFonts w:ascii="Arial" w:eastAsia="Times New Roman" w:hAnsi="Arial" w:cs="Arial"/>
          <w:sz w:val="24"/>
          <w:szCs w:val="20"/>
          <w:lang w:val="es-ES" w:eastAsia="es-ES"/>
        </w:rPr>
      </w:pPr>
      <w:r w:rsidRPr="00B43D1D">
        <w:rPr>
          <w:rFonts w:ascii="Arial" w:eastAsia="Times New Roman" w:hAnsi="Arial" w:cs="Times New Roman"/>
          <w:b/>
          <w:sz w:val="24"/>
          <w:szCs w:val="20"/>
          <w:lang w:val="es-ES" w:eastAsia="es-ES"/>
        </w:rPr>
        <w:t>RESULTANDO:</w:t>
      </w:r>
      <w:r w:rsidRPr="00B43D1D">
        <w:rPr>
          <w:rFonts w:ascii="Arial" w:eastAsia="Times New Roman" w:hAnsi="Arial" w:cs="Times New Roman"/>
          <w:b/>
          <w:sz w:val="24"/>
          <w:szCs w:val="20"/>
          <w:lang w:val="es-ES" w:eastAsia="es-ES"/>
        </w:rPr>
        <w:tab/>
        <w:t>1)</w:t>
      </w:r>
      <w:r w:rsidRPr="00B43D1D">
        <w:rPr>
          <w:rFonts w:ascii="Arial" w:eastAsia="Times New Roman" w:hAnsi="Arial" w:cs="Times New Roman"/>
          <w:sz w:val="24"/>
          <w:szCs w:val="20"/>
          <w:lang w:val="es-ES" w:eastAsia="es-ES"/>
        </w:rPr>
        <w:t xml:space="preserve"> que los mismos corresponden a 1 (un) gasto reiterado por el Ordenador Competente, en el mes de diciembre de 2012, en los objetos: 011300 “Sueldos Básicos Directores”, 015000 “Gastos de Representación”, 017000 “Suplemento por M3 de agua”, 021000 “Sueldos Básicos Personal Contratado”, 031000 “Personal eventual”, 042001 “Compensaciones Congeladas”, 042010 “Incremento Profesionales”, 042014 “Compensación por Guardias”, 042033 “Compensación Casa Habitación”, 042034 “Compensación  Varias”, 042035 “Compensación a los Despachos”, 042086 “Reestructura”, 042092 “</w:t>
      </w:r>
      <w:proofErr w:type="spellStart"/>
      <w:r w:rsidRPr="00B43D1D">
        <w:rPr>
          <w:rFonts w:ascii="Arial" w:eastAsia="Times New Roman" w:hAnsi="Arial" w:cs="Times New Roman"/>
          <w:sz w:val="24"/>
          <w:szCs w:val="20"/>
          <w:lang w:val="es-ES" w:eastAsia="es-ES"/>
        </w:rPr>
        <w:t>Presentismo</w:t>
      </w:r>
      <w:proofErr w:type="spellEnd"/>
      <w:r w:rsidRPr="00B43D1D">
        <w:rPr>
          <w:rFonts w:ascii="Arial" w:eastAsia="Times New Roman" w:hAnsi="Arial" w:cs="Times New Roman"/>
          <w:sz w:val="24"/>
          <w:szCs w:val="20"/>
          <w:lang w:val="es-ES" w:eastAsia="es-ES"/>
        </w:rPr>
        <w:t xml:space="preserve">”, 042093 “Personal Dirección y Jerárquico”, 042094 “Jefes Administración Interior y Técnicos de CDI”, 042095 “Compensación Zona Balnearios”, 044001 “Antigüedad”, 046000 “Subrogación y Acefalias”, 052000 “Feriados”, 057000 “Becas”, 058000 “Horas Extras”, 059000 “Sueldo Anual Complementario”, 067000 “Gastos de Alimentación”, 069000 “Servicios Extraordinarios Especiales”, 072000 “Hogar Constituido”, 073000 “Prima por Nacimiento”, 081000 “Aporte Patronal Banco de Previsión Social”, 082000 “Aportes Patronales Seguro de Salud”, 087000 “Aportes Patronales FONASA”, 089000 “Aportes Patronales FNV” y 575000 “Retribución Ex-Directores”, </w:t>
      </w:r>
      <w:r w:rsidRPr="00B43D1D">
        <w:rPr>
          <w:rFonts w:ascii="Arial" w:eastAsia="Times New Roman" w:hAnsi="Arial" w:cs="Arial"/>
          <w:sz w:val="24"/>
          <w:szCs w:val="20"/>
          <w:lang w:val="es-ES" w:eastAsia="es-ES"/>
        </w:rPr>
        <w:t>de acuerdo con el siguiente detalle:</w:t>
      </w:r>
    </w:p>
    <w:bookmarkStart w:id="1" w:name="_MON_1441783287"/>
    <w:bookmarkEnd w:id="1"/>
    <w:bookmarkStart w:id="2" w:name="_MON_1443877109"/>
    <w:bookmarkEnd w:id="2"/>
    <w:p w:rsidR="00D465A0" w:rsidRDefault="00B43D1D">
      <w:pPr>
        <w:rPr>
          <w:lang w:val="es-ES"/>
        </w:rPr>
      </w:pPr>
      <w:r>
        <w:rPr>
          <w:rFonts w:ascii="Arial" w:hAnsi="Arial"/>
          <w:b/>
        </w:rPr>
        <w:object w:dxaOrig="8207" w:dyaOrig="9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476.25pt" o:ole="">
            <v:imagedata r:id="rId5" o:title=""/>
          </v:shape>
          <o:OLEObject Type="Embed" ProgID="Excel.Sheet.12" ShapeID="_x0000_i1025" DrawAspect="Content" ObjectID="_1445866337" r:id="rId6"/>
        </w:object>
      </w:r>
    </w:p>
    <w:p w:rsidR="00B43D1D" w:rsidRPr="00B43D1D" w:rsidRDefault="00B43D1D" w:rsidP="004F03ED">
      <w:pPr>
        <w:spacing w:after="0" w:line="360" w:lineRule="auto"/>
        <w:ind w:firstLine="2835"/>
        <w:jc w:val="both"/>
        <w:rPr>
          <w:rFonts w:ascii="Arial" w:eastAsia="Times New Roman" w:hAnsi="Arial" w:cs="Times New Roman"/>
          <w:sz w:val="24"/>
          <w:szCs w:val="20"/>
          <w:lang w:val="es-ES" w:eastAsia="es-ES"/>
        </w:rPr>
      </w:pPr>
      <w:r>
        <w:rPr>
          <w:rFonts w:ascii="Arial" w:eastAsia="Times New Roman" w:hAnsi="Arial" w:cs="Times New Roman"/>
          <w:b/>
          <w:sz w:val="24"/>
          <w:szCs w:val="20"/>
          <w:lang w:val="es-ES" w:eastAsia="es-ES"/>
        </w:rPr>
        <w:t>2</w:t>
      </w:r>
      <w:r w:rsidRPr="00B43D1D">
        <w:rPr>
          <w:rFonts w:ascii="Arial" w:eastAsia="Times New Roman" w:hAnsi="Arial" w:cs="Times New Roman"/>
          <w:b/>
          <w:sz w:val="24"/>
          <w:szCs w:val="20"/>
          <w:lang w:val="es-ES" w:eastAsia="es-ES"/>
        </w:rPr>
        <w:t xml:space="preserve">) </w:t>
      </w:r>
      <w:r w:rsidRPr="00B43D1D">
        <w:rPr>
          <w:rFonts w:ascii="Arial" w:eastAsia="Times New Roman" w:hAnsi="Arial" w:cs="Times New Roman"/>
          <w:sz w:val="24"/>
          <w:szCs w:val="20"/>
          <w:lang w:val="es-ES" w:eastAsia="es-ES"/>
        </w:rPr>
        <w:t>que en la Resolución de reiteración se establecen  los motivos de la misma;</w:t>
      </w:r>
    </w:p>
    <w:p w:rsidR="00B43D1D" w:rsidRPr="00B43D1D" w:rsidRDefault="00B43D1D" w:rsidP="00B43D1D">
      <w:pPr>
        <w:spacing w:after="0" w:line="360" w:lineRule="auto"/>
        <w:ind w:firstLine="851"/>
        <w:jc w:val="both"/>
        <w:rPr>
          <w:rFonts w:ascii="Arial" w:eastAsia="Times New Roman" w:hAnsi="Arial" w:cs="Arial"/>
          <w:color w:val="000000"/>
          <w:sz w:val="24"/>
          <w:szCs w:val="20"/>
          <w:lang w:val="es-ES" w:eastAsia="es-ES"/>
        </w:rPr>
      </w:pPr>
      <w:r w:rsidRPr="00B43D1D">
        <w:rPr>
          <w:rFonts w:ascii="Arial" w:eastAsia="Times New Roman" w:hAnsi="Arial" w:cs="Arial"/>
          <w:b/>
          <w:sz w:val="24"/>
          <w:szCs w:val="20"/>
          <w:lang w:val="es-ES" w:eastAsia="es-ES"/>
        </w:rPr>
        <w:t>CONSIDERANDO:</w:t>
      </w:r>
      <w:r>
        <w:rPr>
          <w:rFonts w:ascii="Arial" w:eastAsia="Times New Roman" w:hAnsi="Arial" w:cs="Arial"/>
          <w:b/>
          <w:sz w:val="24"/>
          <w:szCs w:val="20"/>
          <w:lang w:val="es-ES" w:eastAsia="es-ES"/>
        </w:rPr>
        <w:t xml:space="preserve"> </w:t>
      </w:r>
      <w:r w:rsidRPr="00B43D1D">
        <w:rPr>
          <w:rFonts w:ascii="Arial" w:eastAsia="Times New Roman" w:hAnsi="Arial" w:cs="Arial"/>
          <w:b/>
          <w:color w:val="000000"/>
          <w:sz w:val="24"/>
          <w:szCs w:val="20"/>
          <w:lang w:val="es-ES" w:eastAsia="es-ES"/>
        </w:rPr>
        <w:t>1)</w:t>
      </w:r>
      <w:r w:rsidRPr="00B43D1D">
        <w:rPr>
          <w:rFonts w:ascii="Arial" w:eastAsia="Times New Roman" w:hAnsi="Arial" w:cs="Arial"/>
          <w:color w:val="000000"/>
          <w:sz w:val="24"/>
          <w:szCs w:val="20"/>
          <w:lang w:val="es-ES" w:eastAsia="es-ES"/>
        </w:rPr>
        <w:t xml:space="preserve"> que el </w:t>
      </w:r>
      <w:r>
        <w:rPr>
          <w:rFonts w:ascii="Arial" w:eastAsia="Times New Roman" w:hAnsi="Arial" w:cs="Arial"/>
          <w:color w:val="000000"/>
          <w:sz w:val="24"/>
          <w:szCs w:val="20"/>
          <w:lang w:val="es-ES" w:eastAsia="es-ES"/>
        </w:rPr>
        <w:t>Artículo</w:t>
      </w:r>
      <w:r w:rsidRPr="00B43D1D">
        <w:rPr>
          <w:rFonts w:ascii="Arial" w:eastAsia="Times New Roman" w:hAnsi="Arial" w:cs="Arial"/>
          <w:color w:val="000000"/>
          <w:sz w:val="24"/>
          <w:szCs w:val="20"/>
          <w:lang w:val="es-ES" w:eastAsia="es-ES"/>
        </w:rPr>
        <w:t xml:space="preserve"> 475 de la </w:t>
      </w:r>
      <w:r>
        <w:rPr>
          <w:rFonts w:ascii="Arial" w:eastAsia="Times New Roman" w:hAnsi="Arial" w:cs="Arial"/>
          <w:color w:val="000000"/>
          <w:sz w:val="24"/>
          <w:szCs w:val="20"/>
          <w:lang w:val="es-ES" w:eastAsia="es-ES"/>
        </w:rPr>
        <w:t>L</w:t>
      </w:r>
      <w:r w:rsidRPr="00B43D1D">
        <w:rPr>
          <w:rFonts w:ascii="Arial" w:eastAsia="Times New Roman" w:hAnsi="Arial" w:cs="Arial"/>
          <w:color w:val="000000"/>
          <w:sz w:val="24"/>
          <w:szCs w:val="20"/>
          <w:lang w:val="es-ES" w:eastAsia="es-ES"/>
        </w:rPr>
        <w:t xml:space="preserve">ey N° 17.296 de 21 de febrero de 2001 establece que los Ordenadores de gastos y pagos, al ejercer la facultad de insistencia o reiteración que les acuerda el Literal B) del </w:t>
      </w:r>
      <w:r>
        <w:rPr>
          <w:rFonts w:ascii="Arial" w:eastAsia="Times New Roman" w:hAnsi="Arial" w:cs="Arial"/>
          <w:color w:val="000000"/>
          <w:sz w:val="24"/>
          <w:szCs w:val="20"/>
          <w:lang w:val="es-ES" w:eastAsia="es-ES"/>
        </w:rPr>
        <w:t>A</w:t>
      </w:r>
      <w:r w:rsidRPr="00B43D1D">
        <w:rPr>
          <w:rFonts w:ascii="Arial" w:eastAsia="Times New Roman" w:hAnsi="Arial" w:cs="Arial"/>
          <w:color w:val="000000"/>
          <w:sz w:val="24"/>
          <w:szCs w:val="20"/>
          <w:lang w:val="es-ES" w:eastAsia="es-ES"/>
        </w:rPr>
        <w:t xml:space="preserve">rtículo 211 de la Constitución de la República, deben hacerlo en forma fundada, </w:t>
      </w:r>
      <w:r w:rsidRPr="00B43D1D">
        <w:rPr>
          <w:rFonts w:ascii="Arial" w:eastAsia="Times New Roman" w:hAnsi="Arial" w:cs="Arial"/>
          <w:color w:val="000000"/>
          <w:sz w:val="24"/>
          <w:szCs w:val="20"/>
          <w:lang w:val="es-ES" w:eastAsia="es-ES"/>
        </w:rPr>
        <w:lastRenderedPageBreak/>
        <w:t>expresando de manera detallada los motivos que justifican a su juicio seguir el curso del gasto o pago;</w:t>
      </w:r>
    </w:p>
    <w:p w:rsidR="00B43D1D" w:rsidRPr="00B43D1D" w:rsidRDefault="00B43D1D" w:rsidP="004F03ED">
      <w:pPr>
        <w:spacing w:after="0" w:line="360" w:lineRule="auto"/>
        <w:ind w:firstLine="2977"/>
        <w:jc w:val="both"/>
        <w:rPr>
          <w:rFonts w:ascii="Arial" w:eastAsia="Times New Roman" w:hAnsi="Arial" w:cs="Arial"/>
          <w:sz w:val="24"/>
          <w:szCs w:val="20"/>
          <w:lang w:val="es-ES" w:eastAsia="es-ES"/>
        </w:rPr>
      </w:pPr>
      <w:r w:rsidRPr="00B43D1D">
        <w:rPr>
          <w:rFonts w:ascii="Arial" w:eastAsia="Times New Roman" w:hAnsi="Arial" w:cs="Arial"/>
          <w:b/>
          <w:sz w:val="24"/>
          <w:szCs w:val="20"/>
          <w:lang w:val="es-ES" w:eastAsia="es-ES"/>
        </w:rPr>
        <w:t>2)</w:t>
      </w:r>
      <w:r w:rsidRPr="00B43D1D">
        <w:rPr>
          <w:rFonts w:ascii="Arial" w:eastAsia="Times New Roman" w:hAnsi="Arial" w:cs="Arial"/>
          <w:sz w:val="24"/>
          <w:szCs w:val="20"/>
          <w:lang w:val="es-ES" w:eastAsia="es-ES"/>
        </w:rPr>
        <w:t xml:space="preserve"> que el fundamento expuesto en la Resolución de reiteración no amerita el levantamiento de la observación; </w:t>
      </w:r>
    </w:p>
    <w:p w:rsidR="00B43D1D" w:rsidRPr="00B43D1D" w:rsidRDefault="00B43D1D" w:rsidP="00B43D1D">
      <w:pPr>
        <w:spacing w:after="0" w:line="360" w:lineRule="auto"/>
        <w:ind w:firstLine="851"/>
        <w:jc w:val="both"/>
        <w:rPr>
          <w:rFonts w:ascii="Arial" w:eastAsia="Times New Roman" w:hAnsi="Arial" w:cs="Arial"/>
          <w:color w:val="FF0000"/>
          <w:sz w:val="24"/>
          <w:szCs w:val="20"/>
          <w:lang w:val="es-ES" w:eastAsia="es-ES"/>
        </w:rPr>
      </w:pPr>
      <w:r w:rsidRPr="00B43D1D">
        <w:rPr>
          <w:rFonts w:ascii="Arial" w:eastAsia="Times New Roman" w:hAnsi="Arial" w:cs="Arial"/>
          <w:b/>
          <w:sz w:val="24"/>
          <w:szCs w:val="20"/>
          <w:lang w:val="es-ES" w:eastAsia="es-ES"/>
        </w:rPr>
        <w:t>ATENTO:</w:t>
      </w:r>
      <w:r w:rsidRPr="00B43D1D">
        <w:rPr>
          <w:rFonts w:ascii="Arial" w:eastAsia="Times New Roman" w:hAnsi="Arial" w:cs="Arial"/>
          <w:sz w:val="24"/>
          <w:szCs w:val="20"/>
          <w:lang w:val="es-ES" w:eastAsia="es-ES"/>
        </w:rPr>
        <w:t xml:space="preserve"> a lo expuesto precedentemente y a lo establecido por el </w:t>
      </w:r>
      <w:r>
        <w:rPr>
          <w:rFonts w:ascii="Arial" w:eastAsia="Times New Roman" w:hAnsi="Arial" w:cs="Arial"/>
          <w:sz w:val="24"/>
          <w:szCs w:val="20"/>
          <w:lang w:val="es-ES" w:eastAsia="es-ES"/>
        </w:rPr>
        <w:t>Artículo</w:t>
      </w:r>
      <w:r w:rsidRPr="00B43D1D">
        <w:rPr>
          <w:rFonts w:ascii="Arial" w:eastAsia="Times New Roman" w:hAnsi="Arial" w:cs="Arial"/>
          <w:sz w:val="24"/>
          <w:szCs w:val="20"/>
          <w:lang w:val="es-ES" w:eastAsia="es-ES"/>
        </w:rPr>
        <w:t xml:space="preserve"> 211 Literal B)  de la Constitución de la República;</w:t>
      </w:r>
    </w:p>
    <w:p w:rsidR="00B43D1D" w:rsidRPr="00B43D1D" w:rsidRDefault="00B43D1D" w:rsidP="00B43D1D">
      <w:pPr>
        <w:spacing w:after="0" w:line="360" w:lineRule="auto"/>
        <w:jc w:val="center"/>
        <w:rPr>
          <w:rFonts w:ascii="Arial" w:eastAsia="Times New Roman" w:hAnsi="Arial" w:cs="Arial"/>
          <w:b/>
          <w:sz w:val="24"/>
          <w:szCs w:val="20"/>
          <w:lang w:val="es-ES" w:eastAsia="es-ES"/>
        </w:rPr>
      </w:pPr>
      <w:r w:rsidRPr="00B43D1D">
        <w:rPr>
          <w:rFonts w:ascii="Arial" w:eastAsia="Times New Roman" w:hAnsi="Arial" w:cs="Arial"/>
          <w:b/>
          <w:sz w:val="24"/>
          <w:szCs w:val="20"/>
          <w:lang w:val="es-ES" w:eastAsia="es-ES"/>
        </w:rPr>
        <w:t>EL TRIBUNAL ACUERDA</w:t>
      </w:r>
    </w:p>
    <w:p w:rsidR="00B43D1D" w:rsidRPr="00B43D1D" w:rsidRDefault="00B43D1D" w:rsidP="00B43D1D">
      <w:pPr>
        <w:spacing w:after="0" w:line="360" w:lineRule="auto"/>
        <w:jc w:val="both"/>
        <w:rPr>
          <w:rFonts w:ascii="Arial" w:eastAsia="Times New Roman" w:hAnsi="Arial" w:cs="Times New Roman"/>
          <w:sz w:val="24"/>
          <w:szCs w:val="20"/>
          <w:lang w:val="es-ES" w:eastAsia="es-ES"/>
        </w:rPr>
      </w:pPr>
      <w:r w:rsidRPr="00B43D1D">
        <w:rPr>
          <w:rFonts w:ascii="Arial" w:eastAsia="Times New Roman" w:hAnsi="Arial" w:cs="Times New Roman"/>
          <w:b/>
          <w:sz w:val="24"/>
          <w:szCs w:val="20"/>
          <w:lang w:val="es-ES" w:eastAsia="es-ES"/>
        </w:rPr>
        <w:t>1)</w:t>
      </w:r>
      <w:r w:rsidRPr="00B43D1D">
        <w:rPr>
          <w:rFonts w:ascii="Arial" w:eastAsia="Times New Roman" w:hAnsi="Arial" w:cs="Times New Roman"/>
          <w:sz w:val="24"/>
          <w:szCs w:val="20"/>
          <w:lang w:val="es-ES" w:eastAsia="es-ES"/>
        </w:rPr>
        <w:t xml:space="preserve"> Ratificar la observación formulada por la Contadora Delegada en la Administración de las Obras Sanitarias del Estado;</w:t>
      </w:r>
      <w:r w:rsidRPr="00B43D1D">
        <w:rPr>
          <w:rFonts w:ascii="Arial" w:eastAsia="Times New Roman" w:hAnsi="Arial" w:cs="Times New Roman"/>
          <w:sz w:val="24"/>
          <w:szCs w:val="20"/>
          <w:lang w:val="es-ES" w:eastAsia="es-ES"/>
        </w:rPr>
        <w:cr/>
      </w:r>
      <w:r w:rsidRPr="00B43D1D">
        <w:rPr>
          <w:rFonts w:ascii="Arial" w:eastAsia="Times New Roman" w:hAnsi="Arial" w:cs="Times New Roman"/>
          <w:b/>
          <w:sz w:val="24"/>
          <w:szCs w:val="20"/>
          <w:lang w:val="es-ES" w:eastAsia="es-ES"/>
        </w:rPr>
        <w:t>2)</w:t>
      </w:r>
      <w:r w:rsidRPr="00B43D1D">
        <w:rPr>
          <w:rFonts w:ascii="Arial" w:eastAsia="Times New Roman" w:hAnsi="Arial" w:cs="Times New Roman"/>
          <w:sz w:val="24"/>
          <w:szCs w:val="20"/>
          <w:lang w:val="es-ES" w:eastAsia="es-ES"/>
        </w:rPr>
        <w:t xml:space="preserve">  Comunicar al Poder Ejecutivo, a la Administración de la Obras Sanitarias del Estado y a la Contadora Delegada Laura Perera; y</w:t>
      </w:r>
    </w:p>
    <w:p w:rsidR="00B43D1D" w:rsidRPr="00B43D1D" w:rsidRDefault="00B43D1D" w:rsidP="00B43D1D">
      <w:pPr>
        <w:spacing w:after="0" w:line="360" w:lineRule="auto"/>
        <w:ind w:left="-360" w:firstLine="360"/>
        <w:jc w:val="both"/>
        <w:rPr>
          <w:rFonts w:ascii="Arial" w:eastAsia="Times New Roman" w:hAnsi="Arial" w:cs="Times New Roman"/>
          <w:sz w:val="18"/>
          <w:szCs w:val="18"/>
          <w:lang w:val="es-ES" w:eastAsia="es-ES"/>
        </w:rPr>
      </w:pPr>
      <w:r w:rsidRPr="00B43D1D">
        <w:rPr>
          <w:rFonts w:ascii="Arial" w:eastAsia="Times New Roman" w:hAnsi="Arial" w:cs="Times New Roman"/>
          <w:b/>
          <w:sz w:val="24"/>
          <w:szCs w:val="20"/>
          <w:lang w:val="es-ES" w:eastAsia="es-ES"/>
        </w:rPr>
        <w:t>3)</w:t>
      </w:r>
      <w:r w:rsidRPr="00B43D1D">
        <w:rPr>
          <w:rFonts w:ascii="Arial" w:eastAsia="Times New Roman" w:hAnsi="Arial" w:cs="Times New Roman"/>
          <w:sz w:val="24"/>
          <w:szCs w:val="20"/>
          <w:lang w:val="es-ES" w:eastAsia="es-ES"/>
        </w:rPr>
        <w:t xml:space="preserve">  Dar cuenta a la Asamblea General.</w:t>
      </w:r>
    </w:p>
    <w:p w:rsidR="00B43D1D" w:rsidRPr="00B43D1D" w:rsidRDefault="00B43D1D">
      <w:pPr>
        <w:rPr>
          <w:rFonts w:ascii="Arial" w:hAnsi="Arial" w:cs="Arial"/>
          <w:sz w:val="24"/>
          <w:szCs w:val="24"/>
          <w:lang w:val="es-ES"/>
        </w:rPr>
      </w:pPr>
      <w:proofErr w:type="spellStart"/>
      <w:proofErr w:type="gramStart"/>
      <w:r w:rsidRPr="00B43D1D">
        <w:rPr>
          <w:rFonts w:ascii="Arial" w:hAnsi="Arial" w:cs="Arial"/>
          <w:sz w:val="24"/>
          <w:szCs w:val="24"/>
          <w:lang w:val="es-ES"/>
        </w:rPr>
        <w:t>mb</w:t>
      </w:r>
      <w:proofErr w:type="spellEnd"/>
      <w:proofErr w:type="gramEnd"/>
    </w:p>
    <w:sectPr w:rsidR="00B43D1D" w:rsidRPr="00B43D1D" w:rsidSect="00B43D1D">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D1D"/>
    <w:rsid w:val="00457A77"/>
    <w:rsid w:val="004F03ED"/>
    <w:rsid w:val="00B43D1D"/>
    <w:rsid w:val="00B50E53"/>
    <w:rsid w:val="00C17F6D"/>
    <w:rsid w:val="00D465A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B50E53"/>
    <w:pPr>
      <w:widowControl w:val="0"/>
      <w:spacing w:after="0" w:line="240" w:lineRule="auto"/>
    </w:pPr>
    <w:rPr>
      <w:rFonts w:ascii="Courier New" w:eastAsia="Times New Roman" w:hAnsi="Courier New" w:cs="Times New Roman"/>
      <w:snapToGrid w:val="0"/>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B50E53"/>
    <w:pPr>
      <w:widowControl w:val="0"/>
      <w:spacing w:after="0" w:line="240" w:lineRule="auto"/>
    </w:pPr>
    <w:rPr>
      <w:rFonts w:ascii="Courier New" w:eastAsia="Times New Roman" w:hAnsi="Courier New"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Hoja_de_c_lculo_de_Microsoft_Excel1.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408</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 </cp:lastModifiedBy>
  <cp:revision>3</cp:revision>
  <cp:lastPrinted>2013-10-21T19:16:00Z</cp:lastPrinted>
  <dcterms:created xsi:type="dcterms:W3CDTF">2013-10-21T19:09:00Z</dcterms:created>
  <dcterms:modified xsi:type="dcterms:W3CDTF">2013-11-13T19:46:00Z</dcterms:modified>
</cp:coreProperties>
</file>