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976" w:rsidRDefault="007A1976">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7A1976" w:rsidRDefault="007A1976">
      <w:pPr>
        <w:tabs>
          <w:tab w:val="left" w:pos="-720"/>
        </w:tabs>
        <w:suppressAutoHyphens/>
        <w:jc w:val="center"/>
        <w:rPr>
          <w:rFonts w:ascii="Helvetica" w:hAnsi="Helvetica"/>
          <w:b/>
          <w:lang w:val="es-ES_tradnl"/>
        </w:rPr>
      </w:pPr>
    </w:p>
    <w:p w:rsidR="007A1976" w:rsidRDefault="007A1976">
      <w:pPr>
        <w:tabs>
          <w:tab w:val="center" w:pos="4253"/>
        </w:tabs>
        <w:suppressAutoHyphens/>
        <w:jc w:val="center"/>
        <w:rPr>
          <w:rFonts w:ascii="Helvetica" w:hAnsi="Helvetica"/>
          <w:b/>
          <w:lang w:val="es-ES_tradnl"/>
        </w:rPr>
      </w:pPr>
      <w:r>
        <w:rPr>
          <w:rFonts w:ascii="Helvetica" w:hAnsi="Helvetica"/>
          <w:b/>
          <w:lang w:val="es-ES_tradnl"/>
        </w:rPr>
        <w:t>TRIBUNAL DE CUENTAS</w:t>
      </w:r>
    </w:p>
    <w:p w:rsidR="007A1976" w:rsidRDefault="007A1976">
      <w:pPr>
        <w:tabs>
          <w:tab w:val="left" w:pos="-720"/>
        </w:tabs>
        <w:suppressAutoHyphens/>
        <w:jc w:val="center"/>
        <w:rPr>
          <w:rFonts w:ascii="Helvetica" w:hAnsi="Helvetica"/>
          <w:b/>
          <w:lang w:val="es-ES_tradnl"/>
        </w:rPr>
      </w:pPr>
    </w:p>
    <w:p w:rsidR="007A1976" w:rsidRDefault="007A1976">
      <w:pPr>
        <w:tabs>
          <w:tab w:val="center" w:pos="4253"/>
        </w:tabs>
        <w:suppressAutoHyphens/>
        <w:jc w:val="center"/>
        <w:rPr>
          <w:rFonts w:ascii="Helvetica" w:hAnsi="Helvetica"/>
          <w:b/>
          <w:lang w:val="es-ES_tradnl"/>
        </w:rPr>
      </w:pPr>
      <w:r>
        <w:rPr>
          <w:rFonts w:ascii="Helvetica" w:hAnsi="Helvetica"/>
          <w:b/>
          <w:lang w:val="es-ES_tradnl"/>
        </w:rPr>
        <w:t>EN SESION DE FECHA 18 DE SETIEMBRE DE 2013</w:t>
      </w:r>
    </w:p>
    <w:p w:rsidR="007A1976" w:rsidRDefault="007A1976">
      <w:pPr>
        <w:tabs>
          <w:tab w:val="center" w:pos="4253"/>
        </w:tabs>
        <w:suppressAutoHyphens/>
        <w:jc w:val="center"/>
        <w:rPr>
          <w:rFonts w:ascii="Helvetica" w:hAnsi="Helvetica"/>
          <w:b/>
          <w:lang w:val="es-ES_tradnl"/>
        </w:rPr>
      </w:pPr>
    </w:p>
    <w:p w:rsidR="007A1976" w:rsidRPr="00990207" w:rsidRDefault="007A1976">
      <w:pPr>
        <w:tabs>
          <w:tab w:val="center" w:pos="4253"/>
        </w:tabs>
        <w:suppressAutoHyphens/>
        <w:jc w:val="center"/>
        <w:rPr>
          <w:rFonts w:ascii="Helvetica" w:hAnsi="Helvetica"/>
          <w:b/>
          <w:lang w:val="es-ES_tradnl"/>
        </w:rPr>
      </w:pPr>
      <w:r w:rsidRPr="00990207">
        <w:rPr>
          <w:rFonts w:ascii="Helvetica" w:hAnsi="Helvetica"/>
          <w:b/>
          <w:lang w:val="es-ES_tradnl"/>
        </w:rPr>
        <w:t xml:space="preserve">(E. E. Nº 2013-17-1-0005244, </w:t>
      </w:r>
      <w:proofErr w:type="spellStart"/>
      <w:r w:rsidRPr="00990207">
        <w:rPr>
          <w:rFonts w:ascii="Helvetica" w:hAnsi="Helvetica"/>
          <w:b/>
          <w:lang w:val="es-ES_tradnl"/>
        </w:rPr>
        <w:t>Ent</w:t>
      </w:r>
      <w:proofErr w:type="spellEnd"/>
      <w:r w:rsidRPr="00990207">
        <w:rPr>
          <w:rFonts w:ascii="Helvetica" w:hAnsi="Helvetica"/>
          <w:b/>
          <w:lang w:val="es-ES_tradnl"/>
        </w:rPr>
        <w:t>. N° 4634/13)</w:t>
      </w:r>
    </w:p>
    <w:p w:rsidR="007A1976" w:rsidRPr="00990207" w:rsidRDefault="007A1976">
      <w:pPr>
        <w:tabs>
          <w:tab w:val="center" w:pos="4253"/>
        </w:tabs>
        <w:suppressAutoHyphens/>
        <w:jc w:val="center"/>
        <w:rPr>
          <w:rFonts w:ascii="Arial" w:hAnsi="Arial"/>
          <w:spacing w:val="-3"/>
          <w:lang w:val="es-ES_tradnl"/>
        </w:rPr>
      </w:pPr>
    </w:p>
    <w:p w:rsidR="0077096D" w:rsidRDefault="0077096D"/>
    <w:p w:rsidR="0077096D" w:rsidRDefault="0077096D" w:rsidP="007A1976">
      <w:pPr>
        <w:pStyle w:val="Textoindependiente"/>
        <w:spacing w:line="360" w:lineRule="auto"/>
        <w:ind w:firstLine="851"/>
      </w:pPr>
      <w:r>
        <w:rPr>
          <w:b/>
          <w:bCs/>
        </w:rPr>
        <w:t>VISTO:</w:t>
      </w:r>
      <w:r>
        <w:t xml:space="preserve"> estas actuaciones remitidas por la Administración de las Obras Sanitarias del Estado (OSE), relacionadas con el llamado a financiamiento y contratación de préstamo;</w:t>
      </w:r>
    </w:p>
    <w:p w:rsidR="0077096D" w:rsidRDefault="0077096D" w:rsidP="007A1976">
      <w:pPr>
        <w:pStyle w:val="Textoindependiente"/>
        <w:spacing w:line="360" w:lineRule="auto"/>
        <w:ind w:firstLine="851"/>
      </w:pPr>
      <w:r>
        <w:rPr>
          <w:b/>
          <w:bCs/>
        </w:rPr>
        <w:t xml:space="preserve">RESULTANDO: 1) </w:t>
      </w:r>
      <w:r>
        <w:t xml:space="preserve">que este Tribunal, por Resolución dictada del 9/5/12, evacuando una consulta de la Contadora Delegada, señaló que resultaba posible que OSE, al amparo del ultimo inciso del </w:t>
      </w:r>
      <w:r w:rsidR="004676F3">
        <w:t>A</w:t>
      </w:r>
      <w:r>
        <w:t xml:space="preserve">rtículo 37 del TOCAF, aplicara el procedimiento especial autorizado por el </w:t>
      </w:r>
      <w:r w:rsidR="004676F3">
        <w:t xml:space="preserve">                  Decreto </w:t>
      </w:r>
      <w:r>
        <w:t>194/006 para la Administración de las Usinas y Transmisiones Eléctricas,   para la toma de endeudamiento en el sector financiero nacional o  internacional, o en el mercado de capitales;</w:t>
      </w:r>
    </w:p>
    <w:p w:rsidR="0077096D" w:rsidRDefault="0077096D" w:rsidP="007A1976">
      <w:pPr>
        <w:pStyle w:val="Textoindependiente"/>
        <w:spacing w:line="360" w:lineRule="auto"/>
        <w:ind w:firstLine="2694"/>
      </w:pPr>
      <w:r>
        <w:rPr>
          <w:b/>
          <w:bCs/>
        </w:rPr>
        <w:t>2)</w:t>
      </w:r>
      <w:r>
        <w:t xml:space="preserve"> que por Resolución Nº 140/13 dictada el 20/2/13, el Directorio  aprobó la utilización del Decreto 194/006 en OSE, y se delegó en la Gerencia Financiera-Contable, previa comunicación a la Gerencia General, la aprobación del llamado a la contratación del financiamiento y su respectivas bases;</w:t>
      </w:r>
    </w:p>
    <w:p w:rsidR="0077096D" w:rsidRDefault="0077096D" w:rsidP="007A1976">
      <w:pPr>
        <w:pStyle w:val="Textoindependiente"/>
        <w:spacing w:line="360" w:lineRule="auto"/>
        <w:ind w:firstLine="2694"/>
      </w:pPr>
      <w:r>
        <w:rPr>
          <w:b/>
          <w:bCs/>
        </w:rPr>
        <w:t>3)</w:t>
      </w:r>
      <w:r>
        <w:t xml:space="preserve"> que </w:t>
      </w:r>
      <w:r w:rsidR="004676F3">
        <w:t xml:space="preserve">por Resolución del Directorio  </w:t>
      </w:r>
      <w:r>
        <w:t>Nº 238/13 del 6/3/13, se delegó en la Ge</w:t>
      </w:r>
      <w:r w:rsidR="004676F3">
        <w:t xml:space="preserve">rencia General la selección de </w:t>
      </w:r>
      <w:r>
        <w:t>la oferta más conveniente para la Administración, en el marco de la utilización del procedimiento de contratación de financiamiento en el sector financiero, debiendo poner en conocimiento de la adjudicación dispuesta al Directorio a la mayor brevedad posible;</w:t>
      </w:r>
    </w:p>
    <w:p w:rsidR="0077096D" w:rsidRDefault="0077096D" w:rsidP="007A1976">
      <w:pPr>
        <w:pStyle w:val="Textoindependiente"/>
        <w:spacing w:line="360" w:lineRule="auto"/>
        <w:ind w:firstLine="2694"/>
      </w:pPr>
      <w:r>
        <w:rPr>
          <w:b/>
          <w:bCs/>
        </w:rPr>
        <w:t>4)</w:t>
      </w:r>
      <w:r>
        <w:t xml:space="preserve"> que teniendo en cuenta la intención de OSE de tomar fondos en dólares americanos hasta U$S 1.350.000, por un plazo de tres </w:t>
      </w:r>
      <w:r>
        <w:lastRenderedPageBreak/>
        <w:t>meses, se cursaron invitaciones a diversas instituciones bancarias, a efectos de cotizar el financiamiento solicitado;</w:t>
      </w:r>
    </w:p>
    <w:p w:rsidR="0077096D" w:rsidRDefault="0077096D" w:rsidP="007A1976">
      <w:pPr>
        <w:pStyle w:val="Textoindependiente"/>
        <w:tabs>
          <w:tab w:val="left" w:pos="1980"/>
        </w:tabs>
        <w:spacing w:line="360" w:lineRule="auto"/>
        <w:ind w:firstLine="2694"/>
      </w:pPr>
      <w:r>
        <w:rPr>
          <w:b/>
          <w:bCs/>
        </w:rPr>
        <w:t>5)</w:t>
      </w:r>
      <w:r>
        <w:t xml:space="preserve"> que del acta de fecha 2/8/13, surge q</w:t>
      </w:r>
      <w:r w:rsidR="007A1976">
        <w:t>ue se recibieron  propuestas de</w:t>
      </w:r>
      <w:r>
        <w:t>: NUEVO BANCO COMERCIAL S.A.: U$S 1.350.000, tasa efectiva anual de 4.25%; HSBC: U$S 1350.000, tasa efectiva anual de 4.5%;  Banco ITAÚ Uruguay S.A.: U$S 1.350.000, tasa efectiva anual de 1,65% (impuestos incluidos Banco Santander: U$S 1.350.000, tasa efectiva anual 1,65% (impuestos incluidos);</w:t>
      </w:r>
    </w:p>
    <w:p w:rsidR="0077096D" w:rsidRDefault="0077096D" w:rsidP="007A1976">
      <w:pPr>
        <w:pStyle w:val="Textoindependiente"/>
        <w:spacing w:line="360" w:lineRule="auto"/>
        <w:ind w:firstLine="2694"/>
      </w:pPr>
      <w:r>
        <w:rPr>
          <w:b/>
          <w:bCs/>
        </w:rPr>
        <w:t>6)</w:t>
      </w:r>
      <w:r>
        <w:t xml:space="preserve"> que teniendo en cuenta lo sugerido  por el  Sub-Gerente de Financiero Contable y el Jefe de Finanzas, de dividir la adjudicación entre aquellas empresas que ofrecieron la menor tasa y por el mismo porcentaje,  por Resolución de la Sub-Gerencia General Administrativa de fecha 6/8/13, se adjudicó: U$S 675.000 al Banco Santander y U$S 675.000 al Banco ITAÚ Uruguay S.A.;</w:t>
      </w:r>
    </w:p>
    <w:p w:rsidR="0077096D" w:rsidRDefault="0077096D" w:rsidP="007A1976">
      <w:pPr>
        <w:pStyle w:val="Textoindependiente"/>
        <w:spacing w:line="360" w:lineRule="auto"/>
        <w:ind w:firstLine="2694"/>
        <w:rPr>
          <w:b/>
          <w:bCs/>
        </w:rPr>
      </w:pPr>
      <w:r>
        <w:rPr>
          <w:b/>
          <w:bCs/>
        </w:rPr>
        <w:t>7)</w:t>
      </w:r>
      <w:r>
        <w:t xml:space="preserve"> que con fecha 5/8/13, se suscribieron  vales a favor del Banco Santander, por la suma </w:t>
      </w:r>
      <w:r w:rsidR="0028115E">
        <w:t xml:space="preserve">de </w:t>
      </w:r>
      <w:r>
        <w:t>U$S 675.000 más intereses, a la tasa efectiva anual del 1,25%</w:t>
      </w:r>
      <w:r w:rsidR="0028115E">
        <w:t xml:space="preserve"> </w:t>
      </w:r>
      <w:r>
        <w:t xml:space="preserve">(el monto corresponde al capital prestado y los intereses compensatorios), y del Banco ITAÚ Uruguay S.A., por la suma </w:t>
      </w:r>
      <w:r w:rsidR="0028115E">
        <w:t xml:space="preserve">de </w:t>
      </w:r>
      <w:r>
        <w:t xml:space="preserve">U$S 675.000 más intereses, </w:t>
      </w:r>
      <w:r w:rsidR="0028115E">
        <w:t>a la tasa efectiva anual del 1,</w:t>
      </w:r>
      <w:r>
        <w:t>65%;</w:t>
      </w:r>
    </w:p>
    <w:p w:rsidR="0077096D" w:rsidRDefault="0077096D" w:rsidP="007A1976">
      <w:pPr>
        <w:pStyle w:val="Textoindependiente"/>
        <w:spacing w:line="360" w:lineRule="auto"/>
        <w:ind w:firstLine="2694"/>
      </w:pPr>
      <w:r>
        <w:rPr>
          <w:b/>
          <w:bCs/>
        </w:rPr>
        <w:t>8)</w:t>
      </w:r>
      <w:r>
        <w:t xml:space="preserve"> que  la Contadora Delegada,  con fecha 15/8/13, procedió a la intervención del gasto emergente de los préstamos referidos;</w:t>
      </w:r>
    </w:p>
    <w:p w:rsidR="0077096D" w:rsidRDefault="0077096D" w:rsidP="007A1976">
      <w:pPr>
        <w:pStyle w:val="Textoindependiente"/>
        <w:tabs>
          <w:tab w:val="left" w:pos="1980"/>
        </w:tabs>
        <w:spacing w:line="360" w:lineRule="auto"/>
        <w:ind w:firstLine="2694"/>
      </w:pPr>
      <w:r>
        <w:rPr>
          <w:b/>
          <w:bCs/>
        </w:rPr>
        <w:t>9)</w:t>
      </w:r>
      <w:r>
        <w:t xml:space="preserve"> que las presentes actuaciones ingresaron a este Tribunal, el  26/8/13;</w:t>
      </w:r>
    </w:p>
    <w:p w:rsidR="0077096D" w:rsidRDefault="0077096D" w:rsidP="007A1976">
      <w:pPr>
        <w:pStyle w:val="Textoindependiente"/>
        <w:spacing w:line="360" w:lineRule="auto"/>
        <w:ind w:firstLine="851"/>
      </w:pPr>
      <w:r>
        <w:rPr>
          <w:b/>
          <w:bCs/>
        </w:rPr>
        <w:t xml:space="preserve">CONSIDERANDO: 1)  </w:t>
      </w:r>
      <w:r>
        <w:t xml:space="preserve">que el procedimiento especial de contratación fue autorizado para UTE, por </w:t>
      </w:r>
      <w:r w:rsidR="0028115E">
        <w:t>D</w:t>
      </w:r>
      <w:r>
        <w:t>ecreto 194/006;</w:t>
      </w:r>
    </w:p>
    <w:p w:rsidR="0077096D" w:rsidRDefault="007A1976" w:rsidP="007A1976">
      <w:pPr>
        <w:pStyle w:val="Textoindependiente"/>
        <w:spacing w:line="360" w:lineRule="auto"/>
        <w:ind w:firstLine="2977"/>
      </w:pPr>
      <w:r>
        <w:t xml:space="preserve"> </w:t>
      </w:r>
      <w:r w:rsidR="0077096D" w:rsidRPr="007A1976">
        <w:rPr>
          <w:b/>
        </w:rPr>
        <w:t>2)</w:t>
      </w:r>
      <w:r>
        <w:t xml:space="preserve"> </w:t>
      </w:r>
      <w:r w:rsidR="0077096D">
        <w:t>que d</w:t>
      </w:r>
      <w:r>
        <w:t>e acuerdo al último inciso del A</w:t>
      </w:r>
      <w:r w:rsidR="0077096D">
        <w:t>rt</w:t>
      </w:r>
      <w:r>
        <w:t>ículo</w:t>
      </w:r>
      <w:r w:rsidR="0077096D">
        <w:t xml:space="preserve"> 37 del </w:t>
      </w:r>
      <w:r>
        <w:t xml:space="preserve">TOCAF </w:t>
      </w:r>
      <w:r w:rsidR="0077096D">
        <w:t xml:space="preserve">(que regula lo concerniente </w:t>
      </w:r>
      <w:r w:rsidR="0028115E">
        <w:t>a</w:t>
      </w:r>
      <w:r w:rsidR="0077096D">
        <w:t xml:space="preserve"> los procedimientos de contratación especiales), las restantes administraciones </w:t>
      </w:r>
      <w:r>
        <w:t>públicas</w:t>
      </w:r>
      <w:r w:rsidR="0028115E">
        <w:t xml:space="preserve"> estatales podrán </w:t>
      </w:r>
      <w:r w:rsidR="0077096D">
        <w:t>aplicar los regímenes y procedimientos autorizados;</w:t>
      </w:r>
    </w:p>
    <w:p w:rsidR="0077096D" w:rsidRDefault="007A1976" w:rsidP="007A1976">
      <w:pPr>
        <w:pStyle w:val="Textoindependiente"/>
        <w:spacing w:line="360" w:lineRule="auto"/>
        <w:ind w:firstLine="2977"/>
      </w:pPr>
      <w:r>
        <w:lastRenderedPageBreak/>
        <w:t xml:space="preserve"> </w:t>
      </w:r>
      <w:r w:rsidR="0077096D" w:rsidRPr="007A1976">
        <w:rPr>
          <w:b/>
        </w:rPr>
        <w:t xml:space="preserve">3) </w:t>
      </w:r>
      <w:r w:rsidR="0077096D">
        <w:t xml:space="preserve">que por </w:t>
      </w:r>
      <w:r>
        <w:t>R</w:t>
      </w:r>
      <w:r w:rsidR="0028115E">
        <w:t xml:space="preserve">esolución </w:t>
      </w:r>
      <w:r w:rsidR="0077096D">
        <w:t xml:space="preserve">del 20/3/13, el Directorio aprobó la utilización del </w:t>
      </w:r>
      <w:r>
        <w:t>D</w:t>
      </w:r>
      <w:r w:rsidR="0077096D">
        <w:t>ecreto 194/06 para OSE;</w:t>
      </w:r>
    </w:p>
    <w:p w:rsidR="0077096D" w:rsidRDefault="0077096D" w:rsidP="007A1976">
      <w:pPr>
        <w:pStyle w:val="Textoindependiente"/>
        <w:spacing w:line="360" w:lineRule="auto"/>
        <w:ind w:firstLine="2977"/>
      </w:pPr>
      <w:r w:rsidRPr="007A1976">
        <w:rPr>
          <w:b/>
        </w:rPr>
        <w:t>4)</w:t>
      </w:r>
      <w:r>
        <w:t xml:space="preserve"> que de acuerdo a los numerales XI y XII del Anexo del </w:t>
      </w:r>
      <w:r w:rsidR="0028115E">
        <w:t>D</w:t>
      </w:r>
      <w:r>
        <w:t>ecreto 194/006, una vez adjudicadas las ofertas, se procederá a la intervención de legalidad por parte del Contador Delegado  y,  una vez firmados los contratos correspondientes, se deberán remitir todas las actuaciones al Tribunal de Cuentas en un plazo de cinco días;</w:t>
      </w:r>
    </w:p>
    <w:p w:rsidR="0077096D" w:rsidRDefault="0077096D" w:rsidP="007A1976">
      <w:pPr>
        <w:pStyle w:val="Textoindependiente"/>
        <w:spacing w:line="360" w:lineRule="auto"/>
        <w:ind w:firstLine="2977"/>
      </w:pPr>
      <w:r>
        <w:rPr>
          <w:b/>
          <w:bCs/>
        </w:rPr>
        <w:t xml:space="preserve">5) </w:t>
      </w:r>
      <w:r>
        <w:t>que estos obrados fueron remiti</w:t>
      </w:r>
      <w:r w:rsidR="00C22157">
        <w:t xml:space="preserve">dos a este Tribunal el 26/8/13, </w:t>
      </w:r>
      <w:r>
        <w:t>por lo que no se ha dado cumplimiento con el plazo establecido, teniendo en cuenta que los vales de los prestamos fueron suscriptos el 5/8/13  y  el gasto fue intervenido por la Contadora Delegada el 15/8/13;</w:t>
      </w:r>
    </w:p>
    <w:p w:rsidR="0077096D" w:rsidRDefault="0077096D" w:rsidP="007A1976">
      <w:pPr>
        <w:pStyle w:val="Textoindependiente"/>
        <w:spacing w:line="360" w:lineRule="auto"/>
        <w:ind w:firstLine="851"/>
      </w:pPr>
      <w:r>
        <w:rPr>
          <w:b/>
          <w:bCs/>
        </w:rPr>
        <w:t>ATENTO</w:t>
      </w:r>
      <w:proofErr w:type="gramStart"/>
      <w:r w:rsidR="007A1976">
        <w:rPr>
          <w:b/>
          <w:bCs/>
        </w:rPr>
        <w:t xml:space="preserve">: </w:t>
      </w:r>
      <w:r>
        <w:rPr>
          <w:b/>
          <w:bCs/>
        </w:rPr>
        <w:t xml:space="preserve"> </w:t>
      </w:r>
      <w:r>
        <w:t>a</w:t>
      </w:r>
      <w:proofErr w:type="gramEnd"/>
      <w:r>
        <w:t xml:space="preserve"> lo precedentemente expuesto;</w:t>
      </w:r>
    </w:p>
    <w:p w:rsidR="0077096D" w:rsidRDefault="0077096D">
      <w:pPr>
        <w:pStyle w:val="Textoindependiente"/>
        <w:spacing w:line="360" w:lineRule="auto"/>
        <w:jc w:val="center"/>
        <w:rPr>
          <w:b/>
          <w:bCs/>
        </w:rPr>
      </w:pPr>
      <w:r>
        <w:rPr>
          <w:b/>
          <w:bCs/>
        </w:rPr>
        <w:t>EL TRIBUNAL ACUERDA:</w:t>
      </w:r>
    </w:p>
    <w:p w:rsidR="0077096D" w:rsidRDefault="0077096D">
      <w:pPr>
        <w:pStyle w:val="Textoindependiente"/>
        <w:numPr>
          <w:ilvl w:val="0"/>
          <w:numId w:val="1"/>
        </w:numPr>
        <w:spacing w:line="360" w:lineRule="auto"/>
      </w:pPr>
      <w:r>
        <w:t xml:space="preserve">Téngase presente lo señalado en </w:t>
      </w:r>
      <w:r w:rsidR="00C22157">
        <w:t>los</w:t>
      </w:r>
      <w:r>
        <w:t xml:space="preserve"> Considerando</w:t>
      </w:r>
      <w:r w:rsidR="00C22157">
        <w:t>s</w:t>
      </w:r>
      <w:r>
        <w:t xml:space="preserve"> 4) y 5) de la presente Resolución;</w:t>
      </w:r>
    </w:p>
    <w:p w:rsidR="0077096D" w:rsidRDefault="0077096D">
      <w:pPr>
        <w:pStyle w:val="Textoindependiente"/>
        <w:numPr>
          <w:ilvl w:val="0"/>
          <w:numId w:val="1"/>
        </w:numPr>
        <w:spacing w:line="360" w:lineRule="auto"/>
      </w:pPr>
      <w:r>
        <w:t>Comunicar a la Contadora Delegada;</w:t>
      </w:r>
      <w:r w:rsidR="00C22157">
        <w:t xml:space="preserve"> y</w:t>
      </w:r>
    </w:p>
    <w:p w:rsidR="0077096D" w:rsidRDefault="0077096D">
      <w:pPr>
        <w:pStyle w:val="Textoindependiente"/>
        <w:numPr>
          <w:ilvl w:val="0"/>
          <w:numId w:val="1"/>
        </w:numPr>
        <w:spacing w:line="360" w:lineRule="auto"/>
      </w:pPr>
      <w:r>
        <w:t>Devolver las actuacion</w:t>
      </w:r>
      <w:r w:rsidR="00990207">
        <w:t>es a la Administración actuante.</w:t>
      </w:r>
      <w:bookmarkStart w:id="0" w:name="_GoBack"/>
      <w:bookmarkEnd w:id="0"/>
    </w:p>
    <w:p w:rsidR="0077096D" w:rsidRDefault="0077096D">
      <w:pPr>
        <w:pStyle w:val="Textoindependiente"/>
        <w:spacing w:line="360" w:lineRule="auto"/>
      </w:pPr>
    </w:p>
    <w:p w:rsidR="0077096D" w:rsidRDefault="0077096D">
      <w:pPr>
        <w:pStyle w:val="Textoindependiente"/>
        <w:spacing w:line="360" w:lineRule="auto"/>
      </w:pPr>
      <w:r>
        <w:t xml:space="preserve"> </w:t>
      </w:r>
    </w:p>
    <w:p w:rsidR="0077096D" w:rsidRDefault="007A1976" w:rsidP="007A1976">
      <w:pPr>
        <w:pStyle w:val="Textoindependiente"/>
      </w:pPr>
      <w:proofErr w:type="spellStart"/>
      <w:proofErr w:type="gramStart"/>
      <w:r>
        <w:t>ag</w:t>
      </w:r>
      <w:proofErr w:type="spellEnd"/>
      <w:proofErr w:type="gramEnd"/>
    </w:p>
    <w:p w:rsidR="0077096D" w:rsidRDefault="0077096D">
      <w:pPr>
        <w:pStyle w:val="Textoindependiente"/>
        <w:ind w:firstLine="708"/>
      </w:pPr>
    </w:p>
    <w:p w:rsidR="0077096D" w:rsidRDefault="0077096D">
      <w:pPr>
        <w:pStyle w:val="Textoindependiente"/>
        <w:spacing w:line="360" w:lineRule="auto"/>
        <w:ind w:firstLine="708"/>
        <w:jc w:val="right"/>
      </w:pPr>
    </w:p>
    <w:p w:rsidR="0077096D" w:rsidRDefault="0077096D"/>
    <w:p w:rsidR="0077096D" w:rsidRDefault="0077096D"/>
    <w:sectPr w:rsidR="0077096D" w:rsidSect="00990207">
      <w:footerReference w:type="default" r:id="rId8"/>
      <w:pgSz w:w="11906" w:h="16838" w:code="9"/>
      <w:pgMar w:top="3289"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976" w:rsidRDefault="007A1976" w:rsidP="007A1976">
      <w:r>
        <w:separator/>
      </w:r>
    </w:p>
  </w:endnote>
  <w:endnote w:type="continuationSeparator" w:id="0">
    <w:p w:rsidR="007A1976" w:rsidRDefault="007A1976" w:rsidP="007A1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1099456"/>
      <w:docPartObj>
        <w:docPartGallery w:val="Page Numbers (Bottom of Page)"/>
        <w:docPartUnique/>
      </w:docPartObj>
    </w:sdtPr>
    <w:sdtEndPr/>
    <w:sdtContent>
      <w:p w:rsidR="007A1976" w:rsidRDefault="007A1976">
        <w:pPr>
          <w:pStyle w:val="Piedepgina"/>
          <w:jc w:val="center"/>
        </w:pPr>
        <w:r>
          <w:fldChar w:fldCharType="begin"/>
        </w:r>
        <w:r>
          <w:instrText>PAGE   \* MERGEFORMAT</w:instrText>
        </w:r>
        <w:r>
          <w:fldChar w:fldCharType="separate"/>
        </w:r>
        <w:r w:rsidR="00990207">
          <w:rPr>
            <w:noProof/>
          </w:rPr>
          <w:t>3</w:t>
        </w:r>
        <w:r>
          <w:fldChar w:fldCharType="end"/>
        </w:r>
      </w:p>
    </w:sdtContent>
  </w:sdt>
  <w:p w:rsidR="007A1976" w:rsidRDefault="007A197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976" w:rsidRDefault="007A1976" w:rsidP="007A1976">
      <w:r>
        <w:separator/>
      </w:r>
    </w:p>
  </w:footnote>
  <w:footnote w:type="continuationSeparator" w:id="0">
    <w:p w:rsidR="007A1976" w:rsidRDefault="007A1976" w:rsidP="007A19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54758"/>
    <w:multiLevelType w:val="hybridMultilevel"/>
    <w:tmpl w:val="3814A062"/>
    <w:lvl w:ilvl="0" w:tplc="79FC5254">
      <w:start w:val="1"/>
      <w:numFmt w:val="decimal"/>
      <w:lvlText w:val="%1)"/>
      <w:lvlJc w:val="left"/>
      <w:pPr>
        <w:tabs>
          <w:tab w:val="num" w:pos="720"/>
        </w:tabs>
        <w:ind w:left="720" w:hanging="360"/>
      </w:pPr>
      <w:rPr>
        <w:rFonts w:ascii="Arial" w:hAnsi="Arial" w:cs="Arial" w:hint="default"/>
        <w:b/>
        <w:bCs/>
      </w:rPr>
    </w:lvl>
    <w:lvl w:ilvl="1" w:tplc="0C0A0019">
      <w:start w:val="1"/>
      <w:numFmt w:val="lowerLetter"/>
      <w:lvlText w:val="%2."/>
      <w:lvlJc w:val="left"/>
      <w:pPr>
        <w:tabs>
          <w:tab w:val="num" w:pos="1440"/>
        </w:tabs>
        <w:ind w:left="1440" w:hanging="360"/>
      </w:pPr>
      <w:rPr>
        <w:rFonts w:ascii="Times New Roman" w:hAnsi="Times New Roman"/>
      </w:rPr>
    </w:lvl>
    <w:lvl w:ilvl="2" w:tplc="0C0A001B">
      <w:start w:val="1"/>
      <w:numFmt w:val="lowerRoman"/>
      <w:lvlText w:val="%3."/>
      <w:lvlJc w:val="right"/>
      <w:pPr>
        <w:tabs>
          <w:tab w:val="num" w:pos="2160"/>
        </w:tabs>
        <w:ind w:left="2160" w:hanging="180"/>
      </w:pPr>
      <w:rPr>
        <w:rFonts w:ascii="Times New Roman" w:hAnsi="Times New Roman"/>
      </w:rPr>
    </w:lvl>
    <w:lvl w:ilvl="3" w:tplc="0C0A000F">
      <w:start w:val="1"/>
      <w:numFmt w:val="decimal"/>
      <w:lvlText w:val="%4."/>
      <w:lvlJc w:val="left"/>
      <w:pPr>
        <w:tabs>
          <w:tab w:val="num" w:pos="2880"/>
        </w:tabs>
        <w:ind w:left="2880" w:hanging="360"/>
      </w:pPr>
      <w:rPr>
        <w:rFonts w:ascii="Times New Roman" w:hAnsi="Times New Roman"/>
      </w:rPr>
    </w:lvl>
    <w:lvl w:ilvl="4" w:tplc="0C0A0019">
      <w:start w:val="1"/>
      <w:numFmt w:val="lowerLetter"/>
      <w:lvlText w:val="%5."/>
      <w:lvlJc w:val="left"/>
      <w:pPr>
        <w:tabs>
          <w:tab w:val="num" w:pos="3600"/>
        </w:tabs>
        <w:ind w:left="3600" w:hanging="360"/>
      </w:pPr>
      <w:rPr>
        <w:rFonts w:ascii="Times New Roman" w:hAnsi="Times New Roman"/>
      </w:rPr>
    </w:lvl>
    <w:lvl w:ilvl="5" w:tplc="0C0A001B">
      <w:start w:val="1"/>
      <w:numFmt w:val="lowerRoman"/>
      <w:lvlText w:val="%6."/>
      <w:lvlJc w:val="right"/>
      <w:pPr>
        <w:tabs>
          <w:tab w:val="num" w:pos="4320"/>
        </w:tabs>
        <w:ind w:left="4320" w:hanging="180"/>
      </w:pPr>
      <w:rPr>
        <w:rFonts w:ascii="Times New Roman" w:hAnsi="Times New Roman"/>
      </w:rPr>
    </w:lvl>
    <w:lvl w:ilvl="6" w:tplc="0C0A000F">
      <w:start w:val="1"/>
      <w:numFmt w:val="decimal"/>
      <w:lvlText w:val="%7."/>
      <w:lvlJc w:val="left"/>
      <w:pPr>
        <w:tabs>
          <w:tab w:val="num" w:pos="5040"/>
        </w:tabs>
        <w:ind w:left="5040" w:hanging="360"/>
      </w:pPr>
      <w:rPr>
        <w:rFonts w:ascii="Times New Roman" w:hAnsi="Times New Roman"/>
      </w:rPr>
    </w:lvl>
    <w:lvl w:ilvl="7" w:tplc="0C0A0019">
      <w:start w:val="1"/>
      <w:numFmt w:val="lowerLetter"/>
      <w:lvlText w:val="%8."/>
      <w:lvlJc w:val="left"/>
      <w:pPr>
        <w:tabs>
          <w:tab w:val="num" w:pos="5760"/>
        </w:tabs>
        <w:ind w:left="5760" w:hanging="360"/>
      </w:pPr>
      <w:rPr>
        <w:rFonts w:ascii="Times New Roman" w:hAnsi="Times New Roman"/>
      </w:rPr>
    </w:lvl>
    <w:lvl w:ilvl="8" w:tplc="0C0A001B">
      <w:start w:val="1"/>
      <w:numFmt w:val="lowerRoman"/>
      <w:lvlText w:val="%9."/>
      <w:lvlJc w:val="right"/>
      <w:pPr>
        <w:tabs>
          <w:tab w:val="num" w:pos="6480"/>
        </w:tabs>
        <w:ind w:left="6480" w:hanging="180"/>
      </w:pPr>
      <w:rPr>
        <w:rFonts w:ascii="Times New Roman" w:hAnsi="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96D"/>
    <w:rsid w:val="0028115E"/>
    <w:rsid w:val="004676F3"/>
    <w:rsid w:val="0077096D"/>
    <w:rsid w:val="007A1976"/>
    <w:rsid w:val="00810D5D"/>
    <w:rsid w:val="00990207"/>
    <w:rsid w:val="00C22157"/>
    <w:rsid w:val="00E63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lang w:val="es-ES" w:eastAsia="es-ES"/>
    </w:rPr>
  </w:style>
  <w:style w:type="paragraph" w:styleId="Ttulo1">
    <w:name w:val="heading 1"/>
    <w:basedOn w:val="Normal"/>
    <w:next w:val="Normal"/>
    <w:link w:val="Ttulo1Car"/>
    <w:uiPriority w:val="99"/>
    <w:qFormat/>
    <w:pPr>
      <w:keepNext/>
      <w:spacing w:line="360" w:lineRule="auto"/>
      <w:jc w:val="center"/>
      <w:outlineLvl w:val="0"/>
    </w:pPr>
    <w:rPr>
      <w:rFonts w:ascii="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Pr>
      <w:rFonts w:ascii="Arial" w:hAnsi="Arial" w:cs="Arial"/>
      <w:b/>
      <w:bCs/>
      <w:sz w:val="24"/>
      <w:szCs w:val="24"/>
      <w:lang w:eastAsia="es-ES"/>
    </w:rPr>
  </w:style>
  <w:style w:type="paragraph" w:styleId="Textoindependiente">
    <w:name w:val="Body Text"/>
    <w:basedOn w:val="Normal"/>
    <w:link w:val="TextoindependienteCar"/>
    <w:uiPriority w:val="99"/>
    <w:pPr>
      <w:jc w:val="both"/>
    </w:pPr>
    <w:rPr>
      <w:rFonts w:ascii="Arial" w:hAnsi="Arial" w:cs="Arial"/>
    </w:rPr>
  </w:style>
  <w:style w:type="character" w:customStyle="1" w:styleId="TextoindependienteCar">
    <w:name w:val="Texto independiente Car"/>
    <w:basedOn w:val="Fuentedeprrafopredeter"/>
    <w:link w:val="Textoindependiente"/>
    <w:uiPriority w:val="99"/>
    <w:rPr>
      <w:rFonts w:ascii="Arial" w:hAnsi="Arial" w:cs="Arial"/>
      <w:sz w:val="24"/>
      <w:szCs w:val="24"/>
      <w:lang w:eastAsia="es-ES"/>
    </w:rPr>
  </w:style>
  <w:style w:type="paragraph" w:styleId="Encabezado">
    <w:name w:val="header"/>
    <w:basedOn w:val="Normal"/>
    <w:link w:val="EncabezadoCar"/>
    <w:uiPriority w:val="99"/>
    <w:unhideWhenUsed/>
    <w:rsid w:val="007A1976"/>
    <w:pPr>
      <w:tabs>
        <w:tab w:val="center" w:pos="4252"/>
        <w:tab w:val="right" w:pos="8504"/>
      </w:tabs>
    </w:pPr>
  </w:style>
  <w:style w:type="character" w:customStyle="1" w:styleId="EncabezadoCar">
    <w:name w:val="Encabezado Car"/>
    <w:basedOn w:val="Fuentedeprrafopredeter"/>
    <w:link w:val="Encabezado"/>
    <w:uiPriority w:val="99"/>
    <w:rsid w:val="007A1976"/>
    <w:rPr>
      <w:rFonts w:ascii="Times New Roman" w:hAnsi="Times New Roman"/>
      <w:sz w:val="24"/>
      <w:szCs w:val="24"/>
      <w:lang w:val="es-ES" w:eastAsia="es-ES"/>
    </w:rPr>
  </w:style>
  <w:style w:type="paragraph" w:styleId="Piedepgina">
    <w:name w:val="footer"/>
    <w:basedOn w:val="Normal"/>
    <w:link w:val="PiedepginaCar"/>
    <w:uiPriority w:val="99"/>
    <w:unhideWhenUsed/>
    <w:rsid w:val="007A1976"/>
    <w:pPr>
      <w:tabs>
        <w:tab w:val="center" w:pos="4252"/>
        <w:tab w:val="right" w:pos="8504"/>
      </w:tabs>
    </w:pPr>
  </w:style>
  <w:style w:type="character" w:customStyle="1" w:styleId="PiedepginaCar">
    <w:name w:val="Pie de página Car"/>
    <w:basedOn w:val="Fuentedeprrafopredeter"/>
    <w:link w:val="Piedepgina"/>
    <w:uiPriority w:val="99"/>
    <w:rsid w:val="007A1976"/>
    <w:rPr>
      <w:rFonts w:ascii="Times New Roman" w:hAnsi="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lang w:val="es-ES" w:eastAsia="es-ES"/>
    </w:rPr>
  </w:style>
  <w:style w:type="paragraph" w:styleId="Ttulo1">
    <w:name w:val="heading 1"/>
    <w:basedOn w:val="Normal"/>
    <w:next w:val="Normal"/>
    <w:link w:val="Ttulo1Car"/>
    <w:uiPriority w:val="99"/>
    <w:qFormat/>
    <w:pPr>
      <w:keepNext/>
      <w:spacing w:line="360" w:lineRule="auto"/>
      <w:jc w:val="center"/>
      <w:outlineLvl w:val="0"/>
    </w:pPr>
    <w:rPr>
      <w:rFonts w:ascii="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Pr>
      <w:rFonts w:ascii="Arial" w:hAnsi="Arial" w:cs="Arial"/>
      <w:b/>
      <w:bCs/>
      <w:sz w:val="24"/>
      <w:szCs w:val="24"/>
      <w:lang w:eastAsia="es-ES"/>
    </w:rPr>
  </w:style>
  <w:style w:type="paragraph" w:styleId="Textoindependiente">
    <w:name w:val="Body Text"/>
    <w:basedOn w:val="Normal"/>
    <w:link w:val="TextoindependienteCar"/>
    <w:uiPriority w:val="99"/>
    <w:pPr>
      <w:jc w:val="both"/>
    </w:pPr>
    <w:rPr>
      <w:rFonts w:ascii="Arial" w:hAnsi="Arial" w:cs="Arial"/>
    </w:rPr>
  </w:style>
  <w:style w:type="character" w:customStyle="1" w:styleId="TextoindependienteCar">
    <w:name w:val="Texto independiente Car"/>
    <w:basedOn w:val="Fuentedeprrafopredeter"/>
    <w:link w:val="Textoindependiente"/>
    <w:uiPriority w:val="99"/>
    <w:rPr>
      <w:rFonts w:ascii="Arial" w:hAnsi="Arial" w:cs="Arial"/>
      <w:sz w:val="24"/>
      <w:szCs w:val="24"/>
      <w:lang w:eastAsia="es-ES"/>
    </w:rPr>
  </w:style>
  <w:style w:type="paragraph" w:styleId="Encabezado">
    <w:name w:val="header"/>
    <w:basedOn w:val="Normal"/>
    <w:link w:val="EncabezadoCar"/>
    <w:uiPriority w:val="99"/>
    <w:unhideWhenUsed/>
    <w:rsid w:val="007A1976"/>
    <w:pPr>
      <w:tabs>
        <w:tab w:val="center" w:pos="4252"/>
        <w:tab w:val="right" w:pos="8504"/>
      </w:tabs>
    </w:pPr>
  </w:style>
  <w:style w:type="character" w:customStyle="1" w:styleId="EncabezadoCar">
    <w:name w:val="Encabezado Car"/>
    <w:basedOn w:val="Fuentedeprrafopredeter"/>
    <w:link w:val="Encabezado"/>
    <w:uiPriority w:val="99"/>
    <w:rsid w:val="007A1976"/>
    <w:rPr>
      <w:rFonts w:ascii="Times New Roman" w:hAnsi="Times New Roman"/>
      <w:sz w:val="24"/>
      <w:szCs w:val="24"/>
      <w:lang w:val="es-ES" w:eastAsia="es-ES"/>
    </w:rPr>
  </w:style>
  <w:style w:type="paragraph" w:styleId="Piedepgina">
    <w:name w:val="footer"/>
    <w:basedOn w:val="Normal"/>
    <w:link w:val="PiedepginaCar"/>
    <w:uiPriority w:val="99"/>
    <w:unhideWhenUsed/>
    <w:rsid w:val="007A1976"/>
    <w:pPr>
      <w:tabs>
        <w:tab w:val="center" w:pos="4252"/>
        <w:tab w:val="right" w:pos="8504"/>
      </w:tabs>
    </w:pPr>
  </w:style>
  <w:style w:type="character" w:customStyle="1" w:styleId="PiedepginaCar">
    <w:name w:val="Pie de página Car"/>
    <w:basedOn w:val="Fuentedeprrafopredeter"/>
    <w:link w:val="Piedepgina"/>
    <w:uiPriority w:val="99"/>
    <w:rsid w:val="007A1976"/>
    <w:rPr>
      <w:rFonts w:ascii="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666</Words>
  <Characters>3621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CARPETA Nº 2013-17-1-0005244</vt:lpstr>
    </vt:vector>
  </TitlesOfParts>
  <Company>Tribunal de Cuentas</Company>
  <LinksUpToDate>false</LinksUpToDate>
  <CharactersWithSpaces>4279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Nº 2013-17-1-0005244</dc:title>
  <dc:subject/>
  <dc:creator>FEDERICO MUCCINELLI</dc:creator>
  <cp:keywords/>
  <dc:description/>
  <cp:lastModifiedBy>Lenovo User</cp:lastModifiedBy>
  <cp:revision>9</cp:revision>
  <cp:lastPrinted>2013-09-24T15:18:00Z</cp:lastPrinted>
  <dcterms:created xsi:type="dcterms:W3CDTF">2013-09-24T15:07:00Z</dcterms:created>
  <dcterms:modified xsi:type="dcterms:W3CDTF">2013-09-24T15:18:00Z</dcterms:modified>
</cp:coreProperties>
</file>