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D8C" w:rsidRDefault="00C82D8C">
      <w:pPr>
        <w:tabs>
          <w:tab w:val="center" w:pos="4253"/>
        </w:tabs>
        <w:suppressAutoHyphens/>
        <w:jc w:val="center"/>
        <w:rPr>
          <w:rFonts w:ascii="Helvetica" w:hAnsi="Helvetica"/>
          <w:b/>
          <w:lang w:val="es-ES_tradnl"/>
        </w:rPr>
      </w:pPr>
      <w:bookmarkStart w:id="0" w:name="_GoBack"/>
      <w:bookmarkEnd w:id="0"/>
      <w:r>
        <w:rPr>
          <w:rFonts w:ascii="Helvetica" w:hAnsi="Helvetica"/>
          <w:b/>
          <w:lang w:val="es-ES_tradnl"/>
        </w:rPr>
        <w:t>RESOLUCION ADOPTADA POR EL</w:t>
      </w:r>
    </w:p>
    <w:p w:rsidR="00C82D8C" w:rsidRDefault="00C82D8C">
      <w:pPr>
        <w:tabs>
          <w:tab w:val="left" w:pos="-720"/>
        </w:tabs>
        <w:suppressAutoHyphens/>
        <w:jc w:val="center"/>
        <w:rPr>
          <w:rFonts w:ascii="Helvetica" w:hAnsi="Helvetica"/>
          <w:b/>
          <w:lang w:val="es-ES_tradnl"/>
        </w:rPr>
      </w:pPr>
    </w:p>
    <w:p w:rsidR="00C82D8C" w:rsidRDefault="00C82D8C">
      <w:pPr>
        <w:tabs>
          <w:tab w:val="center" w:pos="4253"/>
        </w:tabs>
        <w:suppressAutoHyphens/>
        <w:jc w:val="center"/>
        <w:rPr>
          <w:rFonts w:ascii="Helvetica" w:hAnsi="Helvetica"/>
          <w:b/>
          <w:lang w:val="es-ES_tradnl"/>
        </w:rPr>
      </w:pPr>
      <w:r>
        <w:rPr>
          <w:rFonts w:ascii="Helvetica" w:hAnsi="Helvetica"/>
          <w:b/>
          <w:lang w:val="es-ES_tradnl"/>
        </w:rPr>
        <w:t>TRIBUNAL DE CUENTAS</w:t>
      </w:r>
    </w:p>
    <w:p w:rsidR="00C82D8C" w:rsidRDefault="00C82D8C">
      <w:pPr>
        <w:tabs>
          <w:tab w:val="left" w:pos="-720"/>
        </w:tabs>
        <w:suppressAutoHyphens/>
        <w:jc w:val="center"/>
        <w:rPr>
          <w:rFonts w:ascii="Helvetica" w:hAnsi="Helvetica"/>
          <w:b/>
          <w:lang w:val="es-ES_tradnl"/>
        </w:rPr>
      </w:pPr>
    </w:p>
    <w:p w:rsidR="00C82D8C" w:rsidRDefault="00C82D8C">
      <w:pPr>
        <w:tabs>
          <w:tab w:val="center" w:pos="4253"/>
        </w:tabs>
        <w:suppressAutoHyphens/>
        <w:jc w:val="center"/>
        <w:rPr>
          <w:rFonts w:ascii="Helvetica" w:hAnsi="Helvetica"/>
          <w:b/>
          <w:lang w:val="es-ES_tradnl"/>
        </w:rPr>
      </w:pPr>
      <w:r>
        <w:rPr>
          <w:rFonts w:ascii="Helvetica" w:hAnsi="Helvetica"/>
          <w:b/>
          <w:lang w:val="es-ES_tradnl"/>
        </w:rPr>
        <w:t>EN SESION DE FECHA 18 DE SETIEMBRE DE 2013</w:t>
      </w:r>
    </w:p>
    <w:p w:rsidR="00C82D8C" w:rsidRDefault="00C82D8C">
      <w:pPr>
        <w:tabs>
          <w:tab w:val="center" w:pos="4253"/>
        </w:tabs>
        <w:suppressAutoHyphens/>
        <w:jc w:val="center"/>
        <w:rPr>
          <w:rFonts w:ascii="Helvetica" w:hAnsi="Helvetica"/>
          <w:b/>
          <w:lang w:val="es-ES_tradnl"/>
        </w:rPr>
      </w:pPr>
    </w:p>
    <w:p w:rsidR="00C82D8C" w:rsidRDefault="00C82D8C" w:rsidP="00C82D8C">
      <w:pPr>
        <w:tabs>
          <w:tab w:val="center" w:pos="4253"/>
        </w:tabs>
        <w:suppressAutoHyphens/>
        <w:jc w:val="center"/>
        <w:rPr>
          <w:rFonts w:ascii="Arial" w:hAnsi="Arial" w:cs="Arial"/>
          <w:b/>
        </w:rPr>
      </w:pPr>
      <w:r w:rsidRPr="00E45616">
        <w:rPr>
          <w:rFonts w:ascii="Helvetica" w:hAnsi="Helvetica"/>
          <w:b/>
          <w:lang w:val="es-ES"/>
        </w:rPr>
        <w:t xml:space="preserve">(Carpeta Nº </w:t>
      </w:r>
      <w:r w:rsidRPr="00C7444D">
        <w:rPr>
          <w:rFonts w:ascii="Arial" w:hAnsi="Arial" w:cs="Arial"/>
          <w:b/>
        </w:rPr>
        <w:t>237612 E. 3528/1</w:t>
      </w:r>
      <w:r>
        <w:rPr>
          <w:rFonts w:ascii="Arial" w:hAnsi="Arial" w:cs="Arial"/>
          <w:b/>
        </w:rPr>
        <w:t>2</w:t>
      </w:r>
      <w:r w:rsidRPr="00C7444D">
        <w:rPr>
          <w:rFonts w:ascii="Arial" w:hAnsi="Arial" w:cs="Arial"/>
          <w:b/>
        </w:rPr>
        <w:t>)</w:t>
      </w:r>
    </w:p>
    <w:p w:rsidR="00C82D8C" w:rsidRPr="00C7444D" w:rsidRDefault="00C82D8C" w:rsidP="00C82D8C">
      <w:pPr>
        <w:tabs>
          <w:tab w:val="center" w:pos="4253"/>
        </w:tabs>
        <w:suppressAutoHyphens/>
        <w:jc w:val="center"/>
        <w:rPr>
          <w:rFonts w:ascii="Arial" w:hAnsi="Arial" w:cs="Arial"/>
          <w:b/>
        </w:rPr>
      </w:pPr>
    </w:p>
    <w:p w:rsidR="00C82D8C" w:rsidRDefault="00C82D8C" w:rsidP="00C82D8C">
      <w:pPr>
        <w:tabs>
          <w:tab w:val="center" w:pos="4253"/>
        </w:tabs>
        <w:suppressAutoHyphens/>
        <w:jc w:val="center"/>
        <w:rPr>
          <w:rFonts w:ascii="Arial" w:hAnsi="Arial" w:cs="Arial"/>
        </w:rPr>
      </w:pPr>
    </w:p>
    <w:p w:rsidR="00C82D8C" w:rsidRDefault="00C82D8C" w:rsidP="00C82D8C">
      <w:pPr>
        <w:pStyle w:val="NormalWeb"/>
        <w:tabs>
          <w:tab w:val="left" w:pos="0"/>
          <w:tab w:val="left" w:pos="720"/>
        </w:tabs>
        <w:spacing w:before="0" w:beforeAutospacing="0" w:line="360" w:lineRule="auto"/>
        <w:ind w:right="44" w:firstLine="851"/>
        <w:rPr>
          <w:rFonts w:ascii="Arial" w:hAnsi="Arial" w:cs="Arial"/>
          <w:color w:val="000000"/>
          <w:lang w:val="es-UY"/>
        </w:rPr>
      </w:pPr>
      <w:r>
        <w:rPr>
          <w:rFonts w:ascii="Arial" w:hAnsi="Arial" w:cs="Arial"/>
          <w:b/>
          <w:bCs/>
          <w:color w:val="000000"/>
          <w:lang w:val="es-UY"/>
        </w:rPr>
        <w:t xml:space="preserve">VISTO: </w:t>
      </w:r>
      <w:r w:rsidRPr="0066071C">
        <w:rPr>
          <w:rFonts w:ascii="Arial" w:hAnsi="Arial" w:cs="Arial"/>
          <w:bCs/>
          <w:color w:val="000000"/>
          <w:lang w:val="es-UY"/>
        </w:rPr>
        <w:t>l</w:t>
      </w:r>
      <w:r>
        <w:rPr>
          <w:rFonts w:ascii="Arial" w:hAnsi="Arial" w:cs="Arial"/>
          <w:color w:val="000000"/>
          <w:lang w:val="es-UY"/>
        </w:rPr>
        <w:t>a Auditoría realizada por este Tribunal de Cuentas en el Instituto del Niño y Adolescente del Uruguay (I.N.A.U.), relacionada con la evaluación del Control Interno y aspectos vinculados al Organismo, en el marco de la ejecución de sus créditos presupuestales del Ejercicio 2011;</w:t>
      </w:r>
    </w:p>
    <w:p w:rsidR="00C82D8C" w:rsidRDefault="00C82D8C" w:rsidP="00C82D8C">
      <w:pPr>
        <w:pStyle w:val="NormalWeb"/>
        <w:tabs>
          <w:tab w:val="left" w:pos="0"/>
          <w:tab w:val="left" w:pos="720"/>
        </w:tabs>
        <w:spacing w:before="0" w:beforeAutospacing="0" w:line="360" w:lineRule="auto"/>
        <w:ind w:right="44" w:firstLine="851"/>
        <w:rPr>
          <w:rFonts w:ascii="Arial" w:hAnsi="Arial" w:cs="Arial"/>
          <w:color w:val="000000"/>
          <w:lang w:val="es-UY"/>
        </w:rPr>
      </w:pPr>
      <w:r>
        <w:rPr>
          <w:rFonts w:ascii="Arial" w:hAnsi="Arial" w:cs="Arial"/>
          <w:b/>
          <w:bCs/>
          <w:color w:val="000000"/>
          <w:lang w:val="es-UY"/>
        </w:rPr>
        <w:t xml:space="preserve">RESULTANDO: </w:t>
      </w:r>
      <w:r w:rsidRPr="00C82D8C">
        <w:rPr>
          <w:rFonts w:ascii="Arial" w:hAnsi="Arial" w:cs="Arial"/>
          <w:bCs/>
          <w:color w:val="000000"/>
          <w:lang w:val="es-UY"/>
        </w:rPr>
        <w:t>q</w:t>
      </w:r>
      <w:r>
        <w:rPr>
          <w:rFonts w:ascii="Arial" w:hAnsi="Arial" w:cs="Arial"/>
          <w:color w:val="000000"/>
          <w:lang w:val="es-UY"/>
        </w:rPr>
        <w:t xml:space="preserve">ue el examen fue realizado de acuerdo a los Principios Fundamentales de Auditoría (ISSAI 100, 200, 300 </w:t>
      </w:r>
      <w:r w:rsidR="00790074">
        <w:rPr>
          <w:rFonts w:ascii="Arial" w:hAnsi="Arial" w:cs="Arial"/>
          <w:color w:val="000000"/>
          <w:lang w:val="es-UY"/>
        </w:rPr>
        <w:t>y</w:t>
      </w:r>
      <w:r>
        <w:rPr>
          <w:rFonts w:ascii="Arial" w:hAnsi="Arial" w:cs="Arial"/>
          <w:color w:val="000000"/>
          <w:lang w:val="es-UY"/>
        </w:rPr>
        <w:t xml:space="preserve"> 400) de la Organización Internacional de Entidades Fiscalizadoras Superiores (INTOSAI), habiéndose realizado los procedimientos que se consideraron necesarios en las circunstancias;</w:t>
      </w:r>
    </w:p>
    <w:p w:rsidR="00C82D8C" w:rsidRDefault="00C82D8C" w:rsidP="00C82D8C">
      <w:pPr>
        <w:pStyle w:val="NormalWeb"/>
        <w:tabs>
          <w:tab w:val="left" w:pos="0"/>
          <w:tab w:val="left" w:pos="720"/>
        </w:tabs>
        <w:spacing w:before="0" w:beforeAutospacing="0" w:line="360" w:lineRule="auto"/>
        <w:ind w:right="44" w:firstLine="851"/>
        <w:rPr>
          <w:rFonts w:ascii="Arial" w:hAnsi="Arial" w:cs="Arial"/>
          <w:color w:val="000000"/>
          <w:lang w:val="es-UY"/>
        </w:rPr>
      </w:pPr>
      <w:r>
        <w:rPr>
          <w:rFonts w:ascii="Arial" w:hAnsi="Arial" w:cs="Arial"/>
          <w:b/>
          <w:bCs/>
          <w:color w:val="000000"/>
          <w:lang w:val="es-UY"/>
        </w:rPr>
        <w:t xml:space="preserve">CONSIDERANDO: </w:t>
      </w:r>
      <w:r>
        <w:rPr>
          <w:rFonts w:ascii="Arial" w:hAnsi="Arial" w:cs="Arial"/>
          <w:color w:val="000000"/>
          <w:lang w:val="es-UY"/>
        </w:rPr>
        <w:t xml:space="preserve">que las conclusiones y evidencias obtenidas son las que se expresan en el Informe de Auditoría, las cuales están suficientemente documentadas; </w:t>
      </w:r>
    </w:p>
    <w:p w:rsidR="00C82D8C" w:rsidRDefault="00C82D8C" w:rsidP="00C82D8C">
      <w:pPr>
        <w:pStyle w:val="NormalWeb"/>
        <w:tabs>
          <w:tab w:val="left" w:pos="0"/>
          <w:tab w:val="left" w:pos="720"/>
        </w:tabs>
        <w:spacing w:before="0" w:beforeAutospacing="0" w:line="360" w:lineRule="auto"/>
        <w:ind w:right="44" w:firstLine="851"/>
        <w:rPr>
          <w:rFonts w:ascii="Arial" w:hAnsi="Arial" w:cs="Arial"/>
          <w:color w:val="000000"/>
          <w:lang w:val="es-UY"/>
        </w:rPr>
      </w:pPr>
      <w:r>
        <w:rPr>
          <w:rFonts w:ascii="Arial" w:hAnsi="Arial" w:cs="Arial"/>
          <w:b/>
          <w:bCs/>
          <w:color w:val="000000"/>
          <w:lang w:val="es-UY"/>
        </w:rPr>
        <w:t xml:space="preserve">ATENTO: </w:t>
      </w:r>
      <w:r>
        <w:rPr>
          <w:rFonts w:ascii="Arial" w:hAnsi="Arial" w:cs="Arial"/>
          <w:color w:val="000000"/>
          <w:lang w:val="es-UY"/>
        </w:rPr>
        <w:t>a lo dispuesto en los Artículos 211 Literal E) y 228 de la Constitución de la Republica, 111 y 141 del Texto Ordenado de la Ley de Contabilidad y Administración Financiera (TOCAF);</w:t>
      </w:r>
    </w:p>
    <w:p w:rsidR="00C82D8C" w:rsidRDefault="00C82D8C" w:rsidP="00C82D8C">
      <w:pPr>
        <w:pStyle w:val="NormalWeb"/>
        <w:tabs>
          <w:tab w:val="left" w:pos="0"/>
          <w:tab w:val="left" w:pos="720"/>
        </w:tabs>
        <w:spacing w:before="0" w:beforeAutospacing="0" w:line="360" w:lineRule="auto"/>
        <w:ind w:right="44"/>
        <w:jc w:val="center"/>
        <w:rPr>
          <w:rFonts w:ascii="Arial" w:hAnsi="Arial" w:cs="Arial"/>
          <w:b/>
          <w:bCs/>
          <w:color w:val="000000"/>
          <w:lang w:val="es-UY"/>
        </w:rPr>
      </w:pPr>
      <w:r>
        <w:rPr>
          <w:rFonts w:ascii="Arial" w:hAnsi="Arial" w:cs="Arial"/>
          <w:b/>
          <w:bCs/>
          <w:color w:val="000000"/>
          <w:lang w:val="es-UY"/>
        </w:rPr>
        <w:t>EL TRIBUNAL ACUERDA</w:t>
      </w:r>
    </w:p>
    <w:p w:rsidR="00C82D8C" w:rsidRDefault="00C82D8C" w:rsidP="00C82D8C">
      <w:pPr>
        <w:pStyle w:val="NormalWeb"/>
        <w:numPr>
          <w:ilvl w:val="0"/>
          <w:numId w:val="8"/>
        </w:numPr>
        <w:tabs>
          <w:tab w:val="clear" w:pos="720"/>
          <w:tab w:val="left" w:pos="0"/>
          <w:tab w:val="num" w:pos="284"/>
        </w:tabs>
        <w:spacing w:before="0" w:beforeAutospacing="0" w:line="360" w:lineRule="auto"/>
        <w:ind w:right="44" w:hanging="720"/>
        <w:rPr>
          <w:rFonts w:ascii="Arial" w:hAnsi="Arial" w:cs="Arial"/>
          <w:color w:val="000000"/>
          <w:lang w:val="es-UY"/>
        </w:rPr>
      </w:pPr>
      <w:r>
        <w:rPr>
          <w:rFonts w:ascii="Arial" w:hAnsi="Arial" w:cs="Arial"/>
          <w:color w:val="000000"/>
          <w:lang w:val="es-UY"/>
        </w:rPr>
        <w:t>Aprobar el Informe de Auditoría efectuado;</w:t>
      </w:r>
    </w:p>
    <w:p w:rsidR="00C82D8C" w:rsidRPr="002B7AD7" w:rsidRDefault="00004774" w:rsidP="00C82D8C">
      <w:pPr>
        <w:pStyle w:val="NormalWeb"/>
        <w:numPr>
          <w:ilvl w:val="0"/>
          <w:numId w:val="8"/>
        </w:numPr>
        <w:tabs>
          <w:tab w:val="clear" w:pos="720"/>
          <w:tab w:val="num" w:pos="0"/>
        </w:tabs>
        <w:spacing w:before="0" w:beforeAutospacing="0" w:line="360" w:lineRule="auto"/>
        <w:ind w:left="284" w:right="44" w:hanging="284"/>
        <w:rPr>
          <w:rFonts w:ascii="Arial" w:hAnsi="Arial" w:cs="Arial"/>
          <w:color w:val="000000"/>
          <w:lang w:val="es-UY"/>
        </w:rPr>
      </w:pPr>
      <w:r>
        <w:rPr>
          <w:rFonts w:ascii="Arial" w:hAnsi="Arial" w:cs="Arial"/>
          <w:color w:val="000000"/>
          <w:lang w:val="es-UY"/>
        </w:rPr>
        <w:t>Remitir dicho informe al Instituto del Niño y Adolescente del Uruguay</w:t>
      </w:r>
      <w:r w:rsidR="00C82D8C" w:rsidRPr="002B7AD7">
        <w:rPr>
          <w:rFonts w:ascii="Arial" w:hAnsi="Arial" w:cs="Arial"/>
          <w:color w:val="000000"/>
          <w:lang w:val="es-UY"/>
        </w:rPr>
        <w:t xml:space="preserve"> </w:t>
      </w:r>
      <w:r>
        <w:rPr>
          <w:rFonts w:ascii="Arial" w:hAnsi="Arial" w:cs="Arial"/>
          <w:color w:val="000000"/>
          <w:lang w:val="es-UY"/>
        </w:rPr>
        <w:t>y al Contador Delegado en dicho Organismo; y</w:t>
      </w:r>
    </w:p>
    <w:p w:rsidR="00C82D8C" w:rsidRDefault="00C82D8C" w:rsidP="00C82D8C">
      <w:pPr>
        <w:pStyle w:val="NormalWeb"/>
        <w:numPr>
          <w:ilvl w:val="0"/>
          <w:numId w:val="8"/>
        </w:numPr>
        <w:tabs>
          <w:tab w:val="clear" w:pos="720"/>
          <w:tab w:val="left" w:pos="0"/>
          <w:tab w:val="num" w:pos="284"/>
        </w:tabs>
        <w:spacing w:before="0" w:beforeAutospacing="0" w:line="360" w:lineRule="auto"/>
        <w:ind w:right="44" w:hanging="720"/>
        <w:rPr>
          <w:rFonts w:ascii="Arial" w:hAnsi="Arial" w:cs="Arial"/>
          <w:color w:val="000000"/>
          <w:lang w:val="es-UY"/>
        </w:rPr>
      </w:pPr>
      <w:r>
        <w:rPr>
          <w:rFonts w:ascii="Arial" w:hAnsi="Arial" w:cs="Arial"/>
          <w:color w:val="000000"/>
          <w:lang w:val="es-UY"/>
        </w:rPr>
        <w:t xml:space="preserve">Dar cuenta a la Asamblea </w:t>
      </w:r>
      <w:r w:rsidR="00790074">
        <w:rPr>
          <w:rFonts w:ascii="Arial" w:hAnsi="Arial" w:cs="Arial"/>
          <w:color w:val="000000"/>
          <w:lang w:val="es-UY"/>
        </w:rPr>
        <w:t>General.</w:t>
      </w:r>
    </w:p>
    <w:p w:rsidR="00C82D8C" w:rsidRDefault="00C82D8C" w:rsidP="00C82D8C">
      <w:pPr>
        <w:spacing w:line="360" w:lineRule="auto"/>
        <w:rPr>
          <w:rFonts w:ascii="Arial" w:hAnsi="Arial" w:cs="Arial"/>
          <w:sz w:val="20"/>
          <w:szCs w:val="20"/>
        </w:rPr>
      </w:pPr>
    </w:p>
    <w:p w:rsidR="00C82D8C" w:rsidRDefault="00C82D8C" w:rsidP="00FB7DC6">
      <w:pPr>
        <w:pStyle w:val="Prrafodelista"/>
        <w:spacing w:line="360" w:lineRule="auto"/>
        <w:ind w:left="0"/>
        <w:jc w:val="center"/>
        <w:rPr>
          <w:rFonts w:ascii="Arial" w:hAnsi="Arial" w:cs="Arial"/>
          <w:b/>
          <w:lang w:val="es-ES"/>
        </w:rPr>
      </w:pPr>
    </w:p>
    <w:p w:rsidR="00C82D8C" w:rsidRDefault="00C82D8C" w:rsidP="00FB7DC6">
      <w:pPr>
        <w:pStyle w:val="Prrafodelista"/>
        <w:spacing w:line="360" w:lineRule="auto"/>
        <w:ind w:left="0"/>
        <w:jc w:val="center"/>
        <w:rPr>
          <w:rFonts w:ascii="Arial" w:hAnsi="Arial" w:cs="Arial"/>
          <w:b/>
          <w:lang w:val="es-ES"/>
        </w:rPr>
      </w:pPr>
    </w:p>
    <w:p w:rsidR="00FB7DC6" w:rsidRPr="004A36CD" w:rsidRDefault="00FB7DC6" w:rsidP="00FB7DC6">
      <w:pPr>
        <w:pStyle w:val="Prrafodelista"/>
        <w:spacing w:line="360" w:lineRule="auto"/>
        <w:ind w:left="0"/>
        <w:jc w:val="center"/>
        <w:rPr>
          <w:rFonts w:ascii="Arial" w:hAnsi="Arial" w:cs="Arial"/>
          <w:b/>
          <w:lang w:val="es-ES"/>
        </w:rPr>
      </w:pPr>
      <w:r w:rsidRPr="004A36CD">
        <w:rPr>
          <w:rFonts w:ascii="Arial" w:hAnsi="Arial" w:cs="Arial"/>
          <w:b/>
          <w:lang w:val="es-ES"/>
        </w:rPr>
        <w:lastRenderedPageBreak/>
        <w:t>INFORME DE AUDITORIA</w:t>
      </w:r>
    </w:p>
    <w:p w:rsidR="00FB7DC6" w:rsidRPr="004A36CD" w:rsidRDefault="00FB7DC6" w:rsidP="00FB7DC6">
      <w:pPr>
        <w:pStyle w:val="Prrafodelista"/>
        <w:spacing w:line="360" w:lineRule="auto"/>
        <w:ind w:left="0"/>
        <w:jc w:val="center"/>
        <w:rPr>
          <w:rFonts w:ascii="Arial" w:hAnsi="Arial" w:cs="Arial"/>
          <w:b/>
          <w:lang w:val="es-ES"/>
        </w:rPr>
      </w:pPr>
    </w:p>
    <w:p w:rsidR="00FB7DC6" w:rsidRPr="00D96DC0" w:rsidRDefault="00D96DC0" w:rsidP="00D96DC0">
      <w:pPr>
        <w:pStyle w:val="Prrafodelista"/>
        <w:numPr>
          <w:ilvl w:val="0"/>
          <w:numId w:val="2"/>
        </w:numPr>
        <w:spacing w:line="360" w:lineRule="auto"/>
        <w:rPr>
          <w:rFonts w:ascii="Arial" w:hAnsi="Arial" w:cs="Arial"/>
          <w:b/>
          <w:lang w:val="es-ES"/>
        </w:rPr>
      </w:pPr>
      <w:r w:rsidRPr="00D96DC0">
        <w:rPr>
          <w:rFonts w:ascii="Arial" w:hAnsi="Arial" w:cs="Arial"/>
          <w:b/>
          <w:lang w:val="es-ES"/>
        </w:rPr>
        <w:t>Comentarios sobre los objetivos de la Auditoría, su alcance y la metodología de trabajo</w:t>
      </w:r>
    </w:p>
    <w:p w:rsidR="00FB7DC6" w:rsidRPr="004A36CD" w:rsidRDefault="00FB7DC6" w:rsidP="00FB7DC6">
      <w:pPr>
        <w:pStyle w:val="Prrafodelista"/>
        <w:numPr>
          <w:ilvl w:val="1"/>
          <w:numId w:val="2"/>
        </w:numPr>
        <w:spacing w:line="360" w:lineRule="auto"/>
        <w:ind w:left="0" w:firstLine="0"/>
        <w:rPr>
          <w:rFonts w:ascii="Arial" w:hAnsi="Arial" w:cs="Arial"/>
          <w:b/>
          <w:bCs/>
          <w:lang w:val="es-ES"/>
        </w:rPr>
      </w:pPr>
      <w:r w:rsidRPr="004A36CD">
        <w:rPr>
          <w:rFonts w:ascii="Arial" w:hAnsi="Arial" w:cs="Arial"/>
          <w:b/>
          <w:bCs/>
          <w:lang w:val="es-ES"/>
        </w:rPr>
        <w:t>Objetivos y Alcance</w:t>
      </w:r>
    </w:p>
    <w:p w:rsidR="00FB7DC6" w:rsidRPr="004A36CD" w:rsidRDefault="00FB7DC6" w:rsidP="00FB7DC6">
      <w:pPr>
        <w:pStyle w:val="Prrafodelista"/>
        <w:spacing w:line="360" w:lineRule="auto"/>
        <w:rPr>
          <w:rFonts w:ascii="Arial" w:hAnsi="Arial" w:cs="Arial"/>
          <w:b/>
          <w:bCs/>
          <w:lang w:val="es-ES"/>
        </w:rPr>
      </w:pPr>
    </w:p>
    <w:p w:rsidR="00FB7DC6" w:rsidRPr="004A36CD" w:rsidRDefault="00FB7DC6" w:rsidP="00FB7DC6">
      <w:pPr>
        <w:pStyle w:val="Prrafodelista"/>
        <w:spacing w:line="360" w:lineRule="auto"/>
        <w:ind w:left="0"/>
        <w:rPr>
          <w:rFonts w:ascii="Arial" w:hAnsi="Arial" w:cs="Arial"/>
        </w:rPr>
      </w:pPr>
      <w:r w:rsidRPr="004A36CD">
        <w:rPr>
          <w:rFonts w:ascii="Arial" w:hAnsi="Arial" w:cs="Arial"/>
        </w:rPr>
        <w:t xml:space="preserve">El Tribunal de Cuentas ha emitido su Dictamen Constitucional respecto al Balance de Ejecución Presupuestal del Ejercicio 2011 del Gobierno Central, el cual incluyó datos sobre la Ejecución Presupuestal del Instituto del Niño y Adolescente del Uruguay (I.N.A.U.), así como de sus ingresos, de dicho </w:t>
      </w:r>
      <w:r>
        <w:rPr>
          <w:rFonts w:ascii="Arial" w:hAnsi="Arial" w:cs="Arial"/>
        </w:rPr>
        <w:t>E</w:t>
      </w:r>
      <w:r w:rsidRPr="004A36CD">
        <w:rPr>
          <w:rFonts w:ascii="Arial" w:hAnsi="Arial" w:cs="Arial"/>
        </w:rPr>
        <w:t>jercicio.</w:t>
      </w:r>
    </w:p>
    <w:p w:rsidR="00FB7DC6" w:rsidRPr="004A36CD" w:rsidRDefault="00FB7DC6" w:rsidP="00FB7DC6">
      <w:pPr>
        <w:pStyle w:val="Prrafodelista"/>
        <w:spacing w:line="360" w:lineRule="auto"/>
        <w:ind w:left="0"/>
        <w:rPr>
          <w:rFonts w:ascii="Arial" w:hAnsi="Arial" w:cs="Arial"/>
        </w:rPr>
      </w:pPr>
      <w:r w:rsidRPr="004A36CD">
        <w:rPr>
          <w:rFonts w:ascii="Arial" w:hAnsi="Arial" w:cs="Arial"/>
        </w:rPr>
        <w:t xml:space="preserve">En este </w:t>
      </w:r>
      <w:r w:rsidR="00CD5A65">
        <w:rPr>
          <w:rFonts w:ascii="Arial" w:hAnsi="Arial" w:cs="Arial"/>
        </w:rPr>
        <w:t>I</w:t>
      </w:r>
      <w:r w:rsidRPr="004A36CD">
        <w:rPr>
          <w:rFonts w:ascii="Arial" w:hAnsi="Arial" w:cs="Arial"/>
        </w:rPr>
        <w:t xml:space="preserve">nforme de Auditoría, realizado en el período </w:t>
      </w:r>
      <w:r w:rsidRPr="004A36CD">
        <w:rPr>
          <w:rFonts w:ascii="Arial" w:hAnsi="Arial" w:cs="Arial"/>
          <w:lang w:val="es-ES"/>
        </w:rPr>
        <w:t>setiembre 2012 – mayo 2013, se incluyen comentarios que se ha entendido convenientes exponer, relacionados con la evaluación del sistema de Control Interno y aspectos legales vinculados al Organismo, en el marco de la ejecución de sus créditos presupuestales 2011, así como  las principales recomendaciones a ser tenidas en cuenta por el Organismo.</w:t>
      </w:r>
    </w:p>
    <w:p w:rsidR="00FB7DC6" w:rsidRPr="004A36CD" w:rsidRDefault="00FB7DC6" w:rsidP="00FB7DC6">
      <w:pPr>
        <w:pStyle w:val="Prrafodelista"/>
        <w:spacing w:line="360" w:lineRule="auto"/>
        <w:ind w:left="1056"/>
        <w:rPr>
          <w:rFonts w:ascii="Arial" w:hAnsi="Arial" w:cs="Arial"/>
        </w:rPr>
      </w:pPr>
    </w:p>
    <w:p w:rsidR="00FB7DC6" w:rsidRPr="004A36CD" w:rsidRDefault="00FB7DC6" w:rsidP="00FB7DC6">
      <w:pPr>
        <w:pStyle w:val="Prrafodelista"/>
        <w:numPr>
          <w:ilvl w:val="1"/>
          <w:numId w:val="2"/>
        </w:numPr>
        <w:spacing w:line="360" w:lineRule="auto"/>
        <w:ind w:left="567" w:hanging="567"/>
        <w:rPr>
          <w:rFonts w:ascii="Arial" w:hAnsi="Arial" w:cs="Arial"/>
          <w:b/>
          <w:bCs/>
          <w:lang w:val="es-ES"/>
        </w:rPr>
      </w:pPr>
      <w:r w:rsidRPr="004A36CD">
        <w:rPr>
          <w:rFonts w:ascii="Arial" w:hAnsi="Arial" w:cs="Arial"/>
          <w:b/>
          <w:bCs/>
          <w:lang w:val="es-ES"/>
        </w:rPr>
        <w:t>M</w:t>
      </w:r>
      <w:proofErr w:type="spellStart"/>
      <w:r w:rsidRPr="004A36CD">
        <w:rPr>
          <w:rFonts w:ascii="Arial" w:hAnsi="Arial" w:cs="Arial"/>
          <w:b/>
          <w:bCs/>
        </w:rPr>
        <w:t>etodología</w:t>
      </w:r>
      <w:proofErr w:type="spellEnd"/>
      <w:r w:rsidRPr="004A36CD">
        <w:rPr>
          <w:rFonts w:ascii="Arial" w:hAnsi="Arial" w:cs="Arial"/>
          <w:b/>
          <w:bCs/>
        </w:rPr>
        <w:t xml:space="preserve"> y procedimientos de trabajo</w:t>
      </w:r>
    </w:p>
    <w:p w:rsidR="00FB7DC6" w:rsidRPr="004A36CD" w:rsidRDefault="00FB7DC6" w:rsidP="00FB7DC6">
      <w:pPr>
        <w:pStyle w:val="Prrafodelista"/>
        <w:spacing w:line="360" w:lineRule="auto"/>
        <w:ind w:left="0"/>
        <w:rPr>
          <w:rFonts w:ascii="Arial" w:hAnsi="Arial" w:cs="Arial"/>
        </w:rPr>
      </w:pPr>
    </w:p>
    <w:p w:rsidR="00FB7DC6" w:rsidRPr="004A36CD" w:rsidRDefault="00FB7DC6" w:rsidP="00FB7DC6">
      <w:pPr>
        <w:pStyle w:val="Prrafodelista"/>
        <w:spacing w:line="360" w:lineRule="auto"/>
        <w:ind w:left="708" w:hanging="708"/>
        <w:rPr>
          <w:rFonts w:ascii="Arial" w:hAnsi="Arial" w:cs="Arial"/>
        </w:rPr>
      </w:pPr>
      <w:r w:rsidRPr="004A36CD">
        <w:rPr>
          <w:rFonts w:ascii="Arial" w:hAnsi="Arial" w:cs="Arial"/>
        </w:rPr>
        <w:t>Las tareas de auditoria se centraron en:</w:t>
      </w:r>
    </w:p>
    <w:p w:rsidR="00FB7DC6" w:rsidRPr="004A36CD" w:rsidRDefault="00FB7DC6" w:rsidP="00FB7DC6">
      <w:pPr>
        <w:pStyle w:val="Prrafodelista"/>
        <w:spacing w:line="360" w:lineRule="auto"/>
        <w:ind w:left="708" w:firstLine="84"/>
        <w:rPr>
          <w:rFonts w:ascii="Arial" w:hAnsi="Arial" w:cs="Arial"/>
        </w:rPr>
      </w:pPr>
      <w:r w:rsidRPr="004A36CD">
        <w:rPr>
          <w:rFonts w:ascii="Arial" w:hAnsi="Arial" w:cs="Arial"/>
        </w:rPr>
        <w:t xml:space="preserve"> </w:t>
      </w:r>
    </w:p>
    <w:p w:rsidR="00FB7DC6" w:rsidRPr="004A36CD" w:rsidRDefault="00FB7DC6" w:rsidP="00FB7DC6">
      <w:pPr>
        <w:pStyle w:val="Prrafodelista"/>
        <w:numPr>
          <w:ilvl w:val="0"/>
          <w:numId w:val="1"/>
        </w:numPr>
        <w:spacing w:line="360" w:lineRule="auto"/>
        <w:ind w:left="284" w:hanging="284"/>
        <w:rPr>
          <w:rFonts w:ascii="Arial" w:hAnsi="Arial" w:cs="Arial"/>
        </w:rPr>
      </w:pPr>
      <w:r w:rsidRPr="004A36CD">
        <w:rPr>
          <w:rFonts w:ascii="Arial" w:hAnsi="Arial" w:cs="Arial"/>
        </w:rPr>
        <w:t>Relevamiento de la normativa vigente.</w:t>
      </w:r>
    </w:p>
    <w:p w:rsidR="00FB7DC6" w:rsidRPr="004A36CD" w:rsidRDefault="00FB7DC6" w:rsidP="00FB7DC6">
      <w:pPr>
        <w:pStyle w:val="Prrafodelista"/>
        <w:numPr>
          <w:ilvl w:val="0"/>
          <w:numId w:val="1"/>
        </w:numPr>
        <w:spacing w:line="360" w:lineRule="auto"/>
        <w:ind w:left="284" w:hanging="284"/>
        <w:rPr>
          <w:rFonts w:ascii="Arial" w:hAnsi="Arial" w:cs="Arial"/>
        </w:rPr>
      </w:pPr>
      <w:r w:rsidRPr="004A36CD">
        <w:rPr>
          <w:rFonts w:ascii="Arial" w:hAnsi="Arial" w:cs="Arial"/>
        </w:rPr>
        <w:t>Evaluación de los procedimientos aplicados, por parte del INAU, para la contratación de Cooperativas Sociales.</w:t>
      </w:r>
    </w:p>
    <w:p w:rsidR="00FB7DC6" w:rsidRPr="004A36CD" w:rsidRDefault="00FB7DC6" w:rsidP="00FB7DC6">
      <w:pPr>
        <w:pStyle w:val="Prrafodelista"/>
        <w:numPr>
          <w:ilvl w:val="0"/>
          <w:numId w:val="1"/>
        </w:numPr>
        <w:spacing w:line="360" w:lineRule="auto"/>
        <w:ind w:left="284" w:hanging="284"/>
        <w:rPr>
          <w:rFonts w:ascii="Arial" w:hAnsi="Arial" w:cs="Arial"/>
        </w:rPr>
      </w:pPr>
      <w:r w:rsidRPr="004A36CD">
        <w:rPr>
          <w:rFonts w:ascii="Arial" w:hAnsi="Arial" w:cs="Arial"/>
        </w:rPr>
        <w:t>Análisis de documentación correspondiente a transferencias realizadas al Departamento de Apoyo Socio Económico (DASE)</w:t>
      </w:r>
      <w:r w:rsidRPr="004A36CD">
        <w:rPr>
          <w:rFonts w:ascii="Arial" w:hAnsi="Arial" w:cs="Arial"/>
          <w:lang w:val="es-ES"/>
        </w:rPr>
        <w:t>.</w:t>
      </w:r>
    </w:p>
    <w:p w:rsidR="00FB7DC6" w:rsidRPr="004A36CD" w:rsidRDefault="00FB7DC6" w:rsidP="00FB7DC6">
      <w:pPr>
        <w:pStyle w:val="Prrafodelista"/>
        <w:numPr>
          <w:ilvl w:val="0"/>
          <w:numId w:val="1"/>
        </w:numPr>
        <w:spacing w:line="360" w:lineRule="auto"/>
        <w:ind w:left="284" w:hanging="284"/>
        <w:rPr>
          <w:rFonts w:ascii="Arial" w:hAnsi="Arial" w:cs="Arial"/>
        </w:rPr>
      </w:pPr>
      <w:r w:rsidRPr="004A36CD">
        <w:rPr>
          <w:rFonts w:ascii="Arial" w:hAnsi="Arial" w:cs="Arial"/>
        </w:rPr>
        <w:t>Verificación del proceso de ejecución del gasto.</w:t>
      </w:r>
    </w:p>
    <w:p w:rsidR="00FB7DC6" w:rsidRPr="004A36CD" w:rsidRDefault="00FB7DC6" w:rsidP="00FB7DC6">
      <w:pPr>
        <w:pStyle w:val="Prrafodelista"/>
        <w:numPr>
          <w:ilvl w:val="0"/>
          <w:numId w:val="1"/>
        </w:numPr>
        <w:spacing w:line="360" w:lineRule="auto"/>
        <w:ind w:left="284" w:hanging="284"/>
        <w:rPr>
          <w:rFonts w:ascii="Arial" w:hAnsi="Arial" w:cs="Arial"/>
        </w:rPr>
      </w:pPr>
      <w:r w:rsidRPr="004A36CD">
        <w:rPr>
          <w:rFonts w:ascii="Arial" w:hAnsi="Arial" w:cs="Arial"/>
        </w:rPr>
        <w:lastRenderedPageBreak/>
        <w:t xml:space="preserve">Grado de cumplimiento </w:t>
      </w:r>
      <w:r w:rsidRPr="004A36CD">
        <w:rPr>
          <w:rFonts w:ascii="Arial" w:hAnsi="Arial" w:cs="Arial"/>
          <w:lang w:val="es-ES"/>
        </w:rPr>
        <w:t>de los requisitos legales y aspectos formales de la documentación utilizada.</w:t>
      </w:r>
    </w:p>
    <w:p w:rsidR="00FB7DC6" w:rsidRPr="004A36CD" w:rsidRDefault="00FB7DC6" w:rsidP="00FB7DC6">
      <w:pPr>
        <w:pStyle w:val="Prrafodelista"/>
        <w:numPr>
          <w:ilvl w:val="0"/>
          <w:numId w:val="1"/>
        </w:numPr>
        <w:spacing w:line="360" w:lineRule="auto"/>
        <w:ind w:left="284" w:hanging="284"/>
        <w:rPr>
          <w:rFonts w:ascii="Arial" w:hAnsi="Arial" w:cs="Arial"/>
        </w:rPr>
      </w:pPr>
      <w:r w:rsidRPr="004A36CD">
        <w:rPr>
          <w:rFonts w:ascii="Arial" w:hAnsi="Arial" w:cs="Arial"/>
        </w:rPr>
        <w:t xml:space="preserve">Análisis de los </w:t>
      </w:r>
      <w:r w:rsidRPr="004A36CD">
        <w:rPr>
          <w:rFonts w:ascii="Arial" w:hAnsi="Arial" w:cs="Arial"/>
          <w:lang w:val="es-ES"/>
        </w:rPr>
        <w:t>procedimientos existentes para la constatación, seguimiento y corrección de situaciones atípicas.</w:t>
      </w:r>
    </w:p>
    <w:p w:rsidR="00FB7DC6" w:rsidRPr="004A36CD" w:rsidRDefault="00FB7DC6" w:rsidP="00FB7DC6">
      <w:pPr>
        <w:pStyle w:val="Prrafodelista"/>
        <w:numPr>
          <w:ilvl w:val="0"/>
          <w:numId w:val="1"/>
        </w:numPr>
        <w:spacing w:line="360" w:lineRule="auto"/>
        <w:ind w:left="284" w:hanging="284"/>
        <w:rPr>
          <w:rFonts w:ascii="Arial" w:hAnsi="Arial" w:cs="Arial"/>
        </w:rPr>
      </w:pPr>
      <w:r w:rsidRPr="004A36CD">
        <w:rPr>
          <w:rFonts w:ascii="Arial" w:hAnsi="Arial" w:cs="Arial"/>
        </w:rPr>
        <w:t>Estudio del cumplimiento de las facultades relativas a la Responsabilidad Laboral en los Proceso</w:t>
      </w:r>
      <w:r w:rsidR="00D96DC0">
        <w:rPr>
          <w:rFonts w:ascii="Arial" w:hAnsi="Arial" w:cs="Arial"/>
        </w:rPr>
        <w:t>s</w:t>
      </w:r>
      <w:r w:rsidRPr="004A36CD">
        <w:rPr>
          <w:rFonts w:ascii="Arial" w:hAnsi="Arial" w:cs="Arial"/>
        </w:rPr>
        <w:t xml:space="preserve"> de Descentralización Empresarial.</w:t>
      </w:r>
    </w:p>
    <w:p w:rsidR="00FB7DC6" w:rsidRPr="00D96DC0" w:rsidRDefault="00FB7DC6" w:rsidP="00FB7DC6">
      <w:pPr>
        <w:pStyle w:val="Prrafodelista"/>
        <w:spacing w:line="360" w:lineRule="auto"/>
        <w:rPr>
          <w:rFonts w:ascii="Arial" w:hAnsi="Arial" w:cs="Arial"/>
        </w:rPr>
      </w:pPr>
    </w:p>
    <w:p w:rsidR="00FB7DC6" w:rsidRPr="004A36CD" w:rsidRDefault="00FB7DC6" w:rsidP="00FB7DC6">
      <w:pPr>
        <w:pStyle w:val="Prrafodelista"/>
        <w:spacing w:line="360" w:lineRule="auto"/>
        <w:ind w:left="0"/>
        <w:rPr>
          <w:rFonts w:ascii="Arial" w:hAnsi="Arial" w:cs="Arial"/>
          <w:lang w:val="es-ES"/>
        </w:rPr>
      </w:pPr>
      <w:r w:rsidRPr="004A36CD">
        <w:rPr>
          <w:rFonts w:ascii="Arial" w:hAnsi="Arial" w:cs="Arial"/>
          <w:lang w:val="es-ES"/>
        </w:rPr>
        <w:t>A esos efectos se revisaron expedientes y se mantuvieron entrevistas con diversos funcionarios del Instituto.</w:t>
      </w:r>
    </w:p>
    <w:p w:rsidR="00FB7DC6" w:rsidRPr="004A36CD" w:rsidRDefault="00FB7DC6" w:rsidP="00FB7DC6">
      <w:pPr>
        <w:pStyle w:val="Prrafodelista"/>
        <w:spacing w:line="360" w:lineRule="auto"/>
        <w:ind w:left="0"/>
        <w:rPr>
          <w:rFonts w:ascii="Arial" w:hAnsi="Arial" w:cs="Arial"/>
          <w:lang w:val="es-ES"/>
        </w:rPr>
      </w:pPr>
      <w:r w:rsidRPr="004A36CD">
        <w:rPr>
          <w:rFonts w:ascii="Arial" w:hAnsi="Arial" w:cs="Arial"/>
          <w:lang w:val="es-ES"/>
        </w:rPr>
        <w:t>Una vez finalizados los procedimientos de auditoría, se di</w:t>
      </w:r>
      <w:r w:rsidR="00D96DC0">
        <w:rPr>
          <w:rFonts w:ascii="Arial" w:hAnsi="Arial" w:cs="Arial"/>
          <w:lang w:val="es-ES"/>
        </w:rPr>
        <w:t>o</w:t>
      </w:r>
      <w:r w:rsidRPr="004A36CD">
        <w:rPr>
          <w:rFonts w:ascii="Arial" w:hAnsi="Arial" w:cs="Arial"/>
          <w:lang w:val="es-ES"/>
        </w:rPr>
        <w:t xml:space="preserve"> vista al S</w:t>
      </w:r>
      <w:r>
        <w:rPr>
          <w:rFonts w:ascii="Arial" w:hAnsi="Arial" w:cs="Arial"/>
          <w:lang w:val="es-ES"/>
        </w:rPr>
        <w:t>eño</w:t>
      </w:r>
      <w:r w:rsidRPr="004A36CD">
        <w:rPr>
          <w:rFonts w:ascii="Arial" w:hAnsi="Arial" w:cs="Arial"/>
          <w:lang w:val="es-ES"/>
        </w:rPr>
        <w:t>r Presidente del Instituto del Niño y Adolescente del Uruguay D</w:t>
      </w:r>
      <w:r>
        <w:rPr>
          <w:rFonts w:ascii="Arial" w:hAnsi="Arial" w:cs="Arial"/>
          <w:lang w:val="es-ES"/>
        </w:rPr>
        <w:t>octor</w:t>
      </w:r>
      <w:r w:rsidRPr="004A36CD">
        <w:rPr>
          <w:rFonts w:ascii="Arial" w:hAnsi="Arial" w:cs="Arial"/>
          <w:lang w:val="es-ES"/>
        </w:rPr>
        <w:t xml:space="preserve"> Javier </w:t>
      </w:r>
      <w:proofErr w:type="spellStart"/>
      <w:r w:rsidRPr="004A36CD">
        <w:rPr>
          <w:rFonts w:ascii="Arial" w:hAnsi="Arial" w:cs="Arial"/>
          <w:lang w:val="es-ES"/>
        </w:rPr>
        <w:t>Salsamendi</w:t>
      </w:r>
      <w:proofErr w:type="spellEnd"/>
      <w:r w:rsidRPr="004A36CD">
        <w:rPr>
          <w:rFonts w:ascii="Arial" w:hAnsi="Arial" w:cs="Arial"/>
          <w:lang w:val="es-ES"/>
        </w:rPr>
        <w:t>, a efectos de que formulara los comentarios que estimara pertinentes.</w:t>
      </w:r>
    </w:p>
    <w:p w:rsidR="00FB7DC6" w:rsidRDefault="00FB7DC6" w:rsidP="00FB7DC6">
      <w:pPr>
        <w:pStyle w:val="Prrafodelista"/>
        <w:spacing w:line="360" w:lineRule="auto"/>
        <w:ind w:left="0"/>
        <w:rPr>
          <w:rFonts w:ascii="Arial" w:hAnsi="Arial" w:cs="Arial"/>
          <w:lang w:val="es-ES"/>
        </w:rPr>
      </w:pPr>
      <w:r w:rsidRPr="004A36CD">
        <w:rPr>
          <w:rFonts w:ascii="Arial" w:hAnsi="Arial" w:cs="Arial"/>
          <w:lang w:val="es-ES"/>
        </w:rPr>
        <w:t>Habiendo transcurrido un tiempo prudencial, y no habiéndose recibido ningún comentario, se dio por finalizada la auditoría.</w:t>
      </w:r>
    </w:p>
    <w:p w:rsidR="00CF7B56" w:rsidRDefault="00CF7B56" w:rsidP="00FB7DC6">
      <w:pPr>
        <w:pStyle w:val="Prrafodelista"/>
        <w:spacing w:line="360" w:lineRule="auto"/>
        <w:ind w:left="0"/>
        <w:rPr>
          <w:rFonts w:ascii="Arial" w:hAnsi="Arial" w:cs="Arial"/>
          <w:lang w:val="es-ES"/>
        </w:rPr>
      </w:pPr>
    </w:p>
    <w:p w:rsidR="00FB7DC6" w:rsidRPr="004A36CD" w:rsidRDefault="00FB7DC6" w:rsidP="00FB7DC6">
      <w:pPr>
        <w:pStyle w:val="Prrafodelista"/>
        <w:numPr>
          <w:ilvl w:val="0"/>
          <w:numId w:val="2"/>
        </w:numPr>
        <w:spacing w:line="360" w:lineRule="auto"/>
        <w:ind w:left="720"/>
        <w:jc w:val="center"/>
        <w:rPr>
          <w:rFonts w:ascii="Arial" w:hAnsi="Arial" w:cs="Arial"/>
          <w:b/>
        </w:rPr>
      </w:pPr>
      <w:r w:rsidRPr="004A36CD">
        <w:rPr>
          <w:rFonts w:ascii="Arial" w:hAnsi="Arial" w:cs="Arial"/>
          <w:b/>
        </w:rPr>
        <w:t>CONSTATACIONES</w:t>
      </w:r>
    </w:p>
    <w:p w:rsidR="00FB7DC6" w:rsidRDefault="00FB7DC6" w:rsidP="00FB7DC6">
      <w:pPr>
        <w:spacing w:line="360" w:lineRule="auto"/>
        <w:rPr>
          <w:rFonts w:ascii="Arial" w:hAnsi="Arial" w:cs="Arial"/>
          <w:b/>
        </w:rPr>
      </w:pPr>
    </w:p>
    <w:p w:rsidR="00FB7DC6" w:rsidRPr="00CD5A65" w:rsidRDefault="00FB7DC6" w:rsidP="00FB7DC6">
      <w:pPr>
        <w:numPr>
          <w:ilvl w:val="1"/>
          <w:numId w:val="2"/>
        </w:numPr>
        <w:tabs>
          <w:tab w:val="left" w:pos="284"/>
        </w:tabs>
        <w:spacing w:line="360" w:lineRule="auto"/>
        <w:ind w:left="426" w:hanging="426"/>
        <w:rPr>
          <w:rFonts w:ascii="Arial" w:hAnsi="Arial" w:cs="Arial"/>
          <w:b/>
        </w:rPr>
      </w:pPr>
      <w:r w:rsidRPr="00CD5A65">
        <w:rPr>
          <w:rFonts w:ascii="Arial" w:hAnsi="Arial" w:cs="Arial"/>
          <w:b/>
          <w:lang w:val="es-ES"/>
        </w:rPr>
        <w:t>Incumplimiento Artículo 33 Numeral 20) del TOCAF (Artículo 33 Literal S) y Artículos 174 Literal C) Ley Nº 18.407</w:t>
      </w:r>
    </w:p>
    <w:p w:rsidR="00FB7DC6" w:rsidRPr="00CD5A65" w:rsidRDefault="00FB7DC6" w:rsidP="00FB7DC6">
      <w:pPr>
        <w:tabs>
          <w:tab w:val="left" w:pos="284"/>
        </w:tabs>
        <w:spacing w:line="360" w:lineRule="auto"/>
        <w:ind w:left="426" w:hanging="426"/>
        <w:rPr>
          <w:rFonts w:ascii="Arial" w:hAnsi="Arial" w:cs="Arial"/>
          <w:b/>
        </w:rPr>
      </w:pPr>
    </w:p>
    <w:p w:rsidR="00FB7DC6" w:rsidRPr="00CD5A65" w:rsidRDefault="00FB7DC6" w:rsidP="00FB7DC6">
      <w:pPr>
        <w:pStyle w:val="Prrafodelista"/>
        <w:numPr>
          <w:ilvl w:val="2"/>
          <w:numId w:val="2"/>
        </w:numPr>
        <w:tabs>
          <w:tab w:val="left" w:pos="284"/>
          <w:tab w:val="left" w:pos="567"/>
        </w:tabs>
        <w:spacing w:line="360" w:lineRule="auto"/>
        <w:ind w:left="567" w:hanging="567"/>
        <w:rPr>
          <w:rFonts w:ascii="Arial" w:hAnsi="Arial" w:cs="Arial"/>
          <w:b/>
        </w:rPr>
      </w:pPr>
      <w:r w:rsidRPr="00CD5A65">
        <w:rPr>
          <w:rFonts w:ascii="Arial" w:hAnsi="Arial" w:cs="Arial"/>
          <w:b/>
        </w:rPr>
        <w:t>Antecedentes</w:t>
      </w:r>
    </w:p>
    <w:p w:rsidR="00FB7DC6" w:rsidRPr="004A36CD" w:rsidRDefault="00FB7DC6" w:rsidP="00FB7DC6">
      <w:pPr>
        <w:pStyle w:val="Prrafodelista"/>
        <w:tabs>
          <w:tab w:val="left" w:pos="284"/>
        </w:tabs>
        <w:spacing w:line="360" w:lineRule="auto"/>
        <w:ind w:left="1055" w:hanging="993"/>
        <w:rPr>
          <w:rFonts w:ascii="Arial" w:hAnsi="Arial" w:cs="Arial"/>
        </w:rPr>
      </w:pPr>
    </w:p>
    <w:p w:rsidR="00FB7DC6" w:rsidRPr="004A36CD" w:rsidRDefault="00FB7DC6" w:rsidP="00FB7DC6">
      <w:pPr>
        <w:pStyle w:val="Prrafodelista"/>
        <w:numPr>
          <w:ilvl w:val="0"/>
          <w:numId w:val="5"/>
        </w:numPr>
        <w:tabs>
          <w:tab w:val="left" w:pos="284"/>
        </w:tabs>
        <w:spacing w:line="360" w:lineRule="auto"/>
        <w:ind w:left="284" w:hanging="284"/>
        <w:rPr>
          <w:rFonts w:ascii="Arial" w:hAnsi="Arial" w:cs="Arial"/>
        </w:rPr>
      </w:pPr>
      <w:r w:rsidRPr="004A36CD">
        <w:rPr>
          <w:rFonts w:ascii="Arial" w:hAnsi="Arial" w:cs="Arial"/>
        </w:rPr>
        <w:t>El Art</w:t>
      </w:r>
      <w:r>
        <w:rPr>
          <w:rFonts w:ascii="Arial" w:hAnsi="Arial" w:cs="Arial"/>
        </w:rPr>
        <w:t>ículo</w:t>
      </w:r>
      <w:r w:rsidRPr="004A36CD">
        <w:rPr>
          <w:rFonts w:ascii="Arial" w:hAnsi="Arial" w:cs="Arial"/>
        </w:rPr>
        <w:t xml:space="preserve"> 33 del TOCAF establece que se podrá contratar directamente o por el procedimiento que el </w:t>
      </w:r>
      <w:r>
        <w:rPr>
          <w:rFonts w:ascii="Arial" w:hAnsi="Arial" w:cs="Arial"/>
        </w:rPr>
        <w:t>O</w:t>
      </w:r>
      <w:r w:rsidRPr="004A36CD">
        <w:rPr>
          <w:rFonts w:ascii="Arial" w:hAnsi="Arial" w:cs="Arial"/>
        </w:rPr>
        <w:t>rdenador determine por razones de buena administración, en los siguientes casos de excepción: Num</w:t>
      </w:r>
      <w:r>
        <w:rPr>
          <w:rFonts w:ascii="Arial" w:hAnsi="Arial" w:cs="Arial"/>
        </w:rPr>
        <w:t>eral</w:t>
      </w:r>
      <w:r w:rsidRPr="004A36CD">
        <w:rPr>
          <w:rFonts w:ascii="Arial" w:hAnsi="Arial" w:cs="Arial"/>
        </w:rPr>
        <w:t xml:space="preserve"> 20 (ex Lit</w:t>
      </w:r>
      <w:r>
        <w:rPr>
          <w:rFonts w:ascii="Arial" w:hAnsi="Arial" w:cs="Arial"/>
        </w:rPr>
        <w:t>eral</w:t>
      </w:r>
      <w:r w:rsidRPr="004A36CD">
        <w:rPr>
          <w:rFonts w:ascii="Arial" w:hAnsi="Arial" w:cs="Arial"/>
        </w:rPr>
        <w:t xml:space="preserve"> S) “Para adquirir bienes o contratar servicios cuya producción o suministro esté a cargo de una </w:t>
      </w:r>
      <w:r w:rsidR="00D96DC0">
        <w:rPr>
          <w:rFonts w:ascii="Arial" w:hAnsi="Arial" w:cs="Arial"/>
        </w:rPr>
        <w:t>C</w:t>
      </w:r>
      <w:r w:rsidRPr="004A36CD">
        <w:rPr>
          <w:rFonts w:ascii="Arial" w:hAnsi="Arial" w:cs="Arial"/>
        </w:rPr>
        <w:t xml:space="preserve">ooperativa social, debidamente acreditada ente el </w:t>
      </w:r>
      <w:r w:rsidRPr="004A36CD">
        <w:rPr>
          <w:rFonts w:ascii="Arial" w:hAnsi="Arial" w:cs="Arial"/>
        </w:rPr>
        <w:lastRenderedPageBreak/>
        <w:t>Ministerio de Desarrollo Social</w:t>
      </w:r>
      <w:r>
        <w:rPr>
          <w:rFonts w:ascii="Arial" w:hAnsi="Arial" w:cs="Arial"/>
        </w:rPr>
        <w:t>,</w:t>
      </w:r>
      <w:r w:rsidRPr="004A36CD">
        <w:rPr>
          <w:rFonts w:ascii="Arial" w:hAnsi="Arial" w:cs="Arial"/>
        </w:rPr>
        <w:t xml:space="preserve"> hasta el monto establecido para la </w:t>
      </w:r>
      <w:r>
        <w:rPr>
          <w:rFonts w:ascii="Arial" w:hAnsi="Arial" w:cs="Arial"/>
        </w:rPr>
        <w:t>L</w:t>
      </w:r>
      <w:r w:rsidRPr="004A36CD">
        <w:rPr>
          <w:rFonts w:ascii="Arial" w:hAnsi="Arial" w:cs="Arial"/>
        </w:rPr>
        <w:t xml:space="preserve">icitación </w:t>
      </w:r>
      <w:r>
        <w:rPr>
          <w:rFonts w:ascii="Arial" w:hAnsi="Arial" w:cs="Arial"/>
        </w:rPr>
        <w:t>A</w:t>
      </w:r>
      <w:r w:rsidRPr="004A36CD">
        <w:rPr>
          <w:rFonts w:ascii="Arial" w:hAnsi="Arial" w:cs="Arial"/>
        </w:rPr>
        <w:t>breviada”.</w:t>
      </w:r>
    </w:p>
    <w:p w:rsidR="00FB7DC6" w:rsidRPr="004A36CD" w:rsidRDefault="00FB7DC6" w:rsidP="00FB7DC6">
      <w:pPr>
        <w:pStyle w:val="Prrafodelista"/>
        <w:tabs>
          <w:tab w:val="left" w:pos="284"/>
        </w:tabs>
        <w:spacing w:line="360" w:lineRule="auto"/>
        <w:ind w:left="1055" w:hanging="993"/>
        <w:rPr>
          <w:rFonts w:ascii="Arial" w:hAnsi="Arial" w:cs="Arial"/>
        </w:rPr>
      </w:pPr>
    </w:p>
    <w:p w:rsidR="00FB7DC6" w:rsidRPr="004A36CD" w:rsidRDefault="00FB7DC6" w:rsidP="00FB7DC6">
      <w:pPr>
        <w:pStyle w:val="Prrafodelista"/>
        <w:numPr>
          <w:ilvl w:val="0"/>
          <w:numId w:val="6"/>
        </w:numPr>
        <w:tabs>
          <w:tab w:val="left" w:pos="284"/>
        </w:tabs>
        <w:spacing w:line="360" w:lineRule="auto"/>
        <w:ind w:left="284" w:hanging="284"/>
        <w:rPr>
          <w:rFonts w:ascii="Arial" w:hAnsi="Arial" w:cs="Arial"/>
        </w:rPr>
      </w:pPr>
      <w:r w:rsidRPr="004A36CD">
        <w:rPr>
          <w:rFonts w:ascii="Arial" w:hAnsi="Arial" w:cs="Arial"/>
        </w:rPr>
        <w:t>Por otra parte, la Ley Nº 18.407 “Sistema Cooperativo – Regulación General de su Funcionamiento”, en el Capítulo IX “Cooperativas Sociales” establece, en el Art</w:t>
      </w:r>
      <w:r>
        <w:rPr>
          <w:rFonts w:ascii="Arial" w:hAnsi="Arial" w:cs="Arial"/>
        </w:rPr>
        <w:t>ículo</w:t>
      </w:r>
      <w:r w:rsidRPr="004A36CD">
        <w:rPr>
          <w:rFonts w:ascii="Arial" w:hAnsi="Arial" w:cs="Arial"/>
        </w:rPr>
        <w:t xml:space="preserve"> 174 “Requisitos”, que para ser calificada como </w:t>
      </w:r>
      <w:r w:rsidR="00D96DC0">
        <w:rPr>
          <w:rFonts w:ascii="Arial" w:hAnsi="Arial" w:cs="Arial"/>
        </w:rPr>
        <w:t>C</w:t>
      </w:r>
      <w:r w:rsidRPr="004A36CD">
        <w:rPr>
          <w:rFonts w:ascii="Arial" w:hAnsi="Arial" w:cs="Arial"/>
        </w:rPr>
        <w:t xml:space="preserve">ooperativa </w:t>
      </w:r>
      <w:r w:rsidR="00D96DC0">
        <w:rPr>
          <w:rFonts w:ascii="Arial" w:hAnsi="Arial" w:cs="Arial"/>
        </w:rPr>
        <w:t>S</w:t>
      </w:r>
      <w:r w:rsidRPr="004A36CD">
        <w:rPr>
          <w:rFonts w:ascii="Arial" w:hAnsi="Arial" w:cs="Arial"/>
        </w:rPr>
        <w:t xml:space="preserve">ocial se deberán cumplir los siguientes requisitos: Literal C) “Las retribuciones de los socios trabajadores y de los trabajadores no socios no podrán superar las retribuciones que, en función de la actividad y categoría profesional, establezca el </w:t>
      </w:r>
      <w:r>
        <w:rPr>
          <w:rFonts w:ascii="Arial" w:hAnsi="Arial" w:cs="Arial"/>
        </w:rPr>
        <w:t>C</w:t>
      </w:r>
      <w:r w:rsidRPr="004A36CD">
        <w:rPr>
          <w:rFonts w:ascii="Arial" w:hAnsi="Arial" w:cs="Arial"/>
        </w:rPr>
        <w:t>onvenio colectivo aplicable de la rama de actividad o el que guarde mayor analogía. La inobservancia</w:t>
      </w:r>
      <w:r>
        <w:rPr>
          <w:rFonts w:ascii="Arial" w:hAnsi="Arial" w:cs="Arial"/>
        </w:rPr>
        <w:t>,</w:t>
      </w:r>
      <w:r w:rsidRPr="004A36CD">
        <w:rPr>
          <w:rFonts w:ascii="Arial" w:hAnsi="Arial" w:cs="Arial"/>
        </w:rPr>
        <w:t xml:space="preserve"> así como el incumplimiento de los requisitos establecidos precedentemente</w:t>
      </w:r>
      <w:r>
        <w:rPr>
          <w:rFonts w:ascii="Arial" w:hAnsi="Arial" w:cs="Arial"/>
        </w:rPr>
        <w:t>,</w:t>
      </w:r>
      <w:r w:rsidRPr="004A36CD">
        <w:rPr>
          <w:rFonts w:ascii="Arial" w:hAnsi="Arial" w:cs="Arial"/>
        </w:rPr>
        <w:t xml:space="preserve"> determinará la pérdida de la calificación como </w:t>
      </w:r>
      <w:r w:rsidR="00D96DC0">
        <w:rPr>
          <w:rFonts w:ascii="Arial" w:hAnsi="Arial" w:cs="Arial"/>
        </w:rPr>
        <w:t>C</w:t>
      </w:r>
      <w:r w:rsidRPr="004A36CD">
        <w:rPr>
          <w:rFonts w:ascii="Arial" w:hAnsi="Arial" w:cs="Arial"/>
        </w:rPr>
        <w:t xml:space="preserve">ooperativa </w:t>
      </w:r>
      <w:r w:rsidR="00D96DC0">
        <w:rPr>
          <w:rFonts w:ascii="Arial" w:hAnsi="Arial" w:cs="Arial"/>
        </w:rPr>
        <w:t>S</w:t>
      </w:r>
      <w:r w:rsidRPr="004A36CD">
        <w:rPr>
          <w:rFonts w:ascii="Arial" w:hAnsi="Arial" w:cs="Arial"/>
        </w:rPr>
        <w:t xml:space="preserve">ocial, </w:t>
      </w:r>
      <w:r w:rsidRPr="004A36CD">
        <w:rPr>
          <w:rFonts w:ascii="Arial" w:hAnsi="Arial" w:cs="Arial"/>
          <w:color w:val="000000"/>
          <w:shd w:val="clear" w:color="auto" w:fill="FFFFFF"/>
        </w:rPr>
        <w:t xml:space="preserve">debiendo acceder a otra modalidad a los efectos de mantener la condición de </w:t>
      </w:r>
      <w:r>
        <w:rPr>
          <w:rFonts w:ascii="Arial" w:hAnsi="Arial" w:cs="Arial"/>
          <w:color w:val="000000"/>
          <w:shd w:val="clear" w:color="auto" w:fill="FFFFFF"/>
        </w:rPr>
        <w:t>C</w:t>
      </w:r>
      <w:r w:rsidRPr="004A36CD">
        <w:rPr>
          <w:rFonts w:ascii="Arial" w:hAnsi="Arial" w:cs="Arial"/>
          <w:color w:val="000000"/>
          <w:shd w:val="clear" w:color="auto" w:fill="FFFFFF"/>
        </w:rPr>
        <w:t>ooperativa.”</w:t>
      </w:r>
    </w:p>
    <w:p w:rsidR="00FB7DC6" w:rsidRDefault="00FB7DC6" w:rsidP="00FB7DC6">
      <w:pPr>
        <w:tabs>
          <w:tab w:val="left" w:pos="284"/>
        </w:tabs>
        <w:spacing w:line="360" w:lineRule="auto"/>
        <w:rPr>
          <w:rFonts w:ascii="Arial" w:hAnsi="Arial" w:cs="Arial"/>
        </w:rPr>
      </w:pPr>
    </w:p>
    <w:p w:rsidR="00FB7DC6" w:rsidRPr="00CD5A65" w:rsidRDefault="00FB7DC6" w:rsidP="00FB7DC6">
      <w:pPr>
        <w:pStyle w:val="Prrafodelista"/>
        <w:numPr>
          <w:ilvl w:val="2"/>
          <w:numId w:val="2"/>
        </w:numPr>
        <w:tabs>
          <w:tab w:val="left" w:pos="284"/>
          <w:tab w:val="left" w:pos="1560"/>
        </w:tabs>
        <w:spacing w:line="360" w:lineRule="auto"/>
        <w:ind w:left="709" w:hanging="709"/>
        <w:rPr>
          <w:rFonts w:ascii="Arial" w:hAnsi="Arial" w:cs="Arial"/>
          <w:b/>
        </w:rPr>
      </w:pPr>
      <w:r w:rsidRPr="00CD5A65">
        <w:rPr>
          <w:rFonts w:ascii="Arial" w:hAnsi="Arial" w:cs="Arial"/>
          <w:b/>
        </w:rPr>
        <w:t>Constataciones</w:t>
      </w:r>
    </w:p>
    <w:p w:rsidR="00FB7DC6" w:rsidRPr="004A36CD" w:rsidRDefault="00FB7DC6" w:rsidP="00FB7DC6">
      <w:pPr>
        <w:pStyle w:val="Prrafodelista"/>
        <w:tabs>
          <w:tab w:val="left" w:pos="284"/>
        </w:tabs>
        <w:spacing w:line="360" w:lineRule="auto"/>
        <w:ind w:left="1055" w:hanging="993"/>
        <w:rPr>
          <w:rFonts w:ascii="Arial" w:hAnsi="Arial" w:cs="Arial"/>
        </w:rPr>
      </w:pPr>
    </w:p>
    <w:p w:rsidR="00FB7DC6" w:rsidRPr="004A36CD" w:rsidRDefault="00FB7DC6" w:rsidP="00FB7DC6">
      <w:pPr>
        <w:pStyle w:val="Prrafodelista"/>
        <w:tabs>
          <w:tab w:val="left" w:pos="284"/>
        </w:tabs>
        <w:spacing w:line="360" w:lineRule="auto"/>
        <w:ind w:left="0"/>
        <w:rPr>
          <w:rFonts w:ascii="Arial" w:hAnsi="Arial" w:cs="Arial"/>
        </w:rPr>
      </w:pPr>
      <w:r w:rsidRPr="004A36CD">
        <w:rPr>
          <w:rFonts w:ascii="Arial" w:hAnsi="Arial" w:cs="Arial"/>
        </w:rPr>
        <w:t>De los procedimientos de auditoría aplicados se concluye que e</w:t>
      </w:r>
      <w:r w:rsidRPr="004A36CD">
        <w:rPr>
          <w:rFonts w:ascii="Arial" w:hAnsi="Arial" w:cs="Arial"/>
          <w:lang w:val="es-ES"/>
        </w:rPr>
        <w:t>l Instituto del Niño y Adolescente del Uruguay (INAU) contrata en forma directa, invocando la causal de excepción del Numeral 20 (ex Literal S) del Art</w:t>
      </w:r>
      <w:r>
        <w:rPr>
          <w:rFonts w:ascii="Arial" w:hAnsi="Arial" w:cs="Arial"/>
          <w:lang w:val="es-ES"/>
        </w:rPr>
        <w:t>ículo</w:t>
      </w:r>
      <w:r w:rsidRPr="004A36CD">
        <w:rPr>
          <w:rFonts w:ascii="Arial" w:hAnsi="Arial" w:cs="Arial"/>
          <w:lang w:val="es-ES"/>
        </w:rPr>
        <w:t xml:space="preserve"> 33 del TOCAF, Cooperativas Sociales, que </w:t>
      </w:r>
      <w:r w:rsidRPr="004A36CD">
        <w:rPr>
          <w:rFonts w:ascii="Arial" w:hAnsi="Arial" w:cs="Arial"/>
        </w:rPr>
        <w:t>no cumplen con lo dispuesto por el Artículo 174 Numeral C</w:t>
      </w:r>
      <w:r>
        <w:rPr>
          <w:rFonts w:ascii="Arial" w:hAnsi="Arial" w:cs="Arial"/>
        </w:rPr>
        <w:t>)</w:t>
      </w:r>
      <w:r w:rsidRPr="004A36CD">
        <w:rPr>
          <w:rFonts w:ascii="Arial" w:hAnsi="Arial" w:cs="Arial"/>
        </w:rPr>
        <w:t xml:space="preserve"> de la Ley </w:t>
      </w:r>
      <w:r>
        <w:rPr>
          <w:rFonts w:ascii="Arial" w:hAnsi="Arial" w:cs="Arial"/>
        </w:rPr>
        <w:t xml:space="preserve">Nº </w:t>
      </w:r>
      <w:r w:rsidRPr="004A36CD">
        <w:rPr>
          <w:rFonts w:ascii="Arial" w:hAnsi="Arial" w:cs="Arial"/>
        </w:rPr>
        <w:t xml:space="preserve">18.407, pues, las retribuciones de los socios trabajadores y de los trabajadores no socios superan las retribuciones establecidas en el </w:t>
      </w:r>
      <w:r w:rsidR="00D96DC0">
        <w:rPr>
          <w:rFonts w:ascii="Arial" w:hAnsi="Arial" w:cs="Arial"/>
        </w:rPr>
        <w:t>C</w:t>
      </w:r>
      <w:r w:rsidRPr="004A36CD">
        <w:rPr>
          <w:rFonts w:ascii="Arial" w:hAnsi="Arial" w:cs="Arial"/>
        </w:rPr>
        <w:t>onvenio colectivo aplicable de la rama de actividad contratada, de acuerdo al siguiente detalle:</w:t>
      </w:r>
    </w:p>
    <w:p w:rsidR="00FB7DC6" w:rsidRPr="004A36CD" w:rsidRDefault="00FB7DC6" w:rsidP="00FB7DC6">
      <w:pPr>
        <w:pStyle w:val="Prrafodelista"/>
        <w:tabs>
          <w:tab w:val="left" w:pos="284"/>
        </w:tabs>
        <w:spacing w:line="360" w:lineRule="auto"/>
        <w:ind w:left="1055" w:hanging="993"/>
        <w:rPr>
          <w:rFonts w:ascii="Arial" w:hAnsi="Arial" w:cs="Arial"/>
        </w:rPr>
      </w:pPr>
    </w:p>
    <w:p w:rsidR="00FB7DC6" w:rsidRPr="004A36CD" w:rsidRDefault="00FB7DC6" w:rsidP="00FB7DC6">
      <w:pPr>
        <w:pStyle w:val="Prrafodelista"/>
        <w:numPr>
          <w:ilvl w:val="0"/>
          <w:numId w:val="3"/>
        </w:numPr>
        <w:tabs>
          <w:tab w:val="left" w:pos="284"/>
        </w:tabs>
        <w:spacing w:line="360" w:lineRule="auto"/>
        <w:ind w:left="284" w:hanging="284"/>
        <w:rPr>
          <w:rFonts w:ascii="Arial" w:hAnsi="Arial" w:cs="Arial"/>
        </w:rPr>
      </w:pPr>
      <w:r w:rsidRPr="004A36CD">
        <w:rPr>
          <w:rFonts w:ascii="Arial" w:hAnsi="Arial" w:cs="Arial"/>
        </w:rPr>
        <w:t>La Cooperativa Social CLADAM contrata personal para lavado y planchado de ropa y cocina para el hogar infantil diurno de Soriano</w:t>
      </w:r>
      <w:r w:rsidR="00D96DC0">
        <w:rPr>
          <w:rFonts w:ascii="Arial" w:hAnsi="Arial" w:cs="Arial"/>
        </w:rPr>
        <w:t>,</w:t>
      </w:r>
      <w:r w:rsidRPr="004A36CD">
        <w:rPr>
          <w:rFonts w:ascii="Arial" w:hAnsi="Arial" w:cs="Arial"/>
        </w:rPr>
        <w:t xml:space="preserve"> por un importe de </w:t>
      </w:r>
      <w:r w:rsidR="00D96DC0">
        <w:rPr>
          <w:rFonts w:ascii="Arial" w:hAnsi="Arial" w:cs="Arial"/>
        </w:rPr>
        <w:t xml:space="preserve">   </w:t>
      </w:r>
      <w:r w:rsidRPr="004A36CD">
        <w:rPr>
          <w:rFonts w:ascii="Arial" w:hAnsi="Arial" w:cs="Arial"/>
        </w:rPr>
        <w:lastRenderedPageBreak/>
        <w:t>$</w:t>
      </w:r>
      <w:r w:rsidR="00D96DC0">
        <w:rPr>
          <w:rFonts w:ascii="Arial" w:hAnsi="Arial" w:cs="Arial"/>
        </w:rPr>
        <w:t xml:space="preserve"> </w:t>
      </w:r>
      <w:r w:rsidRPr="004A36CD">
        <w:rPr>
          <w:rFonts w:ascii="Arial" w:hAnsi="Arial" w:cs="Arial"/>
        </w:rPr>
        <w:t>58.000 mensuales. Este importe,</w:t>
      </w:r>
      <w:r w:rsidR="00D96DC0">
        <w:rPr>
          <w:rFonts w:ascii="Arial" w:hAnsi="Arial" w:cs="Arial"/>
        </w:rPr>
        <w:t xml:space="preserve"> </w:t>
      </w:r>
      <w:r w:rsidRPr="004A36CD">
        <w:rPr>
          <w:rFonts w:ascii="Arial" w:hAnsi="Arial" w:cs="Arial"/>
        </w:rPr>
        <w:t xml:space="preserve">proporcionado por las horas y las personas contratadas, da un valor de $ 80,55 la hora. </w:t>
      </w:r>
    </w:p>
    <w:p w:rsidR="00FB7DC6" w:rsidRPr="004A36CD" w:rsidRDefault="00FB7DC6" w:rsidP="00FB7DC6">
      <w:pPr>
        <w:pStyle w:val="Prrafodelista"/>
        <w:tabs>
          <w:tab w:val="left" w:pos="284"/>
        </w:tabs>
        <w:spacing w:line="360" w:lineRule="auto"/>
        <w:ind w:left="284" w:hanging="284"/>
        <w:rPr>
          <w:rFonts w:ascii="Arial" w:hAnsi="Arial" w:cs="Arial"/>
        </w:rPr>
      </w:pPr>
      <w:r>
        <w:rPr>
          <w:rFonts w:ascii="Arial" w:hAnsi="Arial" w:cs="Arial"/>
        </w:rPr>
        <w:t xml:space="preserve">     </w:t>
      </w:r>
      <w:r w:rsidRPr="004A36CD">
        <w:rPr>
          <w:rFonts w:ascii="Arial" w:hAnsi="Arial" w:cs="Arial"/>
        </w:rPr>
        <w:t xml:space="preserve">El laudo del sector asimilado, incrementado con los beneficios sociales legales, es de $ 55, incumpliéndose en consecuencia con lo establecido en el </w:t>
      </w:r>
      <w:r>
        <w:rPr>
          <w:rFonts w:ascii="Arial" w:hAnsi="Arial" w:cs="Arial"/>
        </w:rPr>
        <w:t>A</w:t>
      </w:r>
      <w:r w:rsidRPr="004A36CD">
        <w:rPr>
          <w:rFonts w:ascii="Arial" w:hAnsi="Arial" w:cs="Arial"/>
        </w:rPr>
        <w:t>rtículo 174 Literal C</w:t>
      </w:r>
      <w:r>
        <w:rPr>
          <w:rFonts w:ascii="Arial" w:hAnsi="Arial" w:cs="Arial"/>
        </w:rPr>
        <w:t>)</w:t>
      </w:r>
      <w:r w:rsidRPr="004A36CD">
        <w:rPr>
          <w:rFonts w:ascii="Arial" w:hAnsi="Arial" w:cs="Arial"/>
        </w:rPr>
        <w:t xml:space="preserve"> de la Ley </w:t>
      </w:r>
      <w:r>
        <w:rPr>
          <w:rFonts w:ascii="Arial" w:hAnsi="Arial" w:cs="Arial"/>
        </w:rPr>
        <w:t xml:space="preserve">Nº </w:t>
      </w:r>
      <w:r w:rsidRPr="004A36CD">
        <w:rPr>
          <w:rFonts w:ascii="Arial" w:hAnsi="Arial" w:cs="Arial"/>
        </w:rPr>
        <w:t>18.407.</w:t>
      </w:r>
    </w:p>
    <w:p w:rsidR="00FB7DC6" w:rsidRDefault="00FB7DC6" w:rsidP="00FB7DC6">
      <w:pPr>
        <w:pStyle w:val="Prrafodelista"/>
        <w:tabs>
          <w:tab w:val="left" w:pos="284"/>
        </w:tabs>
        <w:spacing w:line="360" w:lineRule="auto"/>
        <w:ind w:left="1055" w:hanging="993"/>
        <w:rPr>
          <w:rFonts w:ascii="Arial" w:hAnsi="Arial" w:cs="Arial"/>
        </w:rPr>
      </w:pPr>
    </w:p>
    <w:p w:rsidR="00FB7DC6" w:rsidRPr="004A36CD" w:rsidRDefault="00FB7DC6" w:rsidP="00FB7DC6">
      <w:pPr>
        <w:pStyle w:val="Prrafodelista"/>
        <w:numPr>
          <w:ilvl w:val="0"/>
          <w:numId w:val="4"/>
        </w:numPr>
        <w:tabs>
          <w:tab w:val="left" w:pos="284"/>
        </w:tabs>
        <w:spacing w:line="360" w:lineRule="auto"/>
        <w:ind w:left="284" w:hanging="284"/>
        <w:rPr>
          <w:rFonts w:ascii="Arial" w:hAnsi="Arial" w:cs="Arial"/>
        </w:rPr>
      </w:pPr>
      <w:r w:rsidRPr="004A36CD">
        <w:rPr>
          <w:rFonts w:ascii="Arial" w:hAnsi="Arial" w:cs="Arial"/>
        </w:rPr>
        <w:t>La Cooperativa Social de Atención Personalizada (COAP) presta el servicio de “</w:t>
      </w:r>
      <w:r w:rsidR="00D96DC0">
        <w:rPr>
          <w:rFonts w:ascii="Arial" w:hAnsi="Arial" w:cs="Arial"/>
        </w:rPr>
        <w:t>E</w:t>
      </w:r>
      <w:r w:rsidRPr="004A36CD">
        <w:rPr>
          <w:rFonts w:ascii="Arial" w:hAnsi="Arial" w:cs="Arial"/>
        </w:rPr>
        <w:t>ducadores” mientras que en la Resolución de Contratación se expone que se contratan tareas de costura, cocina y auxiliar de enfermería, entre otras. (Ver punto 2.5.)</w:t>
      </w:r>
    </w:p>
    <w:p w:rsidR="00FB7DC6" w:rsidRPr="004A36CD" w:rsidRDefault="00FB7DC6" w:rsidP="00FB7DC6">
      <w:pPr>
        <w:pStyle w:val="Prrafodelista"/>
        <w:tabs>
          <w:tab w:val="left" w:pos="284"/>
        </w:tabs>
        <w:spacing w:line="360" w:lineRule="auto"/>
        <w:ind w:left="284" w:hanging="284"/>
        <w:rPr>
          <w:rFonts w:ascii="Arial" w:hAnsi="Arial" w:cs="Arial"/>
        </w:rPr>
      </w:pPr>
      <w:r>
        <w:rPr>
          <w:rFonts w:ascii="Arial" w:hAnsi="Arial" w:cs="Arial"/>
        </w:rPr>
        <w:t xml:space="preserve">     </w:t>
      </w:r>
      <w:r w:rsidRPr="004A36CD">
        <w:rPr>
          <w:rFonts w:ascii="Arial" w:hAnsi="Arial" w:cs="Arial"/>
        </w:rPr>
        <w:t xml:space="preserve">En esta contratación, el valor hora es de $ 99,43, importe que incluidos los beneficios sociales supera el laudo de la actividad, por lo cual se incumple el </w:t>
      </w:r>
      <w:r>
        <w:rPr>
          <w:rFonts w:ascii="Arial" w:hAnsi="Arial" w:cs="Arial"/>
        </w:rPr>
        <w:t>A</w:t>
      </w:r>
      <w:r w:rsidRPr="004A36CD">
        <w:rPr>
          <w:rFonts w:ascii="Arial" w:hAnsi="Arial" w:cs="Arial"/>
        </w:rPr>
        <w:t>rtículo 174 Literal C</w:t>
      </w:r>
      <w:r>
        <w:rPr>
          <w:rFonts w:ascii="Arial" w:hAnsi="Arial" w:cs="Arial"/>
        </w:rPr>
        <w:t>)</w:t>
      </w:r>
      <w:r w:rsidRPr="004A36CD">
        <w:rPr>
          <w:rFonts w:ascii="Arial" w:hAnsi="Arial" w:cs="Arial"/>
        </w:rPr>
        <w:t xml:space="preserve"> de la Ley </w:t>
      </w:r>
      <w:r>
        <w:rPr>
          <w:rFonts w:ascii="Arial" w:hAnsi="Arial" w:cs="Arial"/>
        </w:rPr>
        <w:t xml:space="preserve">Nº </w:t>
      </w:r>
      <w:r w:rsidRPr="004A36CD">
        <w:rPr>
          <w:rFonts w:ascii="Arial" w:hAnsi="Arial" w:cs="Arial"/>
        </w:rPr>
        <w:t>18.407</w:t>
      </w:r>
      <w:r>
        <w:rPr>
          <w:rFonts w:ascii="Arial" w:hAnsi="Arial" w:cs="Arial"/>
        </w:rPr>
        <w:t>.</w:t>
      </w:r>
    </w:p>
    <w:p w:rsidR="00FB7DC6" w:rsidRPr="004A36CD" w:rsidRDefault="00FB7DC6" w:rsidP="00FB7DC6">
      <w:pPr>
        <w:pStyle w:val="Prrafodelista"/>
        <w:tabs>
          <w:tab w:val="left" w:pos="284"/>
        </w:tabs>
        <w:spacing w:line="360" w:lineRule="auto"/>
        <w:ind w:left="284" w:hanging="222"/>
        <w:rPr>
          <w:rFonts w:ascii="Arial" w:hAnsi="Arial" w:cs="Arial"/>
        </w:rPr>
      </w:pPr>
      <w:r>
        <w:rPr>
          <w:rFonts w:ascii="Arial" w:hAnsi="Arial" w:cs="Arial"/>
        </w:rPr>
        <w:t xml:space="preserve">    </w:t>
      </w:r>
      <w:r w:rsidRPr="004A36CD">
        <w:rPr>
          <w:rFonts w:ascii="Arial" w:hAnsi="Arial" w:cs="Arial"/>
        </w:rPr>
        <w:t xml:space="preserve">Si bien las referidas </w:t>
      </w:r>
      <w:r w:rsidR="00D96DC0">
        <w:rPr>
          <w:rFonts w:ascii="Arial" w:hAnsi="Arial" w:cs="Arial"/>
        </w:rPr>
        <w:t>C</w:t>
      </w:r>
      <w:r w:rsidRPr="004A36CD">
        <w:rPr>
          <w:rFonts w:ascii="Arial" w:hAnsi="Arial" w:cs="Arial"/>
        </w:rPr>
        <w:t>ooperativas están debidamente autorizadas por el MIDES, al incumplir con lo dispuesto por el Art</w:t>
      </w:r>
      <w:r>
        <w:rPr>
          <w:rFonts w:ascii="Arial" w:hAnsi="Arial" w:cs="Arial"/>
        </w:rPr>
        <w:t>ículo</w:t>
      </w:r>
      <w:r w:rsidRPr="004A36CD">
        <w:rPr>
          <w:rFonts w:ascii="Arial" w:hAnsi="Arial" w:cs="Arial"/>
        </w:rPr>
        <w:t xml:space="preserve"> 174 Literal C</w:t>
      </w:r>
      <w:r>
        <w:rPr>
          <w:rFonts w:ascii="Arial" w:hAnsi="Arial" w:cs="Arial"/>
        </w:rPr>
        <w:t>)</w:t>
      </w:r>
      <w:r w:rsidRPr="004A36CD">
        <w:rPr>
          <w:rFonts w:ascii="Arial" w:hAnsi="Arial" w:cs="Arial"/>
        </w:rPr>
        <w:t xml:space="preserve"> de la Ley </w:t>
      </w:r>
      <w:r>
        <w:rPr>
          <w:rFonts w:ascii="Arial" w:hAnsi="Arial" w:cs="Arial"/>
        </w:rPr>
        <w:t xml:space="preserve">Nº </w:t>
      </w:r>
      <w:r w:rsidRPr="004A36CD">
        <w:rPr>
          <w:rFonts w:ascii="Arial" w:hAnsi="Arial" w:cs="Arial"/>
        </w:rPr>
        <w:t xml:space="preserve">18.407, no califican como Cooperativas Sociales, por lo cual están impedidas de contratar con la Administración en forma directa al amparo de lo establecido en el </w:t>
      </w:r>
      <w:r>
        <w:rPr>
          <w:rFonts w:ascii="Arial" w:hAnsi="Arial" w:cs="Arial"/>
        </w:rPr>
        <w:t>A</w:t>
      </w:r>
      <w:r w:rsidRPr="004A36CD">
        <w:rPr>
          <w:rFonts w:ascii="Arial" w:hAnsi="Arial" w:cs="Arial"/>
        </w:rPr>
        <w:t>rt</w:t>
      </w:r>
      <w:r>
        <w:rPr>
          <w:rFonts w:ascii="Arial" w:hAnsi="Arial" w:cs="Arial"/>
        </w:rPr>
        <w:t>ículo</w:t>
      </w:r>
      <w:r w:rsidRPr="004A36CD">
        <w:rPr>
          <w:rFonts w:ascii="Arial" w:hAnsi="Arial" w:cs="Arial"/>
        </w:rPr>
        <w:t xml:space="preserve"> 33 </w:t>
      </w:r>
      <w:r>
        <w:rPr>
          <w:rFonts w:ascii="Arial" w:hAnsi="Arial" w:cs="Arial"/>
        </w:rPr>
        <w:t>Literal</w:t>
      </w:r>
      <w:r w:rsidRPr="004A36CD">
        <w:rPr>
          <w:rFonts w:ascii="Arial" w:hAnsi="Arial" w:cs="Arial"/>
        </w:rPr>
        <w:t xml:space="preserve"> C) </w:t>
      </w:r>
      <w:r>
        <w:rPr>
          <w:rFonts w:ascii="Arial" w:hAnsi="Arial" w:cs="Arial"/>
        </w:rPr>
        <w:t>Numeral</w:t>
      </w:r>
      <w:r w:rsidRPr="004A36CD">
        <w:rPr>
          <w:rFonts w:ascii="Arial" w:hAnsi="Arial" w:cs="Arial"/>
        </w:rPr>
        <w:t xml:space="preserve"> 20) del TOCAF.</w:t>
      </w:r>
    </w:p>
    <w:p w:rsidR="00FB7DC6" w:rsidRPr="004A36CD" w:rsidRDefault="00FB7DC6" w:rsidP="00FB7DC6">
      <w:pPr>
        <w:pStyle w:val="Prrafodelista"/>
        <w:tabs>
          <w:tab w:val="left" w:pos="284"/>
        </w:tabs>
        <w:spacing w:line="360" w:lineRule="auto"/>
        <w:ind w:left="284" w:hanging="222"/>
        <w:rPr>
          <w:rFonts w:ascii="Arial" w:hAnsi="Arial" w:cs="Arial"/>
        </w:rPr>
      </w:pPr>
      <w:r>
        <w:rPr>
          <w:rFonts w:ascii="Arial" w:hAnsi="Arial" w:cs="Arial"/>
        </w:rPr>
        <w:t xml:space="preserve">   </w:t>
      </w:r>
      <w:r w:rsidRPr="004A36CD">
        <w:rPr>
          <w:rFonts w:ascii="Arial" w:hAnsi="Arial" w:cs="Arial"/>
        </w:rPr>
        <w:t>Como consecuencia adicional a lo expuesto, las mismas pierden de hecho los beneficios fiscales (exoneraciones) asignadas a este tipo de Cooperativas, tanto por parte del Banco de Previsión Social (BPS) como por la Dirección General Impositiva. (Ver punto 3.2.1.)</w:t>
      </w:r>
    </w:p>
    <w:p w:rsidR="00FB7DC6" w:rsidRDefault="00FB7DC6" w:rsidP="00FB7DC6">
      <w:pPr>
        <w:pStyle w:val="Prrafodelista"/>
        <w:tabs>
          <w:tab w:val="left" w:pos="284"/>
        </w:tabs>
        <w:spacing w:line="360" w:lineRule="auto"/>
        <w:ind w:left="1055" w:hanging="993"/>
        <w:rPr>
          <w:rFonts w:ascii="Arial" w:hAnsi="Arial" w:cs="Arial"/>
        </w:rPr>
      </w:pPr>
    </w:p>
    <w:p w:rsidR="00FB7DC6" w:rsidRPr="00CD5A65" w:rsidRDefault="00FB7DC6" w:rsidP="00FB7DC6">
      <w:pPr>
        <w:numPr>
          <w:ilvl w:val="1"/>
          <w:numId w:val="2"/>
        </w:numPr>
        <w:tabs>
          <w:tab w:val="left" w:pos="284"/>
        </w:tabs>
        <w:spacing w:line="360" w:lineRule="auto"/>
        <w:ind w:left="567" w:hanging="567"/>
        <w:rPr>
          <w:rFonts w:ascii="Arial" w:hAnsi="Arial" w:cs="Arial"/>
          <w:b/>
        </w:rPr>
      </w:pPr>
      <w:r w:rsidRPr="00CD5A65">
        <w:rPr>
          <w:rFonts w:ascii="Arial" w:hAnsi="Arial" w:cs="Arial"/>
          <w:b/>
          <w:lang w:val="es-ES"/>
        </w:rPr>
        <w:t xml:space="preserve">Incumplimiento Artículos 13 y 20 del TOCAF </w:t>
      </w:r>
    </w:p>
    <w:p w:rsidR="00FB7DC6" w:rsidRPr="00CD5A65" w:rsidRDefault="00FB7DC6" w:rsidP="00FB7DC6">
      <w:pPr>
        <w:pStyle w:val="Prrafodelista"/>
        <w:tabs>
          <w:tab w:val="left" w:pos="284"/>
        </w:tabs>
        <w:spacing w:line="360" w:lineRule="auto"/>
        <w:ind w:left="1055" w:hanging="993"/>
        <w:rPr>
          <w:rFonts w:ascii="Arial" w:hAnsi="Arial" w:cs="Arial"/>
          <w:b/>
        </w:rPr>
      </w:pPr>
    </w:p>
    <w:p w:rsidR="00FB7DC6" w:rsidRPr="00CD5A65" w:rsidRDefault="00FB7DC6" w:rsidP="00FB7DC6">
      <w:pPr>
        <w:pStyle w:val="Prrafodelista"/>
        <w:numPr>
          <w:ilvl w:val="2"/>
          <w:numId w:val="2"/>
        </w:numPr>
        <w:tabs>
          <w:tab w:val="left" w:pos="0"/>
          <w:tab w:val="left" w:pos="709"/>
        </w:tabs>
        <w:spacing w:line="360" w:lineRule="auto"/>
        <w:ind w:left="284" w:hanging="284"/>
        <w:rPr>
          <w:rFonts w:ascii="Arial" w:hAnsi="Arial" w:cs="Arial"/>
          <w:b/>
        </w:rPr>
      </w:pPr>
      <w:r w:rsidRPr="00CD5A65">
        <w:rPr>
          <w:rFonts w:ascii="Arial" w:hAnsi="Arial" w:cs="Arial"/>
          <w:b/>
        </w:rPr>
        <w:t>Antecedentes</w:t>
      </w:r>
    </w:p>
    <w:p w:rsidR="00FB7DC6" w:rsidRPr="004A36CD" w:rsidRDefault="00FB7DC6" w:rsidP="00FB7DC6">
      <w:pPr>
        <w:pStyle w:val="Prrafodelista"/>
        <w:tabs>
          <w:tab w:val="left" w:pos="284"/>
          <w:tab w:val="left" w:pos="709"/>
        </w:tabs>
        <w:spacing w:line="360" w:lineRule="auto"/>
        <w:ind w:left="1055" w:hanging="1560"/>
        <w:rPr>
          <w:rFonts w:ascii="Arial" w:hAnsi="Arial" w:cs="Arial"/>
        </w:rPr>
      </w:pPr>
    </w:p>
    <w:p w:rsidR="00FB7DC6" w:rsidRPr="004A36CD" w:rsidRDefault="00FB7DC6" w:rsidP="00FB7DC6">
      <w:pPr>
        <w:pStyle w:val="Prrafodelista"/>
        <w:numPr>
          <w:ilvl w:val="0"/>
          <w:numId w:val="5"/>
        </w:numPr>
        <w:tabs>
          <w:tab w:val="left" w:pos="284"/>
          <w:tab w:val="left" w:pos="709"/>
        </w:tabs>
        <w:spacing w:line="360" w:lineRule="auto"/>
        <w:ind w:left="0" w:firstLine="0"/>
        <w:rPr>
          <w:rFonts w:ascii="Arial" w:hAnsi="Arial" w:cs="Arial"/>
        </w:rPr>
      </w:pPr>
      <w:r w:rsidRPr="004A36CD">
        <w:rPr>
          <w:rFonts w:ascii="Arial" w:hAnsi="Arial" w:cs="Arial"/>
        </w:rPr>
        <w:t>El Art</w:t>
      </w:r>
      <w:r>
        <w:rPr>
          <w:rFonts w:ascii="Arial" w:hAnsi="Arial" w:cs="Arial"/>
        </w:rPr>
        <w:t>ículo</w:t>
      </w:r>
      <w:r w:rsidRPr="004A36CD">
        <w:rPr>
          <w:rFonts w:ascii="Arial" w:hAnsi="Arial" w:cs="Arial"/>
        </w:rPr>
        <w:t xml:space="preserve"> 13 del TOCAF estable</w:t>
      </w:r>
      <w:r>
        <w:rPr>
          <w:rFonts w:ascii="Arial" w:hAnsi="Arial" w:cs="Arial"/>
        </w:rPr>
        <w:t>ce</w:t>
      </w:r>
      <w:r w:rsidRPr="004A36CD">
        <w:rPr>
          <w:rFonts w:ascii="Arial" w:hAnsi="Arial" w:cs="Arial"/>
        </w:rPr>
        <w:t xml:space="preserve"> que “Las asignaciones presupuestales constituirán créditos abiertos a lo</w:t>
      </w:r>
      <w:r>
        <w:rPr>
          <w:rFonts w:ascii="Arial" w:hAnsi="Arial" w:cs="Arial"/>
        </w:rPr>
        <w:t>s</w:t>
      </w:r>
      <w:r w:rsidRPr="004A36CD">
        <w:rPr>
          <w:rFonts w:ascii="Arial" w:hAnsi="Arial" w:cs="Arial"/>
        </w:rPr>
        <w:t xml:space="preserve"> </w:t>
      </w:r>
      <w:r>
        <w:rPr>
          <w:rFonts w:ascii="Arial" w:hAnsi="Arial" w:cs="Arial"/>
        </w:rPr>
        <w:t>O</w:t>
      </w:r>
      <w:r w:rsidRPr="004A36CD">
        <w:rPr>
          <w:rFonts w:ascii="Arial" w:hAnsi="Arial" w:cs="Arial"/>
        </w:rPr>
        <w:t xml:space="preserve">rganismos públicos para realizar los gastos </w:t>
      </w:r>
      <w:r w:rsidRPr="004A36CD">
        <w:rPr>
          <w:rFonts w:ascii="Arial" w:hAnsi="Arial" w:cs="Arial"/>
        </w:rPr>
        <w:lastRenderedPageBreak/>
        <w:t xml:space="preserve">de funcionamiento, de inversión y de amortización de deuda pública, necesarios para la atención de los servicios a su cargo. El </w:t>
      </w:r>
      <w:r>
        <w:rPr>
          <w:rFonts w:ascii="Arial" w:hAnsi="Arial" w:cs="Arial"/>
        </w:rPr>
        <w:t>E</w:t>
      </w:r>
      <w:r w:rsidRPr="004A36CD">
        <w:rPr>
          <w:rFonts w:ascii="Arial" w:hAnsi="Arial" w:cs="Arial"/>
        </w:rPr>
        <w:t>jercicio financiero se inicia el 1 de enero y termina el 31 de diciembre de cada año.</w:t>
      </w:r>
    </w:p>
    <w:p w:rsidR="00FB7DC6" w:rsidRPr="004A36CD" w:rsidRDefault="00FB7DC6" w:rsidP="00FB7DC6">
      <w:pPr>
        <w:pStyle w:val="Prrafodelista"/>
        <w:tabs>
          <w:tab w:val="left" w:pos="284"/>
          <w:tab w:val="left" w:pos="709"/>
        </w:tabs>
        <w:spacing w:line="360" w:lineRule="auto"/>
        <w:ind w:left="0"/>
        <w:rPr>
          <w:rFonts w:ascii="Arial" w:hAnsi="Arial" w:cs="Arial"/>
        </w:rPr>
      </w:pPr>
      <w:r w:rsidRPr="004A36CD">
        <w:rPr>
          <w:rFonts w:ascii="Arial" w:hAnsi="Arial" w:cs="Arial"/>
        </w:rPr>
        <w:t xml:space="preserve">Los créditos anuales no ejecutados al cierre del </w:t>
      </w:r>
      <w:r w:rsidR="00D96DC0">
        <w:rPr>
          <w:rFonts w:ascii="Arial" w:hAnsi="Arial" w:cs="Arial"/>
        </w:rPr>
        <w:t>E</w:t>
      </w:r>
      <w:r w:rsidRPr="004A36CD">
        <w:rPr>
          <w:rFonts w:ascii="Arial" w:hAnsi="Arial" w:cs="Arial"/>
        </w:rPr>
        <w:t>jercicio, quedarán sin valor ni efecto alguno”.</w:t>
      </w:r>
    </w:p>
    <w:p w:rsidR="00FB7DC6" w:rsidRPr="004A36CD" w:rsidRDefault="00FB7DC6" w:rsidP="00FB7DC6">
      <w:pPr>
        <w:pStyle w:val="Prrafodelista"/>
        <w:tabs>
          <w:tab w:val="left" w:pos="284"/>
        </w:tabs>
        <w:spacing w:line="360" w:lineRule="auto"/>
        <w:ind w:left="1775" w:hanging="993"/>
        <w:rPr>
          <w:rFonts w:ascii="Arial" w:hAnsi="Arial" w:cs="Arial"/>
        </w:rPr>
      </w:pPr>
    </w:p>
    <w:p w:rsidR="00FB7DC6" w:rsidRPr="004A36CD" w:rsidRDefault="00FB7DC6" w:rsidP="00FB7DC6">
      <w:pPr>
        <w:pStyle w:val="Prrafodelista"/>
        <w:numPr>
          <w:ilvl w:val="0"/>
          <w:numId w:val="5"/>
        </w:numPr>
        <w:tabs>
          <w:tab w:val="left" w:pos="284"/>
        </w:tabs>
        <w:spacing w:line="360" w:lineRule="auto"/>
        <w:ind w:left="0" w:firstLine="0"/>
        <w:rPr>
          <w:rFonts w:ascii="Arial" w:hAnsi="Arial" w:cs="Arial"/>
        </w:rPr>
      </w:pPr>
      <w:r w:rsidRPr="004A36CD">
        <w:rPr>
          <w:rFonts w:ascii="Arial" w:hAnsi="Arial" w:cs="Arial"/>
        </w:rPr>
        <w:t>El Art</w:t>
      </w:r>
      <w:r>
        <w:rPr>
          <w:rFonts w:ascii="Arial" w:hAnsi="Arial" w:cs="Arial"/>
        </w:rPr>
        <w:t>ículo</w:t>
      </w:r>
      <w:r w:rsidRPr="004A36CD">
        <w:rPr>
          <w:rFonts w:ascii="Arial" w:hAnsi="Arial" w:cs="Arial"/>
        </w:rPr>
        <w:t xml:space="preserve"> 20 expresa: “Los créditos presupuestales se considerarán ejecutados cuando se devenguen los gastos para los cuales han sido destinados.</w:t>
      </w:r>
    </w:p>
    <w:p w:rsidR="00FB7DC6" w:rsidRDefault="00FB7DC6" w:rsidP="00FB7DC6">
      <w:pPr>
        <w:pStyle w:val="Prrafodelista"/>
        <w:tabs>
          <w:tab w:val="left" w:pos="284"/>
        </w:tabs>
        <w:spacing w:line="360" w:lineRule="auto"/>
        <w:ind w:left="0"/>
        <w:rPr>
          <w:rFonts w:ascii="Arial" w:hAnsi="Arial" w:cs="Arial"/>
        </w:rPr>
      </w:pPr>
      <w:r w:rsidRPr="004A36CD">
        <w:rPr>
          <w:rFonts w:ascii="Arial" w:hAnsi="Arial" w:cs="Arial"/>
        </w:rPr>
        <w:t>Se entiende que los gastos se devengan cuando surge la obligación de pago por el cumplimiento de un servicio o de una prestación”.</w:t>
      </w:r>
    </w:p>
    <w:p w:rsidR="00FB7DC6" w:rsidRDefault="00FB7DC6" w:rsidP="00FB7DC6">
      <w:pPr>
        <w:pStyle w:val="Prrafodelista"/>
        <w:tabs>
          <w:tab w:val="left" w:pos="284"/>
        </w:tabs>
        <w:spacing w:line="360" w:lineRule="auto"/>
        <w:ind w:left="0"/>
        <w:rPr>
          <w:rFonts w:ascii="Arial" w:hAnsi="Arial" w:cs="Arial"/>
        </w:rPr>
      </w:pPr>
    </w:p>
    <w:p w:rsidR="00FB7DC6" w:rsidRPr="00CD5A65" w:rsidRDefault="00FB7DC6" w:rsidP="00FB7DC6">
      <w:pPr>
        <w:pStyle w:val="Prrafodelista"/>
        <w:numPr>
          <w:ilvl w:val="2"/>
          <w:numId w:val="2"/>
        </w:numPr>
        <w:tabs>
          <w:tab w:val="left" w:pos="284"/>
          <w:tab w:val="left" w:pos="1560"/>
        </w:tabs>
        <w:spacing w:line="360" w:lineRule="auto"/>
        <w:ind w:left="709" w:hanging="709"/>
        <w:rPr>
          <w:rFonts w:ascii="Arial" w:hAnsi="Arial" w:cs="Arial"/>
          <w:b/>
        </w:rPr>
      </w:pPr>
      <w:r w:rsidRPr="00CD5A65">
        <w:rPr>
          <w:rFonts w:ascii="Arial" w:hAnsi="Arial" w:cs="Arial"/>
          <w:b/>
        </w:rPr>
        <w:t>Constataciones</w:t>
      </w:r>
    </w:p>
    <w:p w:rsidR="00FB7DC6" w:rsidRPr="004A36CD" w:rsidRDefault="00FB7DC6" w:rsidP="00FB7DC6">
      <w:pPr>
        <w:pStyle w:val="Prrafodelista"/>
        <w:tabs>
          <w:tab w:val="left" w:pos="284"/>
        </w:tabs>
        <w:spacing w:line="360" w:lineRule="auto"/>
        <w:ind w:left="709" w:hanging="709"/>
        <w:rPr>
          <w:rFonts w:ascii="Arial" w:hAnsi="Arial" w:cs="Arial"/>
        </w:rPr>
      </w:pPr>
    </w:p>
    <w:p w:rsidR="00FB7DC6" w:rsidRPr="004A36CD" w:rsidRDefault="00FB7DC6" w:rsidP="00FB7DC6">
      <w:pPr>
        <w:pStyle w:val="Prrafodelista"/>
        <w:numPr>
          <w:ilvl w:val="0"/>
          <w:numId w:val="3"/>
        </w:numPr>
        <w:tabs>
          <w:tab w:val="left" w:pos="284"/>
        </w:tabs>
        <w:spacing w:line="360" w:lineRule="auto"/>
        <w:ind w:left="284" w:hanging="284"/>
        <w:rPr>
          <w:rFonts w:ascii="Arial" w:hAnsi="Arial" w:cs="Arial"/>
        </w:rPr>
      </w:pPr>
      <w:r w:rsidRPr="004A36CD">
        <w:rPr>
          <w:rFonts w:ascii="Arial" w:hAnsi="Arial" w:cs="Arial"/>
        </w:rPr>
        <w:t>Por Resolución Nº 3831 de fecha 30 de diciembre de 2011, el Directorio del INAU resolvió “</w:t>
      </w:r>
      <w:proofErr w:type="spellStart"/>
      <w:r w:rsidRPr="004A36CD">
        <w:rPr>
          <w:rFonts w:ascii="Arial" w:hAnsi="Arial" w:cs="Arial"/>
        </w:rPr>
        <w:t>As</w:t>
      </w:r>
      <w:r w:rsidR="00D96DC0">
        <w:rPr>
          <w:rFonts w:ascii="Arial" w:hAnsi="Arial" w:cs="Arial"/>
        </w:rPr>
        <w:t>í</w:t>
      </w:r>
      <w:r w:rsidRPr="004A36CD">
        <w:rPr>
          <w:rFonts w:ascii="Arial" w:hAnsi="Arial" w:cs="Arial"/>
        </w:rPr>
        <w:t>gnase</w:t>
      </w:r>
      <w:proofErr w:type="spellEnd"/>
      <w:r w:rsidRPr="004A36CD">
        <w:rPr>
          <w:rFonts w:ascii="Arial" w:hAnsi="Arial" w:cs="Arial"/>
        </w:rPr>
        <w:t xml:space="preserve"> al Departamento de Apoyo Socio Económico (DASE) para usufructuar en el presente </w:t>
      </w:r>
      <w:r w:rsidR="00D96DC0">
        <w:rPr>
          <w:rFonts w:ascii="Arial" w:hAnsi="Arial" w:cs="Arial"/>
        </w:rPr>
        <w:t>E</w:t>
      </w:r>
      <w:r w:rsidRPr="004A36CD">
        <w:rPr>
          <w:rFonts w:ascii="Arial" w:hAnsi="Arial" w:cs="Arial"/>
        </w:rPr>
        <w:t>jercicio la suma de $ 10</w:t>
      </w:r>
      <w:r>
        <w:rPr>
          <w:rFonts w:ascii="Arial" w:hAnsi="Arial" w:cs="Arial"/>
        </w:rPr>
        <w:t>:</w:t>
      </w:r>
      <w:r w:rsidRPr="004A36CD">
        <w:rPr>
          <w:rFonts w:ascii="Arial" w:hAnsi="Arial" w:cs="Arial"/>
        </w:rPr>
        <w:t>000.000 (pesos uruguayos diez millones)”.</w:t>
      </w:r>
    </w:p>
    <w:p w:rsidR="00FB7DC6" w:rsidRPr="004A36CD" w:rsidRDefault="00FB7DC6" w:rsidP="00FB7DC6">
      <w:pPr>
        <w:pStyle w:val="Prrafodelista"/>
        <w:tabs>
          <w:tab w:val="left" w:pos="284"/>
        </w:tabs>
        <w:spacing w:line="360" w:lineRule="auto"/>
        <w:ind w:left="284" w:hanging="284"/>
        <w:rPr>
          <w:rFonts w:ascii="Arial" w:hAnsi="Arial" w:cs="Arial"/>
        </w:rPr>
      </w:pPr>
    </w:p>
    <w:p w:rsidR="00FB7DC6" w:rsidRPr="004A36CD" w:rsidRDefault="00FB7DC6" w:rsidP="00FB7DC6">
      <w:pPr>
        <w:pStyle w:val="Prrafodelista"/>
        <w:numPr>
          <w:ilvl w:val="0"/>
          <w:numId w:val="3"/>
        </w:numPr>
        <w:tabs>
          <w:tab w:val="left" w:pos="284"/>
        </w:tabs>
        <w:spacing w:line="360" w:lineRule="auto"/>
        <w:ind w:left="284" w:hanging="284"/>
        <w:rPr>
          <w:rFonts w:ascii="Arial" w:hAnsi="Arial" w:cs="Arial"/>
        </w:rPr>
      </w:pPr>
      <w:r w:rsidRPr="004A36CD">
        <w:rPr>
          <w:rFonts w:ascii="Arial" w:hAnsi="Arial" w:cs="Arial"/>
        </w:rPr>
        <w:t xml:space="preserve">Dicho importe no fue ejecutado en el </w:t>
      </w:r>
      <w:r>
        <w:rPr>
          <w:rFonts w:ascii="Arial" w:hAnsi="Arial" w:cs="Arial"/>
        </w:rPr>
        <w:t>E</w:t>
      </w:r>
      <w:r w:rsidRPr="004A36CD">
        <w:rPr>
          <w:rFonts w:ascii="Arial" w:hAnsi="Arial" w:cs="Arial"/>
        </w:rPr>
        <w:t>jercicio 2011, pero se imputó, el 31</w:t>
      </w:r>
      <w:r>
        <w:rPr>
          <w:rFonts w:ascii="Arial" w:hAnsi="Arial" w:cs="Arial"/>
        </w:rPr>
        <w:t xml:space="preserve"> de diciembre </w:t>
      </w:r>
      <w:r w:rsidRPr="004A36CD">
        <w:rPr>
          <w:rFonts w:ascii="Arial" w:hAnsi="Arial" w:cs="Arial"/>
        </w:rPr>
        <w:t>2011, al Objeto del Gasto 289 “Otros”</w:t>
      </w:r>
      <w:r>
        <w:rPr>
          <w:rFonts w:ascii="Arial" w:hAnsi="Arial" w:cs="Arial"/>
        </w:rPr>
        <w:t>,</w:t>
      </w:r>
      <w:r w:rsidRPr="004A36CD">
        <w:rPr>
          <w:rFonts w:ascii="Arial" w:hAnsi="Arial" w:cs="Arial"/>
        </w:rPr>
        <w:t xml:space="preserve"> a favor de </w:t>
      </w:r>
      <w:proofErr w:type="spellStart"/>
      <w:r w:rsidRPr="004A36CD">
        <w:rPr>
          <w:rFonts w:ascii="Arial" w:hAnsi="Arial" w:cs="Arial"/>
        </w:rPr>
        <w:t>Rosina</w:t>
      </w:r>
      <w:proofErr w:type="spellEnd"/>
      <w:r w:rsidRPr="004A36CD">
        <w:rPr>
          <w:rFonts w:ascii="Arial" w:hAnsi="Arial" w:cs="Arial"/>
        </w:rPr>
        <w:t xml:space="preserve"> María </w:t>
      </w:r>
      <w:proofErr w:type="spellStart"/>
      <w:r w:rsidRPr="004A36CD">
        <w:rPr>
          <w:rFonts w:ascii="Arial" w:hAnsi="Arial" w:cs="Arial"/>
        </w:rPr>
        <w:t>Venturini</w:t>
      </w:r>
      <w:proofErr w:type="spellEnd"/>
      <w:r w:rsidRPr="004A36CD">
        <w:rPr>
          <w:rFonts w:ascii="Arial" w:hAnsi="Arial" w:cs="Arial"/>
        </w:rPr>
        <w:t xml:space="preserve"> Barcia – Proveedor 2346, que a esa fecha era la Directora del DASE.</w:t>
      </w:r>
    </w:p>
    <w:p w:rsidR="00FB7DC6" w:rsidRPr="004A36CD" w:rsidRDefault="00FB7DC6" w:rsidP="00FB7DC6">
      <w:pPr>
        <w:tabs>
          <w:tab w:val="left" w:pos="284"/>
        </w:tabs>
        <w:spacing w:line="360" w:lineRule="auto"/>
        <w:ind w:left="284" w:hanging="284"/>
        <w:rPr>
          <w:rFonts w:ascii="Arial" w:eastAsia="Times New Roman" w:hAnsi="Arial" w:cs="Arial"/>
          <w:lang w:val="es-ES" w:eastAsia="es-ES"/>
        </w:rPr>
      </w:pPr>
    </w:p>
    <w:p w:rsidR="00FB7DC6" w:rsidRPr="004A36CD" w:rsidRDefault="00FB7DC6" w:rsidP="00FB7DC6">
      <w:pPr>
        <w:pStyle w:val="Prrafodelista"/>
        <w:numPr>
          <w:ilvl w:val="0"/>
          <w:numId w:val="3"/>
        </w:numPr>
        <w:tabs>
          <w:tab w:val="left" w:pos="284"/>
        </w:tabs>
        <w:spacing w:line="360" w:lineRule="auto"/>
        <w:ind w:left="284" w:hanging="284"/>
        <w:rPr>
          <w:rFonts w:ascii="Arial" w:hAnsi="Arial" w:cs="Arial"/>
        </w:rPr>
      </w:pPr>
      <w:r w:rsidRPr="004A36CD">
        <w:rPr>
          <w:rFonts w:ascii="Arial" w:hAnsi="Arial" w:cs="Arial"/>
        </w:rPr>
        <w:t xml:space="preserve">El importe mencionado fue recibido por la Tesorería del INAU en el </w:t>
      </w:r>
      <w:r>
        <w:rPr>
          <w:rFonts w:ascii="Arial" w:hAnsi="Arial" w:cs="Arial"/>
        </w:rPr>
        <w:t>E</w:t>
      </w:r>
      <w:r w:rsidRPr="004A36CD">
        <w:rPr>
          <w:rFonts w:ascii="Arial" w:hAnsi="Arial" w:cs="Arial"/>
        </w:rPr>
        <w:t xml:space="preserve">jercicio 2012, la cual fue realizando pagos mediante cheques a la Directora del DASE bajo el concepto “Salario Social DASE” para ser depositados en la cuenta corriente del DASE, la cual fue ejecutando los referidos gastos en el transcurso del </w:t>
      </w:r>
      <w:r w:rsidR="00CF7B56">
        <w:rPr>
          <w:rFonts w:ascii="Arial" w:hAnsi="Arial" w:cs="Arial"/>
        </w:rPr>
        <w:t>E</w:t>
      </w:r>
      <w:r w:rsidRPr="004A36CD">
        <w:rPr>
          <w:rFonts w:ascii="Arial" w:hAnsi="Arial" w:cs="Arial"/>
        </w:rPr>
        <w:t>jercicio 2012.</w:t>
      </w:r>
    </w:p>
    <w:p w:rsidR="00FB7DC6" w:rsidRPr="004A36CD" w:rsidRDefault="00FB7DC6" w:rsidP="00FB7DC6">
      <w:pPr>
        <w:numPr>
          <w:ilvl w:val="0"/>
          <w:numId w:val="5"/>
        </w:numPr>
        <w:tabs>
          <w:tab w:val="left" w:pos="284"/>
        </w:tabs>
        <w:spacing w:line="360" w:lineRule="auto"/>
        <w:rPr>
          <w:rFonts w:ascii="Arial" w:eastAsia="Times New Roman" w:hAnsi="Arial" w:cs="Arial"/>
          <w:lang w:val="es-ES" w:eastAsia="es-ES"/>
        </w:rPr>
      </w:pPr>
      <w:r w:rsidRPr="004A36CD">
        <w:rPr>
          <w:rFonts w:ascii="Arial" w:eastAsia="Times New Roman" w:hAnsi="Arial" w:cs="Arial"/>
          <w:lang w:val="es-ES" w:eastAsia="es-ES"/>
        </w:rPr>
        <w:lastRenderedPageBreak/>
        <w:t>El INAU es un Inciso que se integra con una sola Unidad Ejecutora, INAU, siendo DASE un Departamento de la Unidad Ejecutora INAU.</w:t>
      </w:r>
    </w:p>
    <w:p w:rsidR="00FB7DC6" w:rsidRPr="004A36CD" w:rsidRDefault="00FB7DC6" w:rsidP="00FB7DC6">
      <w:pPr>
        <w:tabs>
          <w:tab w:val="left" w:pos="284"/>
        </w:tabs>
        <w:spacing w:line="360" w:lineRule="auto"/>
        <w:ind w:left="1068" w:hanging="993"/>
        <w:rPr>
          <w:rFonts w:ascii="Arial" w:eastAsia="Times New Roman" w:hAnsi="Arial" w:cs="Arial"/>
          <w:lang w:val="es-ES" w:eastAsia="es-ES"/>
        </w:rPr>
      </w:pPr>
    </w:p>
    <w:p w:rsidR="00FB7DC6" w:rsidRPr="004A36CD" w:rsidRDefault="00FB7DC6" w:rsidP="00FB7DC6">
      <w:pPr>
        <w:pStyle w:val="Prrafodelista"/>
        <w:tabs>
          <w:tab w:val="left" w:pos="284"/>
        </w:tabs>
        <w:spacing w:line="360" w:lineRule="auto"/>
        <w:ind w:left="0"/>
        <w:rPr>
          <w:rFonts w:ascii="Arial" w:hAnsi="Arial" w:cs="Arial"/>
        </w:rPr>
      </w:pPr>
      <w:r w:rsidRPr="004A36CD">
        <w:rPr>
          <w:rFonts w:ascii="Arial" w:hAnsi="Arial" w:cs="Arial"/>
        </w:rPr>
        <w:t xml:space="preserve">La ejecución de los referidos gastos vulneran lo </w:t>
      </w:r>
      <w:proofErr w:type="spellStart"/>
      <w:r w:rsidRPr="004A36CD">
        <w:rPr>
          <w:rFonts w:ascii="Arial" w:hAnsi="Arial" w:cs="Arial"/>
        </w:rPr>
        <w:t>edictado</w:t>
      </w:r>
      <w:proofErr w:type="spellEnd"/>
      <w:r w:rsidRPr="004A36CD">
        <w:rPr>
          <w:rFonts w:ascii="Arial" w:hAnsi="Arial" w:cs="Arial"/>
        </w:rPr>
        <w:t xml:space="preserve"> por el </w:t>
      </w:r>
      <w:r>
        <w:rPr>
          <w:rFonts w:ascii="Arial" w:hAnsi="Arial" w:cs="Arial"/>
        </w:rPr>
        <w:t>Artículo</w:t>
      </w:r>
      <w:r w:rsidRPr="004A36CD">
        <w:rPr>
          <w:rFonts w:ascii="Arial" w:hAnsi="Arial" w:cs="Arial"/>
        </w:rPr>
        <w:t xml:space="preserve"> 13 del TOCAF que establece que los créditos anuales no ejecutados al cierre del </w:t>
      </w:r>
      <w:r w:rsidR="00B10FE4">
        <w:rPr>
          <w:rFonts w:ascii="Arial" w:hAnsi="Arial" w:cs="Arial"/>
        </w:rPr>
        <w:t>E</w:t>
      </w:r>
      <w:r w:rsidRPr="004A36CD">
        <w:rPr>
          <w:rFonts w:ascii="Arial" w:hAnsi="Arial" w:cs="Arial"/>
        </w:rPr>
        <w:t xml:space="preserve">jercicio “quedarán sin valor ni efecto alguno”, considerándose </w:t>
      </w:r>
      <w:r w:rsidR="00B10FE4">
        <w:rPr>
          <w:rFonts w:ascii="Arial" w:hAnsi="Arial" w:cs="Arial"/>
        </w:rPr>
        <w:t>E</w:t>
      </w:r>
      <w:r w:rsidRPr="004A36CD">
        <w:rPr>
          <w:rFonts w:ascii="Arial" w:hAnsi="Arial" w:cs="Arial"/>
        </w:rPr>
        <w:t xml:space="preserve">jercicio financiero el comprendido entre el 1 de enero y el 31 de diciembre de cada año. </w:t>
      </w:r>
    </w:p>
    <w:p w:rsidR="00FB7DC6" w:rsidRPr="004A36CD" w:rsidRDefault="00FB7DC6" w:rsidP="00FB7DC6">
      <w:pPr>
        <w:tabs>
          <w:tab w:val="left" w:pos="284"/>
        </w:tabs>
        <w:spacing w:line="360" w:lineRule="auto"/>
        <w:ind w:left="1068" w:hanging="993"/>
        <w:rPr>
          <w:rFonts w:ascii="Arial" w:eastAsia="Times New Roman" w:hAnsi="Arial" w:cs="Arial"/>
          <w:lang w:val="es-ES" w:eastAsia="es-ES"/>
        </w:rPr>
      </w:pPr>
    </w:p>
    <w:p w:rsidR="00FB7DC6" w:rsidRPr="004A36CD" w:rsidRDefault="00FB7DC6" w:rsidP="00FB7DC6">
      <w:pPr>
        <w:tabs>
          <w:tab w:val="left" w:pos="284"/>
        </w:tabs>
        <w:spacing w:line="360" w:lineRule="auto"/>
        <w:rPr>
          <w:rFonts w:ascii="Arial" w:eastAsia="Times New Roman" w:hAnsi="Arial" w:cs="Arial"/>
          <w:lang w:val="es-ES" w:eastAsia="es-ES"/>
        </w:rPr>
      </w:pPr>
      <w:r w:rsidRPr="004A36CD">
        <w:rPr>
          <w:rFonts w:ascii="Arial" w:eastAsia="Times New Roman" w:hAnsi="Arial" w:cs="Arial"/>
          <w:lang w:val="es-ES" w:eastAsia="es-ES"/>
        </w:rPr>
        <w:t>De esta manera, al haber dispuesto el Directorio del INAU, el 30</w:t>
      </w:r>
      <w:r w:rsidR="00B10FE4">
        <w:rPr>
          <w:rFonts w:ascii="Arial" w:eastAsia="Times New Roman" w:hAnsi="Arial" w:cs="Arial"/>
          <w:lang w:val="es-ES" w:eastAsia="es-ES"/>
        </w:rPr>
        <w:t xml:space="preserve"> de diciembre</w:t>
      </w:r>
      <w:r w:rsidRPr="004A36CD">
        <w:rPr>
          <w:rFonts w:ascii="Arial" w:eastAsia="Times New Roman" w:hAnsi="Arial" w:cs="Arial"/>
          <w:lang w:val="es-ES" w:eastAsia="es-ES"/>
        </w:rPr>
        <w:t xml:space="preserve">, la asignación al DASE de $ 10:000.00 “para el usufructo en el presente </w:t>
      </w:r>
      <w:r>
        <w:rPr>
          <w:rFonts w:ascii="Arial" w:eastAsia="Times New Roman" w:hAnsi="Arial" w:cs="Arial"/>
          <w:lang w:val="es-ES" w:eastAsia="es-ES"/>
        </w:rPr>
        <w:t>E</w:t>
      </w:r>
      <w:r w:rsidRPr="004A36CD">
        <w:rPr>
          <w:rFonts w:ascii="Arial" w:eastAsia="Times New Roman" w:hAnsi="Arial" w:cs="Arial"/>
          <w:lang w:val="es-ES" w:eastAsia="es-ES"/>
        </w:rPr>
        <w:t xml:space="preserve">jercicio” debe concluirse claramente que dicha suma debió ejecutarse en el </w:t>
      </w:r>
      <w:r>
        <w:rPr>
          <w:rFonts w:ascii="Arial" w:eastAsia="Times New Roman" w:hAnsi="Arial" w:cs="Arial"/>
          <w:lang w:val="es-ES" w:eastAsia="es-ES"/>
        </w:rPr>
        <w:t>E</w:t>
      </w:r>
      <w:r w:rsidRPr="004A36CD">
        <w:rPr>
          <w:rFonts w:ascii="Arial" w:eastAsia="Times New Roman" w:hAnsi="Arial" w:cs="Arial"/>
          <w:lang w:val="es-ES" w:eastAsia="es-ES"/>
        </w:rPr>
        <w:t xml:space="preserve">jercicio 2011, pues la misma no sólo constituía un crédito para ejecutar en dicho </w:t>
      </w:r>
      <w:r>
        <w:rPr>
          <w:rFonts w:ascii="Arial" w:eastAsia="Times New Roman" w:hAnsi="Arial" w:cs="Arial"/>
          <w:lang w:val="es-ES" w:eastAsia="es-ES"/>
        </w:rPr>
        <w:t>E</w:t>
      </w:r>
      <w:r w:rsidRPr="004A36CD">
        <w:rPr>
          <w:rFonts w:ascii="Arial" w:eastAsia="Times New Roman" w:hAnsi="Arial" w:cs="Arial"/>
          <w:lang w:val="es-ES" w:eastAsia="es-ES"/>
        </w:rPr>
        <w:t xml:space="preserve">jercicio sino que, además, una </w:t>
      </w:r>
      <w:r w:rsidR="00B10FE4">
        <w:rPr>
          <w:rFonts w:ascii="Arial" w:eastAsia="Times New Roman" w:hAnsi="Arial" w:cs="Arial"/>
          <w:lang w:val="es-ES" w:eastAsia="es-ES"/>
        </w:rPr>
        <w:t>R</w:t>
      </w:r>
      <w:r w:rsidRPr="004A36CD">
        <w:rPr>
          <w:rFonts w:ascii="Arial" w:eastAsia="Times New Roman" w:hAnsi="Arial" w:cs="Arial"/>
          <w:lang w:val="es-ES" w:eastAsia="es-ES"/>
        </w:rPr>
        <w:t xml:space="preserve">esolución expresa del Directorio así lo dispuso ya que el </w:t>
      </w:r>
      <w:r w:rsidR="00B10FE4">
        <w:rPr>
          <w:rFonts w:ascii="Arial" w:eastAsia="Times New Roman" w:hAnsi="Arial" w:cs="Arial"/>
          <w:lang w:val="es-ES" w:eastAsia="es-ES"/>
        </w:rPr>
        <w:t>E</w:t>
      </w:r>
      <w:r w:rsidRPr="004A36CD">
        <w:rPr>
          <w:rFonts w:ascii="Arial" w:eastAsia="Times New Roman" w:hAnsi="Arial" w:cs="Arial"/>
          <w:lang w:val="es-ES" w:eastAsia="es-ES"/>
        </w:rPr>
        <w:t>jercicio concluyó el 31 de diciembre de 2011.</w:t>
      </w:r>
    </w:p>
    <w:p w:rsidR="00FB7DC6" w:rsidRPr="004A36CD" w:rsidRDefault="00FB7DC6" w:rsidP="00FB7DC6">
      <w:pPr>
        <w:tabs>
          <w:tab w:val="left" w:pos="0"/>
        </w:tabs>
        <w:spacing w:line="360" w:lineRule="auto"/>
        <w:rPr>
          <w:rFonts w:ascii="Arial" w:eastAsia="Times New Roman" w:hAnsi="Arial" w:cs="Arial"/>
          <w:lang w:val="es-ES" w:eastAsia="es-ES"/>
        </w:rPr>
      </w:pPr>
      <w:r w:rsidRPr="004A36CD">
        <w:rPr>
          <w:rFonts w:ascii="Arial" w:eastAsia="Times New Roman" w:hAnsi="Arial" w:cs="Arial"/>
          <w:lang w:val="es-ES" w:eastAsia="es-ES"/>
        </w:rPr>
        <w:t xml:space="preserve">Por ende, al no haberse ejecutado en dicho </w:t>
      </w:r>
      <w:r w:rsidR="00B10FE4">
        <w:rPr>
          <w:rFonts w:ascii="Arial" w:eastAsia="Times New Roman" w:hAnsi="Arial" w:cs="Arial"/>
          <w:lang w:val="es-ES" w:eastAsia="es-ES"/>
        </w:rPr>
        <w:t>E</w:t>
      </w:r>
      <w:r w:rsidRPr="004A36CD">
        <w:rPr>
          <w:rFonts w:ascii="Arial" w:eastAsia="Times New Roman" w:hAnsi="Arial" w:cs="Arial"/>
          <w:lang w:val="es-ES" w:eastAsia="es-ES"/>
        </w:rPr>
        <w:t>jercicio, el crédito anual por la suma ya mencionada quedó sin valor ni efecto alguno.</w:t>
      </w:r>
    </w:p>
    <w:p w:rsidR="00FB7DC6" w:rsidRPr="004A36CD" w:rsidRDefault="00FB7DC6" w:rsidP="00FB7DC6">
      <w:pPr>
        <w:tabs>
          <w:tab w:val="left" w:pos="284"/>
        </w:tabs>
        <w:spacing w:line="360" w:lineRule="auto"/>
        <w:rPr>
          <w:rFonts w:ascii="Arial" w:eastAsia="Times New Roman" w:hAnsi="Arial" w:cs="Arial"/>
          <w:lang w:val="es-ES" w:eastAsia="es-ES"/>
        </w:rPr>
      </w:pPr>
      <w:r w:rsidRPr="004A36CD">
        <w:rPr>
          <w:rFonts w:ascii="Arial" w:eastAsia="Times New Roman" w:hAnsi="Arial" w:cs="Arial"/>
          <w:lang w:val="es-ES" w:eastAsia="es-ES"/>
        </w:rPr>
        <w:t>Por otra parte, corresponde señalar que en manera alguna se puede sostener que la asignación de un crédito, por parte del Directorio del INAU, a una dependencia del Organismo pueda constituir la ejecución de un gasto.</w:t>
      </w:r>
    </w:p>
    <w:p w:rsidR="00FB7DC6" w:rsidRPr="004A36CD" w:rsidRDefault="00FB7DC6" w:rsidP="00FB7DC6">
      <w:pPr>
        <w:tabs>
          <w:tab w:val="left" w:pos="284"/>
        </w:tabs>
        <w:spacing w:line="360" w:lineRule="auto"/>
        <w:rPr>
          <w:rFonts w:ascii="Arial" w:eastAsia="Times New Roman" w:hAnsi="Arial" w:cs="Arial"/>
          <w:lang w:val="es-ES" w:eastAsia="es-ES"/>
        </w:rPr>
      </w:pPr>
      <w:r w:rsidRPr="004A36CD">
        <w:rPr>
          <w:rFonts w:ascii="Arial" w:eastAsia="Times New Roman" w:hAnsi="Arial" w:cs="Arial"/>
          <w:lang w:val="es-ES" w:eastAsia="es-ES"/>
        </w:rPr>
        <w:t>En efecto, los créditos presupuestales se consideran ejecutados cuando se devengan los gastos para los cuales han sido destinados y, a su vez, se entiende que un gasto se devenga “cuando surge la obligación de pago por el cumplimiento de un servicio o de una prestación” (</w:t>
      </w:r>
      <w:r>
        <w:rPr>
          <w:rFonts w:ascii="Arial" w:eastAsia="Times New Roman" w:hAnsi="Arial" w:cs="Arial"/>
          <w:lang w:val="es-ES" w:eastAsia="es-ES"/>
        </w:rPr>
        <w:t>Artículo</w:t>
      </w:r>
      <w:r w:rsidRPr="004A36CD">
        <w:rPr>
          <w:rFonts w:ascii="Arial" w:eastAsia="Times New Roman" w:hAnsi="Arial" w:cs="Arial"/>
          <w:lang w:val="es-ES" w:eastAsia="es-ES"/>
        </w:rPr>
        <w:t xml:space="preserve"> 20 TOCAF). </w:t>
      </w:r>
    </w:p>
    <w:p w:rsidR="00FB7DC6" w:rsidRPr="004A36CD" w:rsidRDefault="00FB7DC6" w:rsidP="00FB7DC6">
      <w:pPr>
        <w:pStyle w:val="Prrafodelista"/>
        <w:tabs>
          <w:tab w:val="left" w:pos="284"/>
        </w:tabs>
        <w:spacing w:line="360" w:lineRule="auto"/>
        <w:ind w:left="0"/>
        <w:rPr>
          <w:rFonts w:ascii="Arial" w:hAnsi="Arial" w:cs="Arial"/>
        </w:rPr>
      </w:pPr>
      <w:r w:rsidRPr="004A36CD">
        <w:rPr>
          <w:rFonts w:ascii="Arial" w:hAnsi="Arial" w:cs="Arial"/>
        </w:rPr>
        <w:t xml:space="preserve">De esta manera, no se puede sostener que se ha ejecutado un gasto pues, durante el </w:t>
      </w:r>
      <w:r>
        <w:rPr>
          <w:rFonts w:ascii="Arial" w:hAnsi="Arial" w:cs="Arial"/>
        </w:rPr>
        <w:t>E</w:t>
      </w:r>
      <w:r w:rsidRPr="004A36CD">
        <w:rPr>
          <w:rFonts w:ascii="Arial" w:hAnsi="Arial" w:cs="Arial"/>
        </w:rPr>
        <w:t>jercicio 2011, no se devengó un gasto por la cifra mencionada sino que, únicamente, se le asignó a una dependencia del Organismo.</w:t>
      </w:r>
    </w:p>
    <w:p w:rsidR="00FB7DC6" w:rsidRDefault="00FB7DC6" w:rsidP="00FB7DC6">
      <w:pPr>
        <w:pStyle w:val="Prrafodelista"/>
        <w:tabs>
          <w:tab w:val="left" w:pos="284"/>
        </w:tabs>
        <w:spacing w:line="360" w:lineRule="auto"/>
        <w:ind w:left="0"/>
        <w:rPr>
          <w:rFonts w:ascii="Arial" w:hAnsi="Arial" w:cs="Arial"/>
        </w:rPr>
      </w:pPr>
      <w:r w:rsidRPr="004A36CD">
        <w:rPr>
          <w:rFonts w:ascii="Arial" w:hAnsi="Arial" w:cs="Arial"/>
        </w:rPr>
        <w:t xml:space="preserve">En efecto, si la </w:t>
      </w:r>
      <w:r>
        <w:rPr>
          <w:rFonts w:ascii="Arial" w:hAnsi="Arial" w:cs="Arial"/>
        </w:rPr>
        <w:t>R</w:t>
      </w:r>
      <w:r w:rsidRPr="004A36CD">
        <w:rPr>
          <w:rFonts w:ascii="Arial" w:hAnsi="Arial" w:cs="Arial"/>
        </w:rPr>
        <w:t xml:space="preserve">esolución del Directorio correspondiera a un gasto  devengado, estaremos ante un gasto ejecutado en ese ejercicio pero si, por el contrario, la </w:t>
      </w:r>
      <w:r w:rsidR="00CF7B56">
        <w:rPr>
          <w:rFonts w:ascii="Arial" w:hAnsi="Arial" w:cs="Arial"/>
        </w:rPr>
        <w:t>R</w:t>
      </w:r>
      <w:r w:rsidRPr="004A36CD">
        <w:rPr>
          <w:rFonts w:ascii="Arial" w:hAnsi="Arial" w:cs="Arial"/>
        </w:rPr>
        <w:t xml:space="preserve">esolución refiere a la asignación de una partida o crédito a una </w:t>
      </w:r>
      <w:r w:rsidRPr="004A36CD">
        <w:rPr>
          <w:rFonts w:ascii="Arial" w:hAnsi="Arial" w:cs="Arial"/>
        </w:rPr>
        <w:lastRenderedPageBreak/>
        <w:t>dependencia del Organismo, en manera alguna se puede hablar de una ejecución de un gasto. (Ver punto 3.2.2.)</w:t>
      </w:r>
      <w:r>
        <w:rPr>
          <w:rFonts w:ascii="Arial" w:hAnsi="Arial" w:cs="Arial"/>
        </w:rPr>
        <w:t>.</w:t>
      </w:r>
    </w:p>
    <w:p w:rsidR="00FB7DC6" w:rsidRPr="004A36CD" w:rsidRDefault="00FB7DC6" w:rsidP="00FB7DC6">
      <w:pPr>
        <w:pStyle w:val="Prrafodelista"/>
        <w:tabs>
          <w:tab w:val="left" w:pos="284"/>
        </w:tabs>
        <w:spacing w:line="360" w:lineRule="auto"/>
        <w:ind w:left="0"/>
        <w:rPr>
          <w:rFonts w:ascii="Arial" w:hAnsi="Arial" w:cs="Arial"/>
        </w:rPr>
      </w:pPr>
    </w:p>
    <w:p w:rsidR="00FB7DC6" w:rsidRDefault="00FB7DC6" w:rsidP="00CD5A65">
      <w:pPr>
        <w:numPr>
          <w:ilvl w:val="1"/>
          <w:numId w:val="2"/>
        </w:numPr>
        <w:tabs>
          <w:tab w:val="left" w:pos="284"/>
        </w:tabs>
        <w:spacing w:line="360" w:lineRule="auto"/>
        <w:ind w:left="709" w:hanging="709"/>
        <w:rPr>
          <w:rFonts w:ascii="Arial" w:hAnsi="Arial" w:cs="Arial"/>
          <w:b/>
          <w:lang w:val="es-ES"/>
        </w:rPr>
      </w:pPr>
      <w:r w:rsidRPr="00CD5A65">
        <w:rPr>
          <w:rFonts w:ascii="Arial" w:hAnsi="Arial" w:cs="Arial"/>
          <w:b/>
          <w:lang w:val="es-ES"/>
        </w:rPr>
        <w:t>Ley Nº 18.251 de Responsabilidad Laboral en los Procesos de Descentralización Empresarial</w:t>
      </w:r>
    </w:p>
    <w:p w:rsidR="00CD5A65" w:rsidRPr="00CD5A65" w:rsidRDefault="00CD5A65" w:rsidP="00CD5A65">
      <w:pPr>
        <w:tabs>
          <w:tab w:val="left" w:pos="284"/>
        </w:tabs>
        <w:spacing w:line="360" w:lineRule="auto"/>
        <w:ind w:left="709"/>
        <w:rPr>
          <w:rFonts w:ascii="Arial" w:hAnsi="Arial" w:cs="Arial"/>
          <w:b/>
          <w:lang w:val="es-ES"/>
        </w:rPr>
      </w:pPr>
    </w:p>
    <w:p w:rsidR="00FB7DC6" w:rsidRPr="00CD5A65" w:rsidRDefault="00FB7DC6" w:rsidP="00CD5A65">
      <w:pPr>
        <w:pStyle w:val="Prrafodelista"/>
        <w:numPr>
          <w:ilvl w:val="2"/>
          <w:numId w:val="2"/>
        </w:numPr>
        <w:tabs>
          <w:tab w:val="left" w:pos="284"/>
          <w:tab w:val="left" w:pos="709"/>
        </w:tabs>
        <w:spacing w:line="360" w:lineRule="auto"/>
        <w:ind w:left="0" w:firstLine="0"/>
        <w:rPr>
          <w:rFonts w:ascii="Arial" w:hAnsi="Arial" w:cs="Arial"/>
          <w:b/>
        </w:rPr>
      </w:pPr>
      <w:r w:rsidRPr="00CD5A65">
        <w:rPr>
          <w:rFonts w:ascii="Arial" w:hAnsi="Arial" w:cs="Arial"/>
          <w:b/>
        </w:rPr>
        <w:t>Antecedentes</w:t>
      </w:r>
    </w:p>
    <w:p w:rsidR="00FB7DC6" w:rsidRPr="004A36CD" w:rsidRDefault="00FB7DC6" w:rsidP="00FB7DC6">
      <w:pPr>
        <w:pStyle w:val="Prrafodelista"/>
        <w:tabs>
          <w:tab w:val="left" w:pos="284"/>
        </w:tabs>
        <w:spacing w:line="360" w:lineRule="auto"/>
        <w:ind w:left="1055" w:hanging="993"/>
        <w:rPr>
          <w:rFonts w:ascii="Arial" w:hAnsi="Arial" w:cs="Arial"/>
          <w:lang w:val="es-ES"/>
        </w:rPr>
      </w:pPr>
    </w:p>
    <w:p w:rsidR="00FB7DC6" w:rsidRPr="004A36CD" w:rsidRDefault="00FB7DC6" w:rsidP="00FB7DC6">
      <w:pPr>
        <w:pStyle w:val="Prrafodelista"/>
        <w:tabs>
          <w:tab w:val="left" w:pos="284"/>
        </w:tabs>
        <w:spacing w:line="360" w:lineRule="auto"/>
        <w:ind w:left="0"/>
        <w:rPr>
          <w:rFonts w:ascii="Arial" w:hAnsi="Arial" w:cs="Arial"/>
        </w:rPr>
      </w:pPr>
      <w:bookmarkStart w:id="1" w:name="art4"/>
      <w:r w:rsidRPr="004A36CD">
        <w:rPr>
          <w:rFonts w:ascii="Arial" w:hAnsi="Arial" w:cs="Arial"/>
        </w:rPr>
        <w:t xml:space="preserve">La Ley Nº 18.251 de Responsabilidad Laboral en los Procesos de Descentralización Empresarial, en su </w:t>
      </w:r>
      <w:r>
        <w:rPr>
          <w:rFonts w:ascii="Arial" w:hAnsi="Arial" w:cs="Arial"/>
        </w:rPr>
        <w:t>A</w:t>
      </w:r>
      <w:r w:rsidRPr="004A36CD">
        <w:rPr>
          <w:rFonts w:ascii="Arial" w:hAnsi="Arial" w:cs="Arial"/>
        </w:rPr>
        <w:t>rtículo 4</w:t>
      </w:r>
      <w:bookmarkEnd w:id="1"/>
      <w:r w:rsidRPr="004A36CD">
        <w:rPr>
          <w:rFonts w:ascii="Arial" w:hAnsi="Arial" w:cs="Arial"/>
        </w:rPr>
        <w:t xml:space="preserve"> “Información sobre el cumplimiento de las obligaciones laborales y de </w:t>
      </w:r>
      <w:r>
        <w:rPr>
          <w:rFonts w:ascii="Arial" w:hAnsi="Arial" w:cs="Arial"/>
        </w:rPr>
        <w:t>S</w:t>
      </w:r>
      <w:r w:rsidRPr="004A36CD">
        <w:rPr>
          <w:rFonts w:ascii="Arial" w:hAnsi="Arial" w:cs="Arial"/>
        </w:rPr>
        <w:t xml:space="preserve">eguridad </w:t>
      </w:r>
      <w:r>
        <w:rPr>
          <w:rFonts w:ascii="Arial" w:hAnsi="Arial" w:cs="Arial"/>
        </w:rPr>
        <w:t>S</w:t>
      </w:r>
      <w:r w:rsidRPr="004A36CD">
        <w:rPr>
          <w:rFonts w:ascii="Arial" w:hAnsi="Arial" w:cs="Arial"/>
        </w:rPr>
        <w:t>ocial” establece que: “Todo patrono o empresario que utilice subcontratistas, intermediarios o suministradores de mano de obra tiene derecho a ser informado por éstos sobre el monto y el estado de cumplimiento de las obligaciones laborales, previsionales, así como las correspondientes a la protección de la contingencia de accidentes de trabajo y enfermedades profesionales que a éstos correspondan respecto de sus trabajadores.</w:t>
      </w:r>
    </w:p>
    <w:p w:rsidR="00FB7DC6" w:rsidRPr="004A36CD" w:rsidRDefault="00FB7DC6" w:rsidP="00FB7DC6">
      <w:pPr>
        <w:pStyle w:val="Prrafodelista"/>
        <w:tabs>
          <w:tab w:val="left" w:pos="284"/>
        </w:tabs>
        <w:spacing w:line="360" w:lineRule="auto"/>
        <w:ind w:left="0"/>
        <w:rPr>
          <w:rFonts w:ascii="Arial" w:hAnsi="Arial" w:cs="Arial"/>
        </w:rPr>
      </w:pPr>
      <w:r w:rsidRPr="004A36CD">
        <w:rPr>
          <w:rFonts w:ascii="Arial" w:hAnsi="Arial" w:cs="Arial"/>
        </w:rPr>
        <w:t>A esos efectos, queda facultado a exigir a la empresa contratada la exhibición de los siguientes documentos”.</w:t>
      </w:r>
    </w:p>
    <w:p w:rsidR="00FB7DC6" w:rsidRPr="004A36CD" w:rsidRDefault="00FB7DC6" w:rsidP="00FB7DC6">
      <w:pPr>
        <w:pStyle w:val="Prrafodelista"/>
        <w:tabs>
          <w:tab w:val="left" w:pos="284"/>
        </w:tabs>
        <w:spacing w:line="360" w:lineRule="auto"/>
        <w:ind w:left="1775" w:hanging="993"/>
        <w:rPr>
          <w:rFonts w:ascii="Arial" w:hAnsi="Arial" w:cs="Arial"/>
        </w:rPr>
      </w:pPr>
    </w:p>
    <w:tbl>
      <w:tblPr>
        <w:tblW w:w="5048" w:type="pct"/>
        <w:tblCellSpacing w:w="0" w:type="dxa"/>
        <w:tblInd w:w="-82" w:type="dxa"/>
        <w:tblCellMar>
          <w:top w:w="60" w:type="dxa"/>
          <w:left w:w="60" w:type="dxa"/>
          <w:bottom w:w="60" w:type="dxa"/>
          <w:right w:w="60" w:type="dxa"/>
        </w:tblCellMar>
        <w:tblLook w:val="04A0" w:firstRow="1" w:lastRow="0" w:firstColumn="1" w:lastColumn="0" w:noHBand="0" w:noVBand="1"/>
      </w:tblPr>
      <w:tblGrid>
        <w:gridCol w:w="142"/>
        <w:gridCol w:w="709"/>
        <w:gridCol w:w="7603"/>
        <w:gridCol w:w="253"/>
      </w:tblGrid>
      <w:tr w:rsidR="00FB7DC6" w:rsidRPr="00CD5A65" w:rsidTr="002B5612">
        <w:trPr>
          <w:tblCellSpacing w:w="0" w:type="dxa"/>
        </w:trPr>
        <w:tc>
          <w:tcPr>
            <w:tcW w:w="489" w:type="pct"/>
            <w:gridSpan w:val="2"/>
          </w:tcPr>
          <w:p w:rsidR="00FB7DC6" w:rsidRPr="00CD5A65" w:rsidRDefault="00FB7DC6" w:rsidP="002B5612">
            <w:pPr>
              <w:pStyle w:val="Prrafodelista"/>
              <w:tabs>
                <w:tab w:val="left" w:pos="284"/>
              </w:tabs>
              <w:spacing w:line="360" w:lineRule="auto"/>
              <w:ind w:left="360" w:hanging="360"/>
              <w:rPr>
                <w:rFonts w:ascii="Arial" w:hAnsi="Arial" w:cs="Arial"/>
                <w:b/>
              </w:rPr>
            </w:pPr>
            <w:r w:rsidRPr="00CD5A65">
              <w:rPr>
                <w:rFonts w:ascii="Arial" w:hAnsi="Arial" w:cs="Arial"/>
                <w:b/>
              </w:rPr>
              <w:t>2.3.</w:t>
            </w:r>
            <w:r w:rsidR="0092448F">
              <w:rPr>
                <w:rFonts w:ascii="Arial" w:hAnsi="Arial" w:cs="Arial"/>
                <w:b/>
              </w:rPr>
              <w:t>2</w:t>
            </w:r>
          </w:p>
        </w:tc>
        <w:tc>
          <w:tcPr>
            <w:tcW w:w="4511" w:type="pct"/>
            <w:gridSpan w:val="2"/>
          </w:tcPr>
          <w:p w:rsidR="00FB7DC6" w:rsidRPr="0092448F" w:rsidRDefault="00FB7DC6" w:rsidP="002B5612">
            <w:pPr>
              <w:tabs>
                <w:tab w:val="left" w:pos="284"/>
                <w:tab w:val="left" w:pos="1560"/>
              </w:tabs>
              <w:spacing w:line="360" w:lineRule="auto"/>
              <w:rPr>
                <w:rFonts w:ascii="Arial" w:hAnsi="Arial" w:cs="Arial"/>
                <w:b/>
              </w:rPr>
            </w:pPr>
            <w:r w:rsidRPr="0092448F">
              <w:rPr>
                <w:rFonts w:ascii="Arial" w:hAnsi="Arial" w:cs="Arial"/>
                <w:b/>
              </w:rPr>
              <w:t>Constataciones</w:t>
            </w:r>
          </w:p>
          <w:p w:rsidR="00FB7DC6" w:rsidRPr="00CD5A65" w:rsidRDefault="00FB7DC6" w:rsidP="002B5612">
            <w:pPr>
              <w:pStyle w:val="Prrafodelista"/>
              <w:tabs>
                <w:tab w:val="left" w:pos="284"/>
              </w:tabs>
              <w:spacing w:line="360" w:lineRule="auto"/>
              <w:ind w:left="1775" w:hanging="993"/>
              <w:rPr>
                <w:rFonts w:ascii="Arial" w:hAnsi="Arial" w:cs="Arial"/>
                <w:b/>
              </w:rPr>
            </w:pPr>
          </w:p>
        </w:tc>
      </w:tr>
      <w:tr w:rsidR="00FB7DC6" w:rsidRPr="004A36CD" w:rsidTr="002B5612">
        <w:trPr>
          <w:gridAfter w:val="1"/>
          <w:wAfter w:w="145" w:type="pct"/>
          <w:tblCellSpacing w:w="0" w:type="dxa"/>
        </w:trPr>
        <w:tc>
          <w:tcPr>
            <w:tcW w:w="82" w:type="pct"/>
          </w:tcPr>
          <w:p w:rsidR="00FB7DC6" w:rsidRPr="004A36CD" w:rsidRDefault="00FB7DC6" w:rsidP="002B5612">
            <w:pPr>
              <w:pStyle w:val="Prrafodelista"/>
              <w:tabs>
                <w:tab w:val="left" w:pos="284"/>
              </w:tabs>
              <w:spacing w:line="360" w:lineRule="auto"/>
              <w:ind w:left="1055" w:hanging="993"/>
              <w:rPr>
                <w:rFonts w:ascii="Arial" w:hAnsi="Arial" w:cs="Arial"/>
              </w:rPr>
            </w:pPr>
          </w:p>
        </w:tc>
        <w:tc>
          <w:tcPr>
            <w:tcW w:w="4773" w:type="pct"/>
            <w:gridSpan w:val="2"/>
          </w:tcPr>
          <w:p w:rsidR="00FB7DC6" w:rsidRPr="002B5612" w:rsidRDefault="00FB7DC6" w:rsidP="002B5612">
            <w:pPr>
              <w:tabs>
                <w:tab w:val="left" w:pos="0"/>
              </w:tabs>
              <w:spacing w:line="360" w:lineRule="auto"/>
              <w:rPr>
                <w:rFonts w:ascii="Arial" w:hAnsi="Arial" w:cs="Arial"/>
              </w:rPr>
            </w:pPr>
            <w:r w:rsidRPr="002B5612">
              <w:rPr>
                <w:rFonts w:ascii="Arial" w:hAnsi="Arial" w:cs="Arial"/>
              </w:rPr>
              <w:t xml:space="preserve">No se controla el cumplimiento de las normas laborales por parte de las empresas subcontratadas, tal como lo faculta la ley mencionada, lo que </w:t>
            </w:r>
            <w:r w:rsidR="002B5612" w:rsidRPr="002B5612">
              <w:rPr>
                <w:rFonts w:ascii="Arial" w:hAnsi="Arial" w:cs="Arial"/>
              </w:rPr>
              <w:t xml:space="preserve">genera </w:t>
            </w:r>
            <w:r w:rsidRPr="002B5612">
              <w:rPr>
                <w:rFonts w:ascii="Arial" w:hAnsi="Arial" w:cs="Arial"/>
              </w:rPr>
              <w:t>juicios por reclamaciones laborales contra el Organismo.</w:t>
            </w:r>
          </w:p>
          <w:p w:rsidR="00FB7DC6" w:rsidRPr="004A36CD" w:rsidRDefault="00FB7DC6" w:rsidP="002B5612">
            <w:pPr>
              <w:pStyle w:val="Prrafodelista"/>
              <w:tabs>
                <w:tab w:val="left" w:pos="-521"/>
              </w:tabs>
              <w:spacing w:line="360" w:lineRule="auto"/>
              <w:ind w:left="-521" w:firstLine="319"/>
              <w:rPr>
                <w:rFonts w:ascii="Arial" w:hAnsi="Arial" w:cs="Arial"/>
              </w:rPr>
            </w:pPr>
          </w:p>
          <w:p w:rsidR="00FB7DC6" w:rsidRPr="002B5612" w:rsidRDefault="00FB7DC6" w:rsidP="002B5612">
            <w:pPr>
              <w:tabs>
                <w:tab w:val="left" w:pos="82"/>
              </w:tabs>
              <w:spacing w:line="360" w:lineRule="auto"/>
              <w:rPr>
                <w:rFonts w:ascii="Arial" w:hAnsi="Arial" w:cs="Arial"/>
              </w:rPr>
            </w:pPr>
            <w:r w:rsidRPr="002B5612">
              <w:rPr>
                <w:rFonts w:ascii="Arial" w:hAnsi="Arial" w:cs="Arial"/>
              </w:rPr>
              <w:t>En el último trimestre del año 2012, el monto de los juicios pendiente por reclamaciones laborales era de $ 42:447.569. (Ver punto 3.2.1.)</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410"/>
              <w:gridCol w:w="7782"/>
            </w:tblGrid>
            <w:tr w:rsidR="00FB7DC6" w:rsidRPr="004A36CD" w:rsidTr="00CD5A65">
              <w:trPr>
                <w:tblCellSpacing w:w="0" w:type="dxa"/>
              </w:trPr>
              <w:tc>
                <w:tcPr>
                  <w:tcW w:w="250" w:type="pct"/>
                </w:tcPr>
                <w:p w:rsidR="00FB7DC6" w:rsidRPr="004A36CD" w:rsidRDefault="00FB7DC6" w:rsidP="002B5612">
                  <w:pPr>
                    <w:pStyle w:val="Prrafodelista"/>
                    <w:tabs>
                      <w:tab w:val="left" w:pos="284"/>
                    </w:tabs>
                    <w:spacing w:line="360" w:lineRule="auto"/>
                    <w:ind w:left="1055" w:firstLine="319"/>
                    <w:rPr>
                      <w:rFonts w:ascii="Arial" w:hAnsi="Arial" w:cs="Arial"/>
                    </w:rPr>
                  </w:pPr>
                </w:p>
              </w:tc>
              <w:tc>
                <w:tcPr>
                  <w:tcW w:w="4750" w:type="pct"/>
                </w:tcPr>
                <w:p w:rsidR="00FB7DC6" w:rsidRPr="004A36CD" w:rsidRDefault="00FB7DC6" w:rsidP="002B5612">
                  <w:pPr>
                    <w:pStyle w:val="Prrafodelista"/>
                    <w:tabs>
                      <w:tab w:val="left" w:pos="284"/>
                    </w:tabs>
                    <w:spacing w:line="360" w:lineRule="auto"/>
                    <w:ind w:left="1055" w:firstLine="319"/>
                    <w:rPr>
                      <w:rFonts w:ascii="Arial" w:hAnsi="Arial" w:cs="Arial"/>
                      <w:lang w:val="es-ES"/>
                    </w:rPr>
                  </w:pPr>
                </w:p>
              </w:tc>
            </w:tr>
          </w:tbl>
          <w:p w:rsidR="00FB7DC6" w:rsidRPr="004A36CD" w:rsidRDefault="00FB7DC6" w:rsidP="002B5612">
            <w:pPr>
              <w:pStyle w:val="Prrafodelista"/>
              <w:tabs>
                <w:tab w:val="left" w:pos="284"/>
              </w:tabs>
              <w:spacing w:line="360" w:lineRule="auto"/>
              <w:ind w:left="1055" w:firstLine="319"/>
              <w:rPr>
                <w:rFonts w:ascii="Arial" w:hAnsi="Arial" w:cs="Arial"/>
              </w:rPr>
            </w:pPr>
          </w:p>
        </w:tc>
      </w:tr>
    </w:tbl>
    <w:p w:rsidR="00FB7DC6" w:rsidRPr="00CD5A65" w:rsidRDefault="00FB7DC6" w:rsidP="00CD5A65">
      <w:pPr>
        <w:numPr>
          <w:ilvl w:val="1"/>
          <w:numId w:val="2"/>
        </w:numPr>
        <w:tabs>
          <w:tab w:val="left" w:pos="284"/>
        </w:tabs>
        <w:spacing w:line="360" w:lineRule="auto"/>
        <w:ind w:left="709" w:hanging="709"/>
        <w:rPr>
          <w:rFonts w:ascii="Arial" w:hAnsi="Arial" w:cs="Arial"/>
          <w:b/>
          <w:lang w:val="es-ES"/>
        </w:rPr>
      </w:pPr>
      <w:r w:rsidRPr="00CD5A65">
        <w:rPr>
          <w:rFonts w:ascii="Arial" w:hAnsi="Arial" w:cs="Arial"/>
          <w:b/>
          <w:lang w:val="es-ES"/>
        </w:rPr>
        <w:lastRenderedPageBreak/>
        <w:t>Aplicación de los Artículos 132 (antes Artículo 114) y 133 (antes Artículo 115) del TOCAF y de la Ordenanza Nº 77 del Tribunal de Cuentas</w:t>
      </w:r>
    </w:p>
    <w:p w:rsidR="00FB7DC6" w:rsidRPr="001A3374" w:rsidRDefault="00BB4C5A" w:rsidP="00FB7DC6">
      <w:pPr>
        <w:pStyle w:val="Prrafodelista"/>
        <w:tabs>
          <w:tab w:val="left" w:pos="284"/>
        </w:tabs>
        <w:spacing w:line="360" w:lineRule="auto"/>
        <w:ind w:left="1055" w:hanging="993"/>
        <w:rPr>
          <w:rFonts w:ascii="Arial" w:hAnsi="Arial" w:cs="Arial"/>
          <w:lang w:val="es-ES"/>
        </w:rPr>
      </w:pPr>
      <w:r>
        <w:rPr>
          <w:rFonts w:ascii="Arial" w:hAnsi="Arial" w:cs="Arial"/>
          <w:lang w:val="es-ES"/>
        </w:rPr>
        <w:t xml:space="preserve">    </w:t>
      </w:r>
    </w:p>
    <w:p w:rsidR="00FB7DC6" w:rsidRPr="00CD5A65" w:rsidRDefault="00FB7DC6" w:rsidP="00CD5A65">
      <w:pPr>
        <w:pStyle w:val="Prrafodelista"/>
        <w:numPr>
          <w:ilvl w:val="2"/>
          <w:numId w:val="2"/>
        </w:numPr>
        <w:tabs>
          <w:tab w:val="left" w:pos="284"/>
          <w:tab w:val="left" w:pos="709"/>
        </w:tabs>
        <w:spacing w:line="360" w:lineRule="auto"/>
        <w:ind w:left="1560" w:hanging="1560"/>
        <w:rPr>
          <w:rFonts w:ascii="Arial" w:hAnsi="Arial" w:cs="Arial"/>
          <w:b/>
        </w:rPr>
      </w:pPr>
      <w:r w:rsidRPr="00CD5A65">
        <w:rPr>
          <w:rFonts w:ascii="Arial" w:hAnsi="Arial" w:cs="Arial"/>
          <w:b/>
        </w:rPr>
        <w:t>Antecedentes</w:t>
      </w:r>
    </w:p>
    <w:p w:rsidR="00FB7DC6" w:rsidRPr="004A36CD" w:rsidRDefault="00FB7DC6" w:rsidP="00FB7DC6">
      <w:pPr>
        <w:pStyle w:val="Prrafodelista"/>
        <w:tabs>
          <w:tab w:val="left" w:pos="284"/>
        </w:tabs>
        <w:spacing w:line="360" w:lineRule="auto"/>
        <w:ind w:left="1055" w:hanging="993"/>
        <w:rPr>
          <w:rFonts w:ascii="Arial" w:hAnsi="Arial" w:cs="Arial"/>
        </w:rPr>
      </w:pPr>
    </w:p>
    <w:p w:rsidR="00FB7DC6" w:rsidRPr="004A36CD" w:rsidRDefault="00FB7DC6" w:rsidP="00FB7DC6">
      <w:pPr>
        <w:pStyle w:val="Prrafodelista"/>
        <w:numPr>
          <w:ilvl w:val="0"/>
          <w:numId w:val="5"/>
        </w:numPr>
        <w:tabs>
          <w:tab w:val="left" w:pos="284"/>
        </w:tabs>
        <w:spacing w:line="360" w:lineRule="auto"/>
        <w:ind w:left="284" w:hanging="284"/>
        <w:rPr>
          <w:rFonts w:ascii="Arial" w:hAnsi="Arial" w:cs="Arial"/>
        </w:rPr>
      </w:pPr>
      <w:r w:rsidRPr="004A36CD">
        <w:rPr>
          <w:rFonts w:ascii="Arial" w:hAnsi="Arial" w:cs="Arial"/>
        </w:rPr>
        <w:t>El Art</w:t>
      </w:r>
      <w:r>
        <w:rPr>
          <w:rFonts w:ascii="Arial" w:hAnsi="Arial" w:cs="Arial"/>
        </w:rPr>
        <w:t>ículo</w:t>
      </w:r>
      <w:r w:rsidRPr="004A36CD">
        <w:rPr>
          <w:rFonts w:ascii="Arial" w:hAnsi="Arial" w:cs="Arial"/>
        </w:rPr>
        <w:t xml:space="preserve"> 132 del TOCAF (antes </w:t>
      </w:r>
      <w:r>
        <w:rPr>
          <w:rFonts w:ascii="Arial" w:hAnsi="Arial" w:cs="Arial"/>
        </w:rPr>
        <w:t xml:space="preserve">Artículo </w:t>
      </w:r>
      <w:r w:rsidRPr="004A36CD">
        <w:rPr>
          <w:rFonts w:ascii="Arial" w:hAnsi="Arial" w:cs="Arial"/>
        </w:rPr>
        <w:t>114) estable</w:t>
      </w:r>
      <w:r>
        <w:rPr>
          <w:rFonts w:ascii="Arial" w:hAnsi="Arial" w:cs="Arial"/>
        </w:rPr>
        <w:t>ce</w:t>
      </w:r>
      <w:r w:rsidRPr="004A36CD">
        <w:rPr>
          <w:rFonts w:ascii="Arial" w:hAnsi="Arial" w:cs="Arial"/>
        </w:rPr>
        <w:t xml:space="preserve"> que “Todo funcionario o empleado, como así también toda </w:t>
      </w:r>
      <w:r w:rsidR="00B10FE4">
        <w:rPr>
          <w:rFonts w:ascii="Arial" w:hAnsi="Arial" w:cs="Arial"/>
        </w:rPr>
        <w:t>P</w:t>
      </w:r>
      <w:r w:rsidRPr="004A36CD">
        <w:rPr>
          <w:rFonts w:ascii="Arial" w:hAnsi="Arial" w:cs="Arial"/>
        </w:rPr>
        <w:t>ersona física o jurídica que perciba fondos en carácter de recaudador, depositario o pagador o que administre, utilice o custodie otros bienes o pertenencias del Estado, con o sin autorización legal, está obligado a rendir cuenta documentada o comprobable de su versión, utilización o gestión.</w:t>
      </w:r>
    </w:p>
    <w:p w:rsidR="00FB7DC6" w:rsidRDefault="00FB7DC6" w:rsidP="00FB7DC6">
      <w:pPr>
        <w:pStyle w:val="Prrafodelista"/>
        <w:tabs>
          <w:tab w:val="left" w:pos="426"/>
        </w:tabs>
        <w:spacing w:line="360" w:lineRule="auto"/>
        <w:ind w:left="284" w:hanging="284"/>
        <w:rPr>
          <w:rFonts w:ascii="Arial" w:hAnsi="Arial" w:cs="Arial"/>
        </w:rPr>
      </w:pPr>
      <w:r>
        <w:rPr>
          <w:rFonts w:ascii="Arial" w:hAnsi="Arial" w:cs="Arial"/>
        </w:rPr>
        <w:t xml:space="preserve">     </w:t>
      </w:r>
      <w:r w:rsidRPr="004A36CD">
        <w:rPr>
          <w:rFonts w:ascii="Arial" w:hAnsi="Arial" w:cs="Arial"/>
        </w:rPr>
        <w:t xml:space="preserve">Las rendiciones de cuentas y valores establecidas en el </w:t>
      </w:r>
      <w:r>
        <w:rPr>
          <w:rFonts w:ascii="Arial" w:hAnsi="Arial" w:cs="Arial"/>
        </w:rPr>
        <w:t>I</w:t>
      </w:r>
      <w:r w:rsidRPr="004A36CD">
        <w:rPr>
          <w:rFonts w:ascii="Arial" w:hAnsi="Arial" w:cs="Arial"/>
        </w:rPr>
        <w:t>nciso anterior</w:t>
      </w:r>
      <w:r>
        <w:rPr>
          <w:rFonts w:ascii="Arial" w:hAnsi="Arial" w:cs="Arial"/>
        </w:rPr>
        <w:t xml:space="preserve">       d</w:t>
      </w:r>
      <w:r w:rsidRPr="004A36CD">
        <w:rPr>
          <w:rFonts w:ascii="Arial" w:hAnsi="Arial" w:cs="Arial"/>
        </w:rPr>
        <w:t>eberán presentarse en un plazo de sesenta días contados</w:t>
      </w:r>
      <w:r>
        <w:rPr>
          <w:rFonts w:ascii="Arial" w:hAnsi="Arial" w:cs="Arial"/>
        </w:rPr>
        <w:t>,</w:t>
      </w:r>
      <w:r w:rsidRPr="004A36CD">
        <w:rPr>
          <w:rFonts w:ascii="Arial" w:hAnsi="Arial" w:cs="Arial"/>
        </w:rPr>
        <w:t xml:space="preserve"> a partir del</w:t>
      </w:r>
      <w:r>
        <w:rPr>
          <w:rFonts w:ascii="Arial" w:hAnsi="Arial" w:cs="Arial"/>
        </w:rPr>
        <w:t xml:space="preserve">    </w:t>
      </w:r>
      <w:r w:rsidRPr="004A36CD">
        <w:rPr>
          <w:rFonts w:ascii="Arial" w:hAnsi="Arial" w:cs="Arial"/>
        </w:rPr>
        <w:t>último día del mes en que se recibieron los fondos o valores, cualquiera sea</w:t>
      </w:r>
    </w:p>
    <w:p w:rsidR="00FB7DC6" w:rsidRPr="004A36CD" w:rsidRDefault="00FB7DC6" w:rsidP="00FB7DC6">
      <w:pPr>
        <w:pStyle w:val="Prrafodelista"/>
        <w:tabs>
          <w:tab w:val="left" w:pos="284"/>
        </w:tabs>
        <w:spacing w:line="360" w:lineRule="auto"/>
        <w:ind w:left="284" w:hanging="284"/>
        <w:rPr>
          <w:rFonts w:ascii="Arial" w:hAnsi="Arial" w:cs="Arial"/>
        </w:rPr>
      </w:pPr>
      <w:r>
        <w:rPr>
          <w:rFonts w:ascii="Arial" w:hAnsi="Arial" w:cs="Arial"/>
        </w:rPr>
        <w:t xml:space="preserve">    </w:t>
      </w:r>
      <w:proofErr w:type="gramStart"/>
      <w:r w:rsidRPr="004A36CD">
        <w:rPr>
          <w:rFonts w:ascii="Arial" w:hAnsi="Arial" w:cs="Arial"/>
        </w:rPr>
        <w:t>la</w:t>
      </w:r>
      <w:proofErr w:type="gramEnd"/>
      <w:r w:rsidRPr="004A36CD">
        <w:rPr>
          <w:rFonts w:ascii="Arial" w:hAnsi="Arial" w:cs="Arial"/>
        </w:rPr>
        <w:t xml:space="preserve"> fuente de financiación.</w:t>
      </w:r>
    </w:p>
    <w:p w:rsidR="00FB7DC6" w:rsidRDefault="00FB7DC6" w:rsidP="00FB7DC6">
      <w:pPr>
        <w:pStyle w:val="Prrafodelista"/>
        <w:tabs>
          <w:tab w:val="left" w:pos="284"/>
        </w:tabs>
        <w:spacing w:line="360" w:lineRule="auto"/>
        <w:ind w:left="284" w:hanging="284"/>
        <w:rPr>
          <w:rFonts w:ascii="Arial" w:hAnsi="Arial" w:cs="Arial"/>
        </w:rPr>
      </w:pPr>
      <w:r>
        <w:rPr>
          <w:rFonts w:ascii="Arial" w:hAnsi="Arial" w:cs="Arial"/>
        </w:rPr>
        <w:t xml:space="preserve">    </w:t>
      </w:r>
      <w:r w:rsidRPr="004A36CD">
        <w:rPr>
          <w:rFonts w:ascii="Arial" w:hAnsi="Arial" w:cs="Arial"/>
        </w:rPr>
        <w:t xml:space="preserve">La reglamentación podrá establecer otros plazos de presentación para </w:t>
      </w:r>
      <w:r>
        <w:rPr>
          <w:rFonts w:ascii="Arial" w:hAnsi="Arial" w:cs="Arial"/>
        </w:rPr>
        <w:t xml:space="preserve">casos       </w:t>
      </w:r>
    </w:p>
    <w:p w:rsidR="00FB7DC6" w:rsidRPr="004A36CD" w:rsidRDefault="00FB7DC6" w:rsidP="00FB7DC6">
      <w:pPr>
        <w:pStyle w:val="Prrafodelista"/>
        <w:tabs>
          <w:tab w:val="left" w:pos="284"/>
        </w:tabs>
        <w:spacing w:line="360" w:lineRule="auto"/>
        <w:ind w:left="284" w:hanging="284"/>
        <w:rPr>
          <w:rFonts w:ascii="Arial" w:hAnsi="Arial" w:cs="Arial"/>
        </w:rPr>
      </w:pPr>
      <w:r>
        <w:rPr>
          <w:rFonts w:ascii="Arial" w:hAnsi="Arial" w:cs="Arial"/>
        </w:rPr>
        <w:t xml:space="preserve">    </w:t>
      </w:r>
      <w:proofErr w:type="gramStart"/>
      <w:r w:rsidRPr="004A36CD">
        <w:rPr>
          <w:rFonts w:ascii="Arial" w:hAnsi="Arial" w:cs="Arial"/>
        </w:rPr>
        <w:t>determinados</w:t>
      </w:r>
      <w:proofErr w:type="gramEnd"/>
      <w:r w:rsidRPr="004A36CD">
        <w:rPr>
          <w:rFonts w:ascii="Arial" w:hAnsi="Arial" w:cs="Arial"/>
        </w:rPr>
        <w:t xml:space="preserve"> y debidamente fundados”.</w:t>
      </w:r>
    </w:p>
    <w:p w:rsidR="00FB7DC6" w:rsidRPr="004A36CD" w:rsidRDefault="00FB7DC6" w:rsidP="00FB7DC6">
      <w:pPr>
        <w:pStyle w:val="Prrafodelista"/>
        <w:tabs>
          <w:tab w:val="left" w:pos="284"/>
        </w:tabs>
        <w:spacing w:line="360" w:lineRule="auto"/>
        <w:ind w:left="1775" w:hanging="360"/>
        <w:rPr>
          <w:rFonts w:ascii="Arial" w:hAnsi="Arial" w:cs="Arial"/>
        </w:rPr>
      </w:pPr>
    </w:p>
    <w:p w:rsidR="00FB7DC6" w:rsidRPr="004A36CD" w:rsidRDefault="00FB7DC6" w:rsidP="00FB7DC6">
      <w:pPr>
        <w:pStyle w:val="Prrafodelista"/>
        <w:numPr>
          <w:ilvl w:val="0"/>
          <w:numId w:val="5"/>
        </w:numPr>
        <w:tabs>
          <w:tab w:val="left" w:pos="284"/>
        </w:tabs>
        <w:spacing w:line="360" w:lineRule="auto"/>
        <w:rPr>
          <w:rFonts w:ascii="Arial" w:hAnsi="Arial" w:cs="Arial"/>
        </w:rPr>
      </w:pPr>
      <w:r w:rsidRPr="004A36CD">
        <w:rPr>
          <w:rFonts w:ascii="Arial" w:hAnsi="Arial" w:cs="Arial"/>
        </w:rPr>
        <w:t xml:space="preserve">Expresa el </w:t>
      </w:r>
      <w:r>
        <w:rPr>
          <w:rFonts w:ascii="Arial" w:hAnsi="Arial" w:cs="Arial"/>
        </w:rPr>
        <w:t>Artículo</w:t>
      </w:r>
      <w:r w:rsidRPr="004A36CD">
        <w:rPr>
          <w:rFonts w:ascii="Arial" w:hAnsi="Arial" w:cs="Arial"/>
        </w:rPr>
        <w:t xml:space="preserve"> 133 del TOCAF (ex </w:t>
      </w:r>
      <w:r>
        <w:rPr>
          <w:rFonts w:ascii="Arial" w:hAnsi="Arial" w:cs="Arial"/>
        </w:rPr>
        <w:t>Artículo</w:t>
      </w:r>
      <w:r w:rsidRPr="004A36CD">
        <w:rPr>
          <w:rFonts w:ascii="Arial" w:hAnsi="Arial" w:cs="Arial"/>
        </w:rPr>
        <w:t xml:space="preserve"> 115): “Los descargos en cuentas de fondos y valores se efectuarán según lo establezca el Tribunal de Cuentas mediante </w:t>
      </w:r>
      <w:r w:rsidR="00B10FE4">
        <w:rPr>
          <w:rFonts w:ascii="Arial" w:hAnsi="Arial" w:cs="Arial"/>
        </w:rPr>
        <w:t>O</w:t>
      </w:r>
      <w:r w:rsidRPr="004A36CD">
        <w:rPr>
          <w:rFonts w:ascii="Arial" w:hAnsi="Arial" w:cs="Arial"/>
        </w:rPr>
        <w:t>rdenanzas”.</w:t>
      </w:r>
    </w:p>
    <w:p w:rsidR="00FB7DC6" w:rsidRPr="004A36CD" w:rsidRDefault="00FB7DC6" w:rsidP="00FB7DC6">
      <w:pPr>
        <w:pStyle w:val="Prrafodelista"/>
        <w:tabs>
          <w:tab w:val="left" w:pos="284"/>
        </w:tabs>
        <w:spacing w:line="360" w:lineRule="auto"/>
        <w:ind w:left="1775" w:hanging="360"/>
        <w:rPr>
          <w:rFonts w:ascii="Arial" w:hAnsi="Arial" w:cs="Arial"/>
        </w:rPr>
      </w:pPr>
    </w:p>
    <w:p w:rsidR="00FB7DC6" w:rsidRPr="004A36CD" w:rsidRDefault="00FB7DC6" w:rsidP="00FB7DC6">
      <w:pPr>
        <w:pStyle w:val="Prrafodelista"/>
        <w:numPr>
          <w:ilvl w:val="0"/>
          <w:numId w:val="5"/>
        </w:numPr>
        <w:tabs>
          <w:tab w:val="left" w:pos="284"/>
        </w:tabs>
        <w:spacing w:line="360" w:lineRule="auto"/>
        <w:rPr>
          <w:rFonts w:ascii="Arial" w:hAnsi="Arial" w:cs="Arial"/>
        </w:rPr>
      </w:pPr>
      <w:r w:rsidRPr="004A36CD">
        <w:rPr>
          <w:rFonts w:ascii="Arial" w:hAnsi="Arial" w:cs="Arial"/>
        </w:rPr>
        <w:t xml:space="preserve">Ordenanza Nº 77 del Tribunal de Cuentas: en referencia al mecanismo, tal cual surge del transcripto </w:t>
      </w:r>
      <w:r>
        <w:rPr>
          <w:rFonts w:ascii="Arial" w:hAnsi="Arial" w:cs="Arial"/>
        </w:rPr>
        <w:t>Artículo</w:t>
      </w:r>
      <w:r w:rsidRPr="004A36CD">
        <w:rPr>
          <w:rFonts w:ascii="Arial" w:hAnsi="Arial" w:cs="Arial"/>
        </w:rPr>
        <w:t xml:space="preserve"> 133 del TOCAF, el mismo es el establecido por el Tribunal de Cuentas, mediante esta Ordenanza de 29 de diciembre de 1999.</w:t>
      </w:r>
    </w:p>
    <w:p w:rsidR="00FB7DC6" w:rsidRPr="004A36CD" w:rsidRDefault="00FB7DC6" w:rsidP="00FB7DC6">
      <w:pPr>
        <w:pStyle w:val="Prrafodelista"/>
        <w:tabs>
          <w:tab w:val="left" w:pos="284"/>
        </w:tabs>
        <w:spacing w:line="360" w:lineRule="auto"/>
        <w:ind w:left="1055" w:hanging="993"/>
        <w:rPr>
          <w:rFonts w:ascii="Arial" w:hAnsi="Arial" w:cs="Arial"/>
        </w:rPr>
      </w:pPr>
    </w:p>
    <w:p w:rsidR="00FB7DC6" w:rsidRPr="00CD5A65" w:rsidRDefault="00FB7DC6" w:rsidP="00CD5A65">
      <w:pPr>
        <w:pStyle w:val="Prrafodelista"/>
        <w:numPr>
          <w:ilvl w:val="2"/>
          <w:numId w:val="2"/>
        </w:numPr>
        <w:tabs>
          <w:tab w:val="left" w:pos="284"/>
          <w:tab w:val="left" w:pos="1560"/>
        </w:tabs>
        <w:spacing w:line="360" w:lineRule="auto"/>
        <w:ind w:left="709" w:hanging="709"/>
        <w:rPr>
          <w:rFonts w:ascii="Arial" w:hAnsi="Arial" w:cs="Arial"/>
          <w:b/>
        </w:rPr>
      </w:pPr>
      <w:r w:rsidRPr="00CD5A65">
        <w:rPr>
          <w:rFonts w:ascii="Arial" w:hAnsi="Arial" w:cs="Arial"/>
          <w:b/>
        </w:rPr>
        <w:lastRenderedPageBreak/>
        <w:t>Constataciones</w:t>
      </w:r>
    </w:p>
    <w:p w:rsidR="00FB7DC6" w:rsidRPr="004A36CD" w:rsidRDefault="00FB7DC6" w:rsidP="00FB7DC6">
      <w:pPr>
        <w:pStyle w:val="Prrafodelista"/>
        <w:tabs>
          <w:tab w:val="left" w:pos="284"/>
        </w:tabs>
        <w:spacing w:line="360" w:lineRule="auto"/>
        <w:ind w:left="1055" w:hanging="993"/>
        <w:rPr>
          <w:rFonts w:ascii="Arial" w:hAnsi="Arial" w:cs="Arial"/>
        </w:rPr>
      </w:pPr>
    </w:p>
    <w:p w:rsidR="00FB7DC6" w:rsidRPr="004A36CD" w:rsidRDefault="00FB7DC6" w:rsidP="00FB7DC6">
      <w:pPr>
        <w:pStyle w:val="Prrafodelista"/>
        <w:numPr>
          <w:ilvl w:val="0"/>
          <w:numId w:val="3"/>
        </w:numPr>
        <w:tabs>
          <w:tab w:val="left" w:pos="284"/>
        </w:tabs>
        <w:spacing w:line="360" w:lineRule="auto"/>
        <w:ind w:left="284" w:hanging="284"/>
        <w:rPr>
          <w:rFonts w:ascii="Arial" w:hAnsi="Arial" w:cs="Arial"/>
        </w:rPr>
      </w:pPr>
      <w:r w:rsidRPr="004A36CD">
        <w:rPr>
          <w:rFonts w:ascii="Arial" w:hAnsi="Arial" w:cs="Arial"/>
        </w:rPr>
        <w:t>Comenzadas las tareas de auditoría se constató que el  Reglamento Interno de DASE no exigía la presentación de las rendiciones de cuentas de los viáticos abonados a sus funcionarios.</w:t>
      </w:r>
    </w:p>
    <w:p w:rsidR="00FB7DC6" w:rsidRPr="004A36CD" w:rsidRDefault="00FB7DC6" w:rsidP="00FB7DC6">
      <w:pPr>
        <w:pStyle w:val="Prrafodelista"/>
        <w:tabs>
          <w:tab w:val="left" w:pos="284"/>
        </w:tabs>
        <w:spacing w:line="360" w:lineRule="auto"/>
        <w:ind w:left="284" w:hanging="284"/>
        <w:rPr>
          <w:rFonts w:ascii="Arial" w:hAnsi="Arial" w:cs="Arial"/>
        </w:rPr>
      </w:pPr>
    </w:p>
    <w:p w:rsidR="00FB7DC6" w:rsidRPr="004A36CD" w:rsidRDefault="00FB7DC6" w:rsidP="00FB7DC6">
      <w:pPr>
        <w:pStyle w:val="Prrafodelista"/>
        <w:numPr>
          <w:ilvl w:val="0"/>
          <w:numId w:val="3"/>
        </w:numPr>
        <w:tabs>
          <w:tab w:val="left" w:pos="284"/>
        </w:tabs>
        <w:spacing w:line="360" w:lineRule="auto"/>
        <w:ind w:left="284" w:hanging="284"/>
        <w:rPr>
          <w:rFonts w:ascii="Arial" w:hAnsi="Arial" w:cs="Arial"/>
        </w:rPr>
      </w:pPr>
      <w:r w:rsidRPr="004A36CD">
        <w:rPr>
          <w:rFonts w:ascii="Arial" w:hAnsi="Arial" w:cs="Arial"/>
        </w:rPr>
        <w:t>Como consecuencia de ello, los funcionarios no rendían cuenta de las partidas percibidas por concepto de viáticos.</w:t>
      </w:r>
    </w:p>
    <w:p w:rsidR="00FB7DC6" w:rsidRPr="004A36CD" w:rsidRDefault="00FB7DC6" w:rsidP="00FB7DC6">
      <w:pPr>
        <w:pStyle w:val="Prrafodelista"/>
        <w:tabs>
          <w:tab w:val="left" w:pos="284"/>
        </w:tabs>
        <w:ind w:left="284" w:hanging="284"/>
        <w:rPr>
          <w:rFonts w:ascii="Arial" w:hAnsi="Arial" w:cs="Arial"/>
        </w:rPr>
      </w:pPr>
    </w:p>
    <w:p w:rsidR="00FB7DC6" w:rsidRPr="004A36CD" w:rsidRDefault="00FB7DC6" w:rsidP="00FB7DC6">
      <w:pPr>
        <w:pStyle w:val="Prrafodelista"/>
        <w:numPr>
          <w:ilvl w:val="0"/>
          <w:numId w:val="3"/>
        </w:numPr>
        <w:tabs>
          <w:tab w:val="left" w:pos="284"/>
        </w:tabs>
        <w:spacing w:line="360" w:lineRule="auto"/>
        <w:ind w:left="284" w:hanging="284"/>
        <w:rPr>
          <w:rFonts w:ascii="Arial" w:hAnsi="Arial" w:cs="Arial"/>
        </w:rPr>
      </w:pPr>
      <w:r w:rsidRPr="004A36CD">
        <w:rPr>
          <w:rFonts w:ascii="Arial" w:hAnsi="Arial" w:cs="Arial"/>
        </w:rPr>
        <w:t>A esta situación se agregaba el hecho de que, por esas partidas no sujetas a rendición de cuentas, la administración no realizaba los aportes previsionales legales.</w:t>
      </w:r>
    </w:p>
    <w:p w:rsidR="00FB7DC6" w:rsidRPr="004A36CD" w:rsidRDefault="00FB7DC6" w:rsidP="00FB7DC6">
      <w:pPr>
        <w:pStyle w:val="Prrafodelista"/>
        <w:tabs>
          <w:tab w:val="left" w:pos="284"/>
        </w:tabs>
        <w:ind w:left="284" w:hanging="284"/>
        <w:rPr>
          <w:rFonts w:ascii="Arial" w:hAnsi="Arial" w:cs="Arial"/>
        </w:rPr>
      </w:pPr>
    </w:p>
    <w:p w:rsidR="00FB7DC6" w:rsidRPr="004A36CD" w:rsidRDefault="00FB7DC6" w:rsidP="00FB7DC6">
      <w:pPr>
        <w:pStyle w:val="Prrafodelista"/>
        <w:numPr>
          <w:ilvl w:val="0"/>
          <w:numId w:val="3"/>
        </w:numPr>
        <w:tabs>
          <w:tab w:val="left" w:pos="284"/>
        </w:tabs>
        <w:spacing w:line="360" w:lineRule="auto"/>
        <w:ind w:left="284" w:hanging="284"/>
        <w:rPr>
          <w:rFonts w:ascii="Arial" w:hAnsi="Arial" w:cs="Arial"/>
        </w:rPr>
      </w:pPr>
      <w:r w:rsidRPr="004A36CD">
        <w:rPr>
          <w:rFonts w:ascii="Arial" w:hAnsi="Arial" w:cs="Arial"/>
        </w:rPr>
        <w:t xml:space="preserve">Informada las autoridades del INAU de esta situación, dictaron la Circular </w:t>
      </w:r>
      <w:r>
        <w:rPr>
          <w:rFonts w:ascii="Arial" w:hAnsi="Arial" w:cs="Arial"/>
        </w:rPr>
        <w:t xml:space="preserve">    </w:t>
      </w:r>
      <w:r w:rsidRPr="004A36CD">
        <w:rPr>
          <w:rFonts w:ascii="Arial" w:hAnsi="Arial" w:cs="Arial"/>
        </w:rPr>
        <w:t xml:space="preserve">Nº 30.423 que dispuso el nuevo Reglamento de Viáticos. </w:t>
      </w:r>
    </w:p>
    <w:p w:rsidR="00FB7DC6" w:rsidRPr="004A36CD" w:rsidRDefault="00FB7DC6" w:rsidP="00FB7DC6">
      <w:pPr>
        <w:pStyle w:val="Prrafodelista"/>
        <w:tabs>
          <w:tab w:val="left" w:pos="284"/>
        </w:tabs>
        <w:spacing w:line="360" w:lineRule="auto"/>
        <w:ind w:left="284" w:hanging="284"/>
        <w:rPr>
          <w:rFonts w:ascii="Arial" w:hAnsi="Arial" w:cs="Arial"/>
        </w:rPr>
      </w:pPr>
      <w:r>
        <w:rPr>
          <w:rFonts w:ascii="Arial" w:hAnsi="Arial" w:cs="Arial"/>
        </w:rPr>
        <w:t xml:space="preserve">    </w:t>
      </w:r>
      <w:r w:rsidRPr="004A36CD">
        <w:rPr>
          <w:rFonts w:ascii="Arial" w:hAnsi="Arial" w:cs="Arial"/>
        </w:rPr>
        <w:t>En el nuevo Reglamento de Viáticos se contempla la realización de aportes legales a la Seguridad Social y a considerar para el cálculo del I</w:t>
      </w:r>
      <w:r>
        <w:rPr>
          <w:rFonts w:ascii="Arial" w:hAnsi="Arial" w:cs="Arial"/>
        </w:rPr>
        <w:t>mpuesto a las Rentas a las Personas Físicas</w:t>
      </w:r>
      <w:r w:rsidRPr="004A36CD">
        <w:rPr>
          <w:rFonts w:ascii="Arial" w:hAnsi="Arial" w:cs="Arial"/>
        </w:rPr>
        <w:t>, las partidas de viáticos entregados a los funcionarios no sujetas a rendición de cuentas. (Ver punto 3.1.1.)</w:t>
      </w:r>
    </w:p>
    <w:p w:rsidR="00FB7DC6" w:rsidRPr="004A36CD" w:rsidRDefault="00FB7DC6" w:rsidP="00FB7DC6">
      <w:pPr>
        <w:pStyle w:val="Prrafodelista"/>
        <w:tabs>
          <w:tab w:val="left" w:pos="284"/>
        </w:tabs>
        <w:ind w:hanging="993"/>
        <w:rPr>
          <w:rFonts w:ascii="Arial" w:hAnsi="Arial" w:cs="Arial"/>
        </w:rPr>
      </w:pPr>
    </w:p>
    <w:p w:rsidR="00FB7DC6" w:rsidRPr="00CD5A65" w:rsidRDefault="00FB7DC6" w:rsidP="00CD5A65">
      <w:pPr>
        <w:numPr>
          <w:ilvl w:val="1"/>
          <w:numId w:val="2"/>
        </w:numPr>
        <w:tabs>
          <w:tab w:val="left" w:pos="284"/>
        </w:tabs>
        <w:spacing w:line="360" w:lineRule="auto"/>
        <w:ind w:left="567" w:hanging="567"/>
        <w:rPr>
          <w:rFonts w:ascii="Arial" w:hAnsi="Arial" w:cs="Arial"/>
          <w:b/>
          <w:lang w:val="es-ES"/>
        </w:rPr>
      </w:pPr>
      <w:r w:rsidRPr="00CD5A65">
        <w:rPr>
          <w:rFonts w:ascii="Arial" w:hAnsi="Arial" w:cs="Arial"/>
          <w:b/>
          <w:lang w:val="es-ES"/>
        </w:rPr>
        <w:t xml:space="preserve">Incumplimiento </w:t>
      </w:r>
      <w:r w:rsidR="00CD5A65">
        <w:rPr>
          <w:rFonts w:ascii="Arial" w:hAnsi="Arial" w:cs="Arial"/>
          <w:b/>
          <w:lang w:val="es-ES"/>
        </w:rPr>
        <w:t>A</w:t>
      </w:r>
      <w:r w:rsidRPr="00CD5A65">
        <w:rPr>
          <w:rFonts w:ascii="Arial" w:hAnsi="Arial" w:cs="Arial"/>
          <w:b/>
          <w:lang w:val="es-ES"/>
        </w:rPr>
        <w:t>rtículo 16 del TOCAF</w:t>
      </w:r>
    </w:p>
    <w:p w:rsidR="00FB7DC6" w:rsidRPr="00CD5A65" w:rsidRDefault="00FB7DC6" w:rsidP="00CD5A65">
      <w:pPr>
        <w:pStyle w:val="Prrafodelista"/>
        <w:tabs>
          <w:tab w:val="left" w:pos="284"/>
        </w:tabs>
        <w:spacing w:line="360" w:lineRule="auto"/>
        <w:ind w:left="567" w:hanging="567"/>
        <w:rPr>
          <w:rFonts w:ascii="Arial" w:hAnsi="Arial" w:cs="Arial"/>
          <w:b/>
        </w:rPr>
      </w:pPr>
    </w:p>
    <w:p w:rsidR="00FB7DC6" w:rsidRPr="00CD5A65" w:rsidRDefault="00FB7DC6" w:rsidP="00CD5A65">
      <w:pPr>
        <w:pStyle w:val="Prrafodelista"/>
        <w:numPr>
          <w:ilvl w:val="2"/>
          <w:numId w:val="2"/>
        </w:numPr>
        <w:tabs>
          <w:tab w:val="left" w:pos="284"/>
          <w:tab w:val="left" w:pos="567"/>
        </w:tabs>
        <w:spacing w:line="360" w:lineRule="auto"/>
        <w:ind w:left="567" w:hanging="567"/>
        <w:rPr>
          <w:rFonts w:ascii="Arial" w:hAnsi="Arial" w:cs="Arial"/>
          <w:b/>
        </w:rPr>
      </w:pPr>
      <w:r w:rsidRPr="00CD5A65">
        <w:rPr>
          <w:rFonts w:ascii="Arial" w:hAnsi="Arial" w:cs="Arial"/>
          <w:b/>
        </w:rPr>
        <w:t>Antecedentes</w:t>
      </w:r>
    </w:p>
    <w:p w:rsidR="00FB7DC6" w:rsidRPr="004A36CD" w:rsidRDefault="00FB7DC6" w:rsidP="00FB7DC6">
      <w:pPr>
        <w:pStyle w:val="Prrafodelista"/>
        <w:tabs>
          <w:tab w:val="left" w:pos="284"/>
        </w:tabs>
        <w:spacing w:line="360" w:lineRule="auto"/>
        <w:ind w:left="1055" w:hanging="993"/>
        <w:rPr>
          <w:rFonts w:ascii="Arial" w:hAnsi="Arial" w:cs="Arial"/>
        </w:rPr>
      </w:pPr>
    </w:p>
    <w:p w:rsidR="00FB7DC6" w:rsidRDefault="00FB7DC6" w:rsidP="00FB7DC6">
      <w:pPr>
        <w:pStyle w:val="Prrafodelista"/>
        <w:numPr>
          <w:ilvl w:val="0"/>
          <w:numId w:val="5"/>
        </w:numPr>
        <w:tabs>
          <w:tab w:val="left" w:pos="284"/>
        </w:tabs>
        <w:spacing w:line="360" w:lineRule="auto"/>
        <w:rPr>
          <w:rFonts w:ascii="Arial" w:hAnsi="Arial" w:cs="Arial"/>
        </w:rPr>
      </w:pPr>
      <w:r w:rsidRPr="004A36CD">
        <w:rPr>
          <w:rFonts w:ascii="Arial" w:hAnsi="Arial" w:cs="Arial"/>
        </w:rPr>
        <w:t xml:space="preserve">El </w:t>
      </w:r>
      <w:r>
        <w:rPr>
          <w:rFonts w:ascii="Arial" w:hAnsi="Arial" w:cs="Arial"/>
        </w:rPr>
        <w:t>Artículo</w:t>
      </w:r>
      <w:r w:rsidRPr="004A36CD">
        <w:rPr>
          <w:rFonts w:ascii="Arial" w:hAnsi="Arial" w:cs="Arial"/>
        </w:rPr>
        <w:t xml:space="preserve"> 16 del TOCAF establece, con respecto “De los Gastos – De los compromisos”, que: “Los créditos no podrán destinarse a finalidad u objeto que no sean los anunciados en la asignación respectiva”.</w:t>
      </w:r>
    </w:p>
    <w:p w:rsidR="0056312F" w:rsidRPr="004A36CD" w:rsidRDefault="0056312F" w:rsidP="0056312F">
      <w:pPr>
        <w:pStyle w:val="Prrafodelista"/>
        <w:tabs>
          <w:tab w:val="left" w:pos="284"/>
        </w:tabs>
        <w:spacing w:line="360" w:lineRule="auto"/>
        <w:ind w:left="360"/>
        <w:rPr>
          <w:rFonts w:ascii="Arial" w:hAnsi="Arial" w:cs="Arial"/>
        </w:rPr>
      </w:pPr>
    </w:p>
    <w:p w:rsidR="00FB7DC6" w:rsidRPr="004A36CD" w:rsidRDefault="00FB7DC6" w:rsidP="00FB7DC6">
      <w:pPr>
        <w:pStyle w:val="Prrafodelista"/>
        <w:numPr>
          <w:ilvl w:val="0"/>
          <w:numId w:val="5"/>
        </w:numPr>
        <w:tabs>
          <w:tab w:val="left" w:pos="284"/>
        </w:tabs>
        <w:spacing w:line="360" w:lineRule="auto"/>
        <w:rPr>
          <w:rFonts w:ascii="Arial" w:hAnsi="Arial" w:cs="Arial"/>
        </w:rPr>
      </w:pPr>
      <w:r w:rsidRPr="004A36CD">
        <w:rPr>
          <w:rFonts w:ascii="Arial" w:hAnsi="Arial" w:cs="Arial"/>
        </w:rPr>
        <w:t>La Cooperativa Social de Atención Personalizada (COAP) presta el servicio de “</w:t>
      </w:r>
      <w:r w:rsidR="00B10FE4">
        <w:rPr>
          <w:rFonts w:ascii="Arial" w:hAnsi="Arial" w:cs="Arial"/>
        </w:rPr>
        <w:t>E</w:t>
      </w:r>
      <w:r w:rsidRPr="004A36CD">
        <w:rPr>
          <w:rFonts w:ascii="Arial" w:hAnsi="Arial" w:cs="Arial"/>
        </w:rPr>
        <w:t xml:space="preserve">ducadores” mientras que en la Resolución de Contratación se expone </w:t>
      </w:r>
      <w:r w:rsidRPr="004A36CD">
        <w:rPr>
          <w:rFonts w:ascii="Arial" w:hAnsi="Arial" w:cs="Arial"/>
        </w:rPr>
        <w:lastRenderedPageBreak/>
        <w:t>que se contratan tareas de costura, cocina y auxiliar de enfermería, entre otras. (Ver punto 2.5.)</w:t>
      </w:r>
    </w:p>
    <w:p w:rsidR="00FB7DC6" w:rsidRPr="004A36CD" w:rsidRDefault="00FB7DC6" w:rsidP="00FB7DC6">
      <w:pPr>
        <w:pStyle w:val="Prrafodelista"/>
        <w:tabs>
          <w:tab w:val="left" w:pos="284"/>
        </w:tabs>
        <w:spacing w:line="360" w:lineRule="auto"/>
        <w:ind w:left="1055" w:hanging="360"/>
        <w:rPr>
          <w:rFonts w:ascii="Arial" w:hAnsi="Arial" w:cs="Arial"/>
        </w:rPr>
      </w:pPr>
    </w:p>
    <w:p w:rsidR="00FB7DC6" w:rsidRPr="00CD5A65" w:rsidRDefault="00FB7DC6" w:rsidP="00FB7DC6">
      <w:pPr>
        <w:pStyle w:val="Prrafodelista"/>
        <w:numPr>
          <w:ilvl w:val="2"/>
          <w:numId w:val="2"/>
        </w:numPr>
        <w:tabs>
          <w:tab w:val="left" w:pos="284"/>
          <w:tab w:val="left" w:pos="1560"/>
        </w:tabs>
        <w:spacing w:line="360" w:lineRule="auto"/>
        <w:ind w:left="851" w:hanging="851"/>
        <w:rPr>
          <w:rFonts w:ascii="Arial" w:hAnsi="Arial" w:cs="Arial"/>
          <w:b/>
        </w:rPr>
      </w:pPr>
      <w:r w:rsidRPr="00CD5A65">
        <w:rPr>
          <w:rFonts w:ascii="Arial" w:hAnsi="Arial" w:cs="Arial"/>
          <w:b/>
        </w:rPr>
        <w:t>Constataciones</w:t>
      </w:r>
    </w:p>
    <w:p w:rsidR="00FB7DC6" w:rsidRPr="004A36CD" w:rsidRDefault="00FB7DC6" w:rsidP="00FB7DC6">
      <w:pPr>
        <w:pStyle w:val="Prrafodelista"/>
        <w:tabs>
          <w:tab w:val="left" w:pos="284"/>
        </w:tabs>
        <w:spacing w:line="360" w:lineRule="auto"/>
        <w:ind w:left="1055" w:hanging="993"/>
        <w:rPr>
          <w:rFonts w:ascii="Arial" w:hAnsi="Arial" w:cs="Arial"/>
        </w:rPr>
      </w:pPr>
    </w:p>
    <w:p w:rsidR="00FB7DC6" w:rsidRPr="004A36CD" w:rsidRDefault="00FB7DC6" w:rsidP="00FB7DC6">
      <w:pPr>
        <w:pStyle w:val="Prrafodelista"/>
        <w:spacing w:line="360" w:lineRule="auto"/>
        <w:ind w:left="0"/>
        <w:rPr>
          <w:rFonts w:ascii="Arial" w:hAnsi="Arial" w:cs="Arial"/>
        </w:rPr>
      </w:pPr>
      <w:r w:rsidRPr="004A36CD">
        <w:rPr>
          <w:rFonts w:ascii="Arial" w:hAnsi="Arial" w:cs="Arial"/>
        </w:rPr>
        <w:t>Las contrataciones a la Cooperativa Social de Atención Personalizada (COAP) no encuadran dentro de los objetos implícitos en la forma jurídica.</w:t>
      </w:r>
    </w:p>
    <w:p w:rsidR="00FB7DC6" w:rsidRDefault="00FB7DC6" w:rsidP="00FB7DC6">
      <w:pPr>
        <w:pStyle w:val="Prrafodelista"/>
        <w:spacing w:line="360" w:lineRule="auto"/>
        <w:ind w:left="0"/>
        <w:rPr>
          <w:rFonts w:ascii="Arial" w:hAnsi="Arial" w:cs="Arial"/>
        </w:rPr>
      </w:pPr>
      <w:r w:rsidRPr="004A36CD">
        <w:rPr>
          <w:rFonts w:ascii="Arial" w:hAnsi="Arial" w:cs="Arial"/>
        </w:rPr>
        <w:t xml:space="preserve">No se ha podido verificar que el INAU controle, para cada </w:t>
      </w:r>
      <w:r>
        <w:rPr>
          <w:rFonts w:ascii="Arial" w:hAnsi="Arial" w:cs="Arial"/>
        </w:rPr>
        <w:t>C</w:t>
      </w:r>
      <w:r w:rsidRPr="004A36CD">
        <w:rPr>
          <w:rFonts w:ascii="Arial" w:hAnsi="Arial" w:cs="Arial"/>
        </w:rPr>
        <w:t xml:space="preserve">ooperativa y para cada servicio cubierto, si existe o no relación de dependencia con el </w:t>
      </w:r>
      <w:r>
        <w:rPr>
          <w:rFonts w:ascii="Arial" w:hAnsi="Arial" w:cs="Arial"/>
        </w:rPr>
        <w:t>O</w:t>
      </w:r>
      <w:r w:rsidRPr="004A36CD">
        <w:rPr>
          <w:rFonts w:ascii="Arial" w:hAnsi="Arial" w:cs="Arial"/>
        </w:rPr>
        <w:t>rganismo, ya que, por las funciones asignadas y la modalidad de cumplimiento del servicio, los cooperativistas contratados podrían calificar como funcionarios públicos de hecho y derecho. Debe tenerse presente, que las tareas asignadas no son delegables. (Ver punto 3.2.4.)</w:t>
      </w:r>
    </w:p>
    <w:p w:rsidR="006D423E" w:rsidRDefault="006D423E" w:rsidP="00FB7DC6">
      <w:pPr>
        <w:pStyle w:val="Prrafodelista"/>
        <w:spacing w:line="360" w:lineRule="auto"/>
        <w:ind w:left="0"/>
        <w:rPr>
          <w:rFonts w:ascii="Arial" w:hAnsi="Arial" w:cs="Arial"/>
        </w:rPr>
      </w:pPr>
    </w:p>
    <w:p w:rsidR="00FB7DC6" w:rsidRDefault="00CF7B56" w:rsidP="00CD5A65">
      <w:pPr>
        <w:numPr>
          <w:ilvl w:val="1"/>
          <w:numId w:val="2"/>
        </w:numPr>
        <w:tabs>
          <w:tab w:val="left" w:pos="284"/>
        </w:tabs>
        <w:spacing w:line="360" w:lineRule="auto"/>
        <w:ind w:left="709" w:hanging="709"/>
        <w:rPr>
          <w:rFonts w:ascii="Arial" w:hAnsi="Arial" w:cs="Arial"/>
          <w:b/>
          <w:lang w:val="es-ES"/>
        </w:rPr>
      </w:pPr>
      <w:r>
        <w:rPr>
          <w:rFonts w:ascii="Arial" w:hAnsi="Arial" w:cs="Arial"/>
          <w:b/>
          <w:lang w:val="es-ES"/>
        </w:rPr>
        <w:t>I</w:t>
      </w:r>
      <w:r w:rsidR="00FB7DC6" w:rsidRPr="00CD5A65">
        <w:rPr>
          <w:rFonts w:ascii="Arial" w:hAnsi="Arial" w:cs="Arial"/>
          <w:b/>
          <w:lang w:val="es-ES"/>
        </w:rPr>
        <w:t>ncumplimiento artículo 48 del Decreto Nº 148/007 y Resolución de la Dirección General Impositiva (DGI) Nº 662/007, Numeral 47)</w:t>
      </w:r>
    </w:p>
    <w:p w:rsidR="005A54ED" w:rsidRPr="00CD5A65" w:rsidRDefault="005A54ED" w:rsidP="005A54ED">
      <w:pPr>
        <w:tabs>
          <w:tab w:val="left" w:pos="284"/>
        </w:tabs>
        <w:spacing w:line="360" w:lineRule="auto"/>
        <w:ind w:left="709"/>
        <w:rPr>
          <w:rFonts w:ascii="Arial" w:hAnsi="Arial" w:cs="Arial"/>
          <w:b/>
          <w:lang w:val="es-ES"/>
        </w:rPr>
      </w:pPr>
    </w:p>
    <w:p w:rsidR="00FB7DC6" w:rsidRPr="00CD5A65" w:rsidRDefault="00FB7DC6" w:rsidP="00FB7DC6">
      <w:pPr>
        <w:pStyle w:val="Prrafodelista"/>
        <w:numPr>
          <w:ilvl w:val="2"/>
          <w:numId w:val="2"/>
        </w:numPr>
        <w:tabs>
          <w:tab w:val="left" w:pos="284"/>
          <w:tab w:val="left" w:pos="1560"/>
        </w:tabs>
        <w:spacing w:line="360" w:lineRule="auto"/>
        <w:ind w:left="709" w:hanging="709"/>
        <w:rPr>
          <w:rFonts w:ascii="Arial" w:hAnsi="Arial" w:cs="Arial"/>
          <w:b/>
        </w:rPr>
      </w:pPr>
      <w:r w:rsidRPr="00CD5A65">
        <w:rPr>
          <w:rFonts w:ascii="Arial" w:hAnsi="Arial" w:cs="Arial"/>
          <w:b/>
        </w:rPr>
        <w:t>Antecedentes</w:t>
      </w:r>
    </w:p>
    <w:p w:rsidR="00FB7DC6" w:rsidRPr="004A36CD" w:rsidRDefault="00FB7DC6" w:rsidP="00FB7DC6">
      <w:pPr>
        <w:pStyle w:val="Prrafodelista"/>
        <w:tabs>
          <w:tab w:val="left" w:pos="284"/>
        </w:tabs>
        <w:spacing w:line="360" w:lineRule="auto"/>
        <w:ind w:left="1416" w:hanging="993"/>
        <w:rPr>
          <w:rFonts w:ascii="Arial" w:hAnsi="Arial" w:cs="Arial"/>
        </w:rPr>
      </w:pPr>
    </w:p>
    <w:p w:rsidR="00FB7DC6" w:rsidRPr="004A36CD" w:rsidRDefault="00FB7DC6" w:rsidP="00FB7DC6">
      <w:pPr>
        <w:pStyle w:val="Prrafodelista"/>
        <w:numPr>
          <w:ilvl w:val="0"/>
          <w:numId w:val="5"/>
        </w:numPr>
        <w:tabs>
          <w:tab w:val="left" w:pos="284"/>
        </w:tabs>
        <w:spacing w:line="360" w:lineRule="auto"/>
        <w:rPr>
          <w:rFonts w:ascii="Arial" w:hAnsi="Arial" w:cs="Arial"/>
        </w:rPr>
      </w:pPr>
      <w:r w:rsidRPr="004A36CD">
        <w:rPr>
          <w:rFonts w:ascii="Arial" w:hAnsi="Arial" w:cs="Arial"/>
        </w:rPr>
        <w:t xml:space="preserve">El Decreto Nº 148/007, “Impuesto a la Personas Físicas (IRPF)”, en su </w:t>
      </w:r>
      <w:r>
        <w:rPr>
          <w:rFonts w:ascii="Arial" w:hAnsi="Arial" w:cs="Arial"/>
        </w:rPr>
        <w:t xml:space="preserve">Artículo </w:t>
      </w:r>
      <w:r w:rsidRPr="004A36CD">
        <w:rPr>
          <w:rFonts w:ascii="Arial" w:hAnsi="Arial" w:cs="Arial"/>
        </w:rPr>
        <w:t>48 “Rentas de Trabajo en relación de dependencia” establece: “Estas rentas estarán constituidas por los ingresos, regulares o extraordinarios, en dinero o en especie, que generen los contribuyentes por su actividad personal en relación de dependencia o en ocasión de la misma. Se consideran comprendidas en este artículo, las partidas retributivas, las indemnizatorias y los viáticos sin rendición de cuentas que tengan el referido nexo causal,”.</w:t>
      </w:r>
    </w:p>
    <w:p w:rsidR="00FB7DC6" w:rsidRPr="004A36CD" w:rsidRDefault="00FB7DC6" w:rsidP="00FB7DC6">
      <w:pPr>
        <w:pStyle w:val="Prrafodelista"/>
        <w:tabs>
          <w:tab w:val="left" w:pos="284"/>
        </w:tabs>
        <w:spacing w:line="360" w:lineRule="auto"/>
        <w:ind w:left="1775" w:hanging="993"/>
        <w:rPr>
          <w:rFonts w:ascii="Arial" w:hAnsi="Arial" w:cs="Arial"/>
        </w:rPr>
      </w:pPr>
    </w:p>
    <w:p w:rsidR="00FB7DC6" w:rsidRPr="004A36CD" w:rsidRDefault="00FB7DC6" w:rsidP="00FB7DC6">
      <w:pPr>
        <w:pStyle w:val="Prrafodelista"/>
        <w:numPr>
          <w:ilvl w:val="0"/>
          <w:numId w:val="5"/>
        </w:numPr>
        <w:tabs>
          <w:tab w:val="left" w:pos="284"/>
        </w:tabs>
        <w:spacing w:line="360" w:lineRule="auto"/>
        <w:rPr>
          <w:rFonts w:ascii="Arial" w:hAnsi="Arial" w:cs="Arial"/>
        </w:rPr>
      </w:pPr>
      <w:r w:rsidRPr="004A36CD">
        <w:rPr>
          <w:rFonts w:ascii="Arial" w:hAnsi="Arial" w:cs="Arial"/>
        </w:rPr>
        <w:lastRenderedPageBreak/>
        <w:t>La Resolución de la DGI Nº 662/007, en su Numeral 47</w:t>
      </w:r>
      <w:r>
        <w:rPr>
          <w:rFonts w:ascii="Arial" w:hAnsi="Arial" w:cs="Arial"/>
        </w:rPr>
        <w:t>)</w:t>
      </w:r>
      <w:r w:rsidRPr="004A36CD">
        <w:rPr>
          <w:rFonts w:ascii="Arial" w:hAnsi="Arial" w:cs="Arial"/>
        </w:rPr>
        <w:t>, establece el criterio general para las partidas otorgadas en especie, en el caso de las rentas correspondientes a servicios prestados en relación de dependencia.</w:t>
      </w:r>
    </w:p>
    <w:p w:rsidR="00FB7DC6" w:rsidRDefault="00FB7DC6" w:rsidP="00FB7DC6">
      <w:pPr>
        <w:pStyle w:val="Prrafodelista"/>
        <w:tabs>
          <w:tab w:val="left" w:pos="284"/>
        </w:tabs>
        <w:spacing w:line="360" w:lineRule="auto"/>
        <w:ind w:left="1775" w:hanging="993"/>
        <w:rPr>
          <w:rFonts w:ascii="Arial" w:hAnsi="Arial" w:cs="Arial"/>
        </w:rPr>
      </w:pPr>
    </w:p>
    <w:p w:rsidR="00FB7DC6" w:rsidRPr="00CD5A65" w:rsidRDefault="00FB7DC6" w:rsidP="00CD5A65">
      <w:pPr>
        <w:pStyle w:val="Prrafodelista"/>
        <w:numPr>
          <w:ilvl w:val="2"/>
          <w:numId w:val="2"/>
        </w:numPr>
        <w:tabs>
          <w:tab w:val="left" w:pos="284"/>
          <w:tab w:val="left" w:pos="1560"/>
        </w:tabs>
        <w:spacing w:line="360" w:lineRule="auto"/>
        <w:ind w:left="709" w:hanging="709"/>
        <w:rPr>
          <w:rFonts w:ascii="Arial" w:hAnsi="Arial" w:cs="Arial"/>
          <w:b/>
        </w:rPr>
      </w:pPr>
      <w:r w:rsidRPr="00CD5A65">
        <w:rPr>
          <w:rFonts w:ascii="Arial" w:hAnsi="Arial" w:cs="Arial"/>
          <w:b/>
        </w:rPr>
        <w:t>Constataciones</w:t>
      </w:r>
    </w:p>
    <w:p w:rsidR="00FB7DC6" w:rsidRPr="004A36CD" w:rsidRDefault="00FB7DC6" w:rsidP="00FB7DC6">
      <w:pPr>
        <w:pStyle w:val="Prrafodelista"/>
        <w:tabs>
          <w:tab w:val="left" w:pos="284"/>
        </w:tabs>
        <w:spacing w:line="360" w:lineRule="auto"/>
        <w:ind w:left="1775" w:hanging="993"/>
        <w:rPr>
          <w:rFonts w:ascii="Arial" w:hAnsi="Arial" w:cs="Arial"/>
        </w:rPr>
      </w:pPr>
    </w:p>
    <w:p w:rsidR="00FB7DC6" w:rsidRPr="004A36CD" w:rsidRDefault="00FB7DC6" w:rsidP="00FB7DC6">
      <w:pPr>
        <w:pStyle w:val="Prrafodelista"/>
        <w:tabs>
          <w:tab w:val="left" w:pos="284"/>
        </w:tabs>
        <w:spacing w:line="360" w:lineRule="auto"/>
        <w:ind w:left="0"/>
        <w:rPr>
          <w:rFonts w:ascii="Arial" w:hAnsi="Arial" w:cs="Arial"/>
        </w:rPr>
      </w:pPr>
      <w:r w:rsidRPr="004A36CD">
        <w:rPr>
          <w:rFonts w:ascii="Arial" w:hAnsi="Arial" w:cs="Arial"/>
        </w:rPr>
        <w:t>Según la normativa antes mencionada, las prestaciones de alimentación en el lugar de trabajo, otorgadas por el empleador, están gravadas por el IRPF.</w:t>
      </w:r>
    </w:p>
    <w:p w:rsidR="00FB7DC6" w:rsidRDefault="00FB7DC6" w:rsidP="00FB7DC6">
      <w:pPr>
        <w:pStyle w:val="Prrafodelista"/>
        <w:tabs>
          <w:tab w:val="left" w:pos="284"/>
        </w:tabs>
        <w:spacing w:line="360" w:lineRule="auto"/>
        <w:ind w:left="0"/>
        <w:rPr>
          <w:rFonts w:ascii="Arial" w:hAnsi="Arial" w:cs="Arial"/>
        </w:rPr>
      </w:pPr>
      <w:r w:rsidRPr="004A36CD">
        <w:rPr>
          <w:rFonts w:ascii="Arial" w:hAnsi="Arial" w:cs="Arial"/>
        </w:rPr>
        <w:t xml:space="preserve">El INAU no considera la partida que </w:t>
      </w:r>
      <w:proofErr w:type="gramStart"/>
      <w:r w:rsidRPr="004A36CD">
        <w:rPr>
          <w:rFonts w:ascii="Arial" w:hAnsi="Arial" w:cs="Arial"/>
        </w:rPr>
        <w:t>le</w:t>
      </w:r>
      <w:proofErr w:type="gramEnd"/>
      <w:r w:rsidRPr="004A36CD">
        <w:rPr>
          <w:rFonts w:ascii="Arial" w:hAnsi="Arial" w:cs="Arial"/>
        </w:rPr>
        <w:t xml:space="preserve"> otorga a los funcionarios que  almuerzan o cenan en sus establecimientos para el cálculo del IRPF. (Ver punto 3.1.2.)</w:t>
      </w:r>
    </w:p>
    <w:p w:rsidR="005A54ED" w:rsidRDefault="005A54ED" w:rsidP="00FB7DC6">
      <w:pPr>
        <w:pStyle w:val="Prrafodelista"/>
        <w:tabs>
          <w:tab w:val="left" w:pos="284"/>
        </w:tabs>
        <w:spacing w:line="360" w:lineRule="auto"/>
        <w:ind w:left="0"/>
        <w:rPr>
          <w:rFonts w:ascii="Arial" w:hAnsi="Arial" w:cs="Arial"/>
        </w:rPr>
      </w:pPr>
    </w:p>
    <w:p w:rsidR="00FB7DC6" w:rsidRPr="00CD5A65" w:rsidRDefault="00FB7DC6" w:rsidP="00CD5A65">
      <w:pPr>
        <w:numPr>
          <w:ilvl w:val="1"/>
          <w:numId w:val="2"/>
        </w:numPr>
        <w:tabs>
          <w:tab w:val="left" w:pos="284"/>
        </w:tabs>
        <w:spacing w:line="360" w:lineRule="auto"/>
        <w:ind w:left="709" w:hanging="709"/>
        <w:rPr>
          <w:rFonts w:ascii="Arial" w:hAnsi="Arial" w:cs="Arial"/>
          <w:b/>
          <w:lang w:val="es-ES"/>
        </w:rPr>
      </w:pPr>
      <w:r w:rsidRPr="00CD5A65">
        <w:rPr>
          <w:rFonts w:ascii="Arial" w:hAnsi="Arial" w:cs="Arial"/>
          <w:b/>
          <w:lang w:val="es-ES"/>
        </w:rPr>
        <w:t xml:space="preserve">Incumplimiento artículo 164 (Prestaciones de Vivienda) de la Ley </w:t>
      </w:r>
      <w:r w:rsidR="00CD5A65">
        <w:rPr>
          <w:rFonts w:ascii="Arial" w:hAnsi="Arial" w:cs="Arial"/>
          <w:b/>
          <w:lang w:val="es-ES"/>
        </w:rPr>
        <w:t xml:space="preserve">            </w:t>
      </w:r>
      <w:r w:rsidRPr="00CD5A65">
        <w:rPr>
          <w:rFonts w:ascii="Arial" w:hAnsi="Arial" w:cs="Arial"/>
          <w:b/>
          <w:lang w:val="es-ES"/>
        </w:rPr>
        <w:t>Nº 16.713 de Seguridad Social</w:t>
      </w:r>
    </w:p>
    <w:p w:rsidR="00FB7DC6" w:rsidRDefault="00FB7DC6" w:rsidP="00CD5A65">
      <w:pPr>
        <w:pStyle w:val="Prrafodelista"/>
        <w:tabs>
          <w:tab w:val="left" w:pos="284"/>
        </w:tabs>
        <w:spacing w:line="360" w:lineRule="auto"/>
        <w:ind w:left="709" w:hanging="709"/>
        <w:rPr>
          <w:rFonts w:ascii="Arial" w:hAnsi="Arial" w:cs="Arial"/>
          <w:b/>
          <w:lang w:val="es-ES"/>
        </w:rPr>
      </w:pPr>
    </w:p>
    <w:p w:rsidR="00FB7DC6" w:rsidRPr="00CD5A65" w:rsidRDefault="00FB7DC6" w:rsidP="00CD5A65">
      <w:pPr>
        <w:pStyle w:val="Prrafodelista"/>
        <w:numPr>
          <w:ilvl w:val="2"/>
          <w:numId w:val="2"/>
        </w:numPr>
        <w:tabs>
          <w:tab w:val="left" w:pos="284"/>
          <w:tab w:val="left" w:pos="709"/>
        </w:tabs>
        <w:spacing w:line="360" w:lineRule="auto"/>
        <w:ind w:left="709" w:hanging="709"/>
        <w:rPr>
          <w:rFonts w:ascii="Arial" w:hAnsi="Arial" w:cs="Arial"/>
          <w:b/>
        </w:rPr>
      </w:pPr>
      <w:r w:rsidRPr="00CD5A65">
        <w:rPr>
          <w:rFonts w:ascii="Arial" w:hAnsi="Arial" w:cs="Arial"/>
          <w:b/>
        </w:rPr>
        <w:t>Antecedentes</w:t>
      </w:r>
    </w:p>
    <w:p w:rsidR="00FB7DC6" w:rsidRPr="004A36CD" w:rsidRDefault="00FB7DC6" w:rsidP="00FB7DC6">
      <w:pPr>
        <w:pStyle w:val="Prrafodelista"/>
        <w:tabs>
          <w:tab w:val="left" w:pos="284"/>
          <w:tab w:val="left" w:pos="709"/>
        </w:tabs>
        <w:spacing w:line="360" w:lineRule="auto"/>
        <w:ind w:left="1775" w:hanging="1560"/>
        <w:rPr>
          <w:rFonts w:ascii="Arial" w:hAnsi="Arial" w:cs="Arial"/>
        </w:rPr>
      </w:pPr>
    </w:p>
    <w:p w:rsidR="00FB7DC6" w:rsidRPr="004A36CD" w:rsidRDefault="00FB7DC6" w:rsidP="00FB7DC6">
      <w:pPr>
        <w:pStyle w:val="Prrafodelista"/>
        <w:tabs>
          <w:tab w:val="left" w:pos="284"/>
          <w:tab w:val="left" w:pos="709"/>
        </w:tabs>
        <w:spacing w:before="100" w:beforeAutospacing="1" w:after="100" w:afterAutospacing="1" w:line="360" w:lineRule="auto"/>
        <w:ind w:left="0"/>
        <w:rPr>
          <w:rFonts w:ascii="Arial" w:eastAsia="Times New Roman" w:hAnsi="Arial" w:cs="Arial"/>
          <w:color w:val="000000"/>
          <w:lang w:eastAsia="es-UY"/>
        </w:rPr>
      </w:pPr>
      <w:r w:rsidRPr="004A36CD">
        <w:rPr>
          <w:rFonts w:ascii="Arial" w:hAnsi="Arial" w:cs="Arial"/>
        </w:rPr>
        <w:t xml:space="preserve">La Ley Nº 16.713 en su </w:t>
      </w:r>
      <w:r>
        <w:rPr>
          <w:rFonts w:ascii="Arial" w:hAnsi="Arial" w:cs="Arial"/>
        </w:rPr>
        <w:t>A</w:t>
      </w:r>
      <w:r w:rsidRPr="004A36CD">
        <w:rPr>
          <w:rFonts w:ascii="Arial" w:hAnsi="Arial" w:cs="Arial"/>
        </w:rPr>
        <w:t>rtículo 164 establece: “</w:t>
      </w:r>
      <w:r w:rsidRPr="004A36CD">
        <w:rPr>
          <w:rFonts w:ascii="Arial" w:eastAsia="Times New Roman" w:hAnsi="Arial" w:cs="Arial"/>
          <w:color w:val="000000"/>
          <w:lang w:eastAsia="es-UY"/>
        </w:rPr>
        <w:t>Las prestaciones de vivienda, en dinero o en especie, constituyen materia gravada…”.</w:t>
      </w:r>
    </w:p>
    <w:p w:rsidR="00FB7DC6" w:rsidRDefault="00FB7DC6" w:rsidP="00FB7DC6">
      <w:pPr>
        <w:pStyle w:val="Prrafodelista"/>
        <w:tabs>
          <w:tab w:val="left" w:pos="284"/>
        </w:tabs>
        <w:spacing w:line="360" w:lineRule="auto"/>
        <w:ind w:left="1775" w:hanging="993"/>
        <w:rPr>
          <w:rFonts w:ascii="Arial" w:hAnsi="Arial" w:cs="Arial"/>
        </w:rPr>
      </w:pPr>
    </w:p>
    <w:p w:rsidR="00FB7DC6" w:rsidRPr="00CD5A65" w:rsidRDefault="00FB7DC6" w:rsidP="00CD5A65">
      <w:pPr>
        <w:pStyle w:val="Prrafodelista"/>
        <w:numPr>
          <w:ilvl w:val="2"/>
          <w:numId w:val="2"/>
        </w:numPr>
        <w:tabs>
          <w:tab w:val="left" w:pos="284"/>
        </w:tabs>
        <w:spacing w:line="360" w:lineRule="auto"/>
        <w:rPr>
          <w:rFonts w:ascii="Arial" w:hAnsi="Arial" w:cs="Arial"/>
          <w:b/>
        </w:rPr>
      </w:pPr>
      <w:r w:rsidRPr="00CD5A65">
        <w:rPr>
          <w:rFonts w:ascii="Arial" w:hAnsi="Arial" w:cs="Arial"/>
          <w:b/>
        </w:rPr>
        <w:t>Constataciones</w:t>
      </w:r>
    </w:p>
    <w:p w:rsidR="00FB7DC6" w:rsidRPr="004A36CD" w:rsidRDefault="00FB7DC6" w:rsidP="00FB7DC6">
      <w:pPr>
        <w:pStyle w:val="Prrafodelista"/>
        <w:tabs>
          <w:tab w:val="left" w:pos="284"/>
        </w:tabs>
        <w:spacing w:line="360" w:lineRule="auto"/>
        <w:ind w:left="1775" w:hanging="993"/>
        <w:rPr>
          <w:rFonts w:ascii="Arial" w:hAnsi="Arial" w:cs="Arial"/>
        </w:rPr>
      </w:pPr>
    </w:p>
    <w:p w:rsidR="00FB7DC6" w:rsidRPr="004A36CD" w:rsidRDefault="00FB7DC6" w:rsidP="00FB7DC6">
      <w:pPr>
        <w:pStyle w:val="Prrafodelista"/>
        <w:tabs>
          <w:tab w:val="left" w:pos="284"/>
        </w:tabs>
        <w:spacing w:line="360" w:lineRule="auto"/>
        <w:ind w:left="0"/>
        <w:rPr>
          <w:rFonts w:ascii="Arial" w:hAnsi="Arial" w:cs="Arial"/>
        </w:rPr>
      </w:pPr>
      <w:r w:rsidRPr="004A36CD">
        <w:rPr>
          <w:rFonts w:ascii="Arial" w:hAnsi="Arial" w:cs="Arial"/>
        </w:rPr>
        <w:t>El INAU no computa las prestaciones por vivienda para el cálculo de los aportes al Banco de Previsión Social (BPS). (Ver punto 3.1.3.)</w:t>
      </w:r>
    </w:p>
    <w:p w:rsidR="00FB7DC6" w:rsidRDefault="00FB7DC6" w:rsidP="00FB7DC6">
      <w:pPr>
        <w:pStyle w:val="Prrafodelista"/>
        <w:tabs>
          <w:tab w:val="left" w:pos="284"/>
        </w:tabs>
        <w:spacing w:line="360" w:lineRule="auto"/>
        <w:ind w:left="0"/>
        <w:rPr>
          <w:rFonts w:ascii="Arial" w:hAnsi="Arial" w:cs="Arial"/>
        </w:rPr>
      </w:pPr>
    </w:p>
    <w:p w:rsidR="00FB7DC6" w:rsidRPr="00CD5A65" w:rsidRDefault="00FB7DC6" w:rsidP="00FB7DC6">
      <w:pPr>
        <w:numPr>
          <w:ilvl w:val="1"/>
          <w:numId w:val="2"/>
        </w:numPr>
        <w:tabs>
          <w:tab w:val="left" w:pos="284"/>
        </w:tabs>
        <w:spacing w:line="360" w:lineRule="auto"/>
        <w:ind w:left="709" w:hanging="709"/>
        <w:rPr>
          <w:rFonts w:ascii="Arial" w:hAnsi="Arial" w:cs="Arial"/>
          <w:b/>
          <w:lang w:val="es-ES"/>
        </w:rPr>
      </w:pPr>
      <w:r w:rsidRPr="00CD5A65">
        <w:rPr>
          <w:rFonts w:ascii="Arial" w:hAnsi="Arial" w:cs="Arial"/>
          <w:b/>
          <w:lang w:val="es-ES"/>
        </w:rPr>
        <w:t xml:space="preserve">Incumplimiento </w:t>
      </w:r>
      <w:r w:rsidR="00CD5A65">
        <w:rPr>
          <w:rFonts w:ascii="Arial" w:hAnsi="Arial" w:cs="Arial"/>
          <w:b/>
          <w:lang w:val="es-ES"/>
        </w:rPr>
        <w:t>A</w:t>
      </w:r>
      <w:r w:rsidRPr="00CD5A65">
        <w:rPr>
          <w:rFonts w:ascii="Arial" w:hAnsi="Arial" w:cs="Arial"/>
          <w:b/>
          <w:lang w:val="es-ES"/>
        </w:rPr>
        <w:t>rtículo 32 del Título 7 Ley Nº 18.083</w:t>
      </w:r>
    </w:p>
    <w:p w:rsidR="00FB7DC6" w:rsidRDefault="00FB7DC6" w:rsidP="00FB7DC6">
      <w:pPr>
        <w:pStyle w:val="Prrafodelista"/>
        <w:tabs>
          <w:tab w:val="left" w:pos="284"/>
        </w:tabs>
        <w:spacing w:line="360" w:lineRule="auto"/>
        <w:ind w:left="1775" w:hanging="993"/>
        <w:rPr>
          <w:rFonts w:ascii="Arial" w:hAnsi="Arial" w:cs="Arial"/>
          <w:b/>
        </w:rPr>
      </w:pPr>
    </w:p>
    <w:p w:rsidR="00FB7DC6" w:rsidRPr="00CD5A65" w:rsidRDefault="00FB7DC6" w:rsidP="00FB7DC6">
      <w:pPr>
        <w:pStyle w:val="Prrafodelista"/>
        <w:numPr>
          <w:ilvl w:val="2"/>
          <w:numId w:val="2"/>
        </w:numPr>
        <w:tabs>
          <w:tab w:val="left" w:pos="284"/>
          <w:tab w:val="left" w:pos="709"/>
        </w:tabs>
        <w:spacing w:line="360" w:lineRule="auto"/>
        <w:ind w:left="1560" w:hanging="1560"/>
        <w:rPr>
          <w:rFonts w:ascii="Arial" w:hAnsi="Arial" w:cs="Arial"/>
          <w:b/>
        </w:rPr>
      </w:pPr>
      <w:r w:rsidRPr="00CD5A65">
        <w:rPr>
          <w:rFonts w:ascii="Arial" w:hAnsi="Arial" w:cs="Arial"/>
          <w:b/>
        </w:rPr>
        <w:t>Antecedentes</w:t>
      </w:r>
    </w:p>
    <w:p w:rsidR="00FB7DC6" w:rsidRPr="00CD5A65" w:rsidRDefault="00FB7DC6" w:rsidP="00FB7DC6">
      <w:pPr>
        <w:pStyle w:val="Prrafodelista"/>
        <w:tabs>
          <w:tab w:val="left" w:pos="284"/>
        </w:tabs>
        <w:spacing w:line="360" w:lineRule="auto"/>
        <w:ind w:left="1775" w:hanging="993"/>
        <w:rPr>
          <w:rFonts w:ascii="Arial" w:hAnsi="Arial" w:cs="Arial"/>
          <w:b/>
        </w:rPr>
      </w:pPr>
    </w:p>
    <w:p w:rsidR="00FB7DC6" w:rsidRPr="004A36CD" w:rsidRDefault="00FB7DC6" w:rsidP="00FB7DC6">
      <w:pPr>
        <w:pStyle w:val="Prrafodelista"/>
        <w:tabs>
          <w:tab w:val="left" w:pos="284"/>
        </w:tabs>
        <w:spacing w:before="100" w:beforeAutospacing="1" w:after="100" w:afterAutospacing="1" w:line="360" w:lineRule="auto"/>
        <w:ind w:left="0"/>
        <w:rPr>
          <w:rFonts w:ascii="Arial" w:eastAsia="Times New Roman" w:hAnsi="Arial" w:cs="Arial"/>
          <w:color w:val="000000"/>
          <w:lang w:eastAsia="es-UY"/>
        </w:rPr>
      </w:pPr>
      <w:r w:rsidRPr="004A36CD">
        <w:rPr>
          <w:rFonts w:ascii="Arial" w:hAnsi="Arial" w:cs="Arial"/>
        </w:rPr>
        <w:lastRenderedPageBreak/>
        <w:t xml:space="preserve">La Ley Nº 18.083, en su Título 7 “Impuesto a la Renta de las Personas Físicas (IRPF)”, </w:t>
      </w:r>
      <w:r>
        <w:rPr>
          <w:rFonts w:ascii="Arial" w:hAnsi="Arial" w:cs="Arial"/>
        </w:rPr>
        <w:t>A</w:t>
      </w:r>
      <w:r w:rsidRPr="004A36CD">
        <w:rPr>
          <w:rFonts w:ascii="Arial" w:hAnsi="Arial" w:cs="Arial"/>
        </w:rPr>
        <w:t xml:space="preserve">rtículo 32 refiere a las </w:t>
      </w:r>
      <w:r w:rsidRPr="004A36CD">
        <w:rPr>
          <w:rFonts w:ascii="Arial" w:hAnsi="Arial" w:cs="Arial"/>
          <w:color w:val="000000"/>
        </w:rPr>
        <w:t>Rentas del trabajo en relación de dependencia.</w:t>
      </w:r>
    </w:p>
    <w:p w:rsidR="00FB7DC6" w:rsidRPr="004A36CD" w:rsidRDefault="00FB7DC6" w:rsidP="00FB7DC6">
      <w:pPr>
        <w:pStyle w:val="Prrafodelista"/>
        <w:tabs>
          <w:tab w:val="left" w:pos="284"/>
        </w:tabs>
        <w:spacing w:line="360" w:lineRule="auto"/>
        <w:ind w:left="0"/>
        <w:rPr>
          <w:rFonts w:ascii="Arial" w:hAnsi="Arial" w:cs="Arial"/>
        </w:rPr>
      </w:pPr>
    </w:p>
    <w:p w:rsidR="00FB7DC6" w:rsidRPr="00CD5A65" w:rsidRDefault="00FB7DC6" w:rsidP="00FB7DC6">
      <w:pPr>
        <w:pStyle w:val="Prrafodelista"/>
        <w:numPr>
          <w:ilvl w:val="2"/>
          <w:numId w:val="2"/>
        </w:numPr>
        <w:tabs>
          <w:tab w:val="left" w:pos="284"/>
          <w:tab w:val="left" w:pos="1560"/>
        </w:tabs>
        <w:spacing w:line="360" w:lineRule="auto"/>
        <w:ind w:left="709" w:hanging="709"/>
        <w:rPr>
          <w:rFonts w:ascii="Arial" w:hAnsi="Arial" w:cs="Arial"/>
          <w:b/>
        </w:rPr>
      </w:pPr>
      <w:r w:rsidRPr="00CD5A65">
        <w:rPr>
          <w:rFonts w:ascii="Arial" w:hAnsi="Arial" w:cs="Arial"/>
          <w:b/>
        </w:rPr>
        <w:t>Constataciones</w:t>
      </w:r>
    </w:p>
    <w:p w:rsidR="00FB7DC6" w:rsidRPr="004A36CD" w:rsidRDefault="00FB7DC6" w:rsidP="00FB7DC6">
      <w:pPr>
        <w:pStyle w:val="Prrafodelista"/>
        <w:tabs>
          <w:tab w:val="left" w:pos="284"/>
        </w:tabs>
        <w:spacing w:line="360" w:lineRule="auto"/>
        <w:ind w:left="1775" w:hanging="993"/>
        <w:rPr>
          <w:rFonts w:ascii="Arial" w:hAnsi="Arial" w:cs="Arial"/>
        </w:rPr>
      </w:pPr>
    </w:p>
    <w:p w:rsidR="00FB7DC6" w:rsidRDefault="00FB7DC6" w:rsidP="00FB7DC6">
      <w:pPr>
        <w:pStyle w:val="Prrafodelista"/>
        <w:tabs>
          <w:tab w:val="left" w:pos="284"/>
        </w:tabs>
        <w:spacing w:line="360" w:lineRule="auto"/>
        <w:ind w:left="0"/>
        <w:rPr>
          <w:rFonts w:ascii="Arial" w:hAnsi="Arial" w:cs="Arial"/>
        </w:rPr>
      </w:pPr>
      <w:r w:rsidRPr="004A36CD">
        <w:rPr>
          <w:rFonts w:ascii="Arial" w:hAnsi="Arial" w:cs="Arial"/>
        </w:rPr>
        <w:t>El INAU no computa las prestaciones de vivienda, seguros, viáticos y vales de nafta a efectos del cálculo del IRPF. (Ver punto 3.1.2.)</w:t>
      </w:r>
    </w:p>
    <w:p w:rsidR="00CD5A65" w:rsidRDefault="00CD5A65" w:rsidP="00FB7DC6">
      <w:pPr>
        <w:pStyle w:val="Prrafodelista"/>
        <w:tabs>
          <w:tab w:val="left" w:pos="284"/>
        </w:tabs>
        <w:spacing w:line="360" w:lineRule="auto"/>
        <w:ind w:left="0"/>
        <w:rPr>
          <w:rFonts w:ascii="Arial" w:hAnsi="Arial" w:cs="Arial"/>
        </w:rPr>
      </w:pPr>
    </w:p>
    <w:p w:rsidR="00FB7DC6" w:rsidRPr="00CD5A65" w:rsidRDefault="00FB7DC6" w:rsidP="00CD5A65">
      <w:pPr>
        <w:numPr>
          <w:ilvl w:val="1"/>
          <w:numId w:val="2"/>
        </w:numPr>
        <w:tabs>
          <w:tab w:val="left" w:pos="284"/>
        </w:tabs>
        <w:spacing w:line="360" w:lineRule="auto"/>
        <w:ind w:left="0" w:firstLine="0"/>
        <w:rPr>
          <w:rFonts w:ascii="Arial" w:hAnsi="Arial" w:cs="Arial"/>
          <w:b/>
          <w:lang w:val="es-ES"/>
        </w:rPr>
      </w:pPr>
      <w:r w:rsidRPr="00CD5A65">
        <w:rPr>
          <w:rFonts w:ascii="Arial" w:hAnsi="Arial" w:cs="Arial"/>
          <w:b/>
          <w:lang w:val="es-ES"/>
        </w:rPr>
        <w:t>Incumplimiento Resolución de la DGI Nº 1017/007</w:t>
      </w:r>
    </w:p>
    <w:p w:rsidR="00FB7DC6" w:rsidRPr="00CD5A65" w:rsidRDefault="00FB7DC6" w:rsidP="00CD5A65">
      <w:pPr>
        <w:pStyle w:val="Prrafodelista"/>
        <w:tabs>
          <w:tab w:val="left" w:pos="284"/>
        </w:tabs>
        <w:spacing w:line="360" w:lineRule="auto"/>
        <w:ind w:left="0"/>
        <w:rPr>
          <w:rFonts w:ascii="Arial" w:hAnsi="Arial" w:cs="Arial"/>
          <w:b/>
          <w:lang w:val="es-ES"/>
        </w:rPr>
      </w:pPr>
    </w:p>
    <w:p w:rsidR="00FB7DC6" w:rsidRPr="00CD5A65" w:rsidRDefault="00FB7DC6" w:rsidP="00CD5A65">
      <w:pPr>
        <w:pStyle w:val="Prrafodelista"/>
        <w:numPr>
          <w:ilvl w:val="2"/>
          <w:numId w:val="2"/>
        </w:numPr>
        <w:tabs>
          <w:tab w:val="left" w:pos="284"/>
          <w:tab w:val="left" w:pos="709"/>
        </w:tabs>
        <w:spacing w:line="360" w:lineRule="auto"/>
        <w:ind w:left="0" w:firstLine="0"/>
        <w:rPr>
          <w:rFonts w:ascii="Arial" w:hAnsi="Arial" w:cs="Arial"/>
          <w:b/>
        </w:rPr>
      </w:pPr>
      <w:r w:rsidRPr="00CD5A65">
        <w:rPr>
          <w:rFonts w:ascii="Arial" w:hAnsi="Arial" w:cs="Arial"/>
          <w:b/>
        </w:rPr>
        <w:t>Antecedentes</w:t>
      </w:r>
    </w:p>
    <w:p w:rsidR="00FB7DC6" w:rsidRPr="00CD5A65" w:rsidRDefault="00FB7DC6" w:rsidP="00CD5A65">
      <w:pPr>
        <w:pStyle w:val="Prrafodelista"/>
        <w:tabs>
          <w:tab w:val="left" w:pos="284"/>
        </w:tabs>
        <w:spacing w:line="360" w:lineRule="auto"/>
        <w:ind w:left="0"/>
        <w:rPr>
          <w:rFonts w:ascii="Arial" w:hAnsi="Arial" w:cs="Arial"/>
          <w:b/>
        </w:rPr>
      </w:pPr>
    </w:p>
    <w:p w:rsidR="00FB7DC6" w:rsidRPr="004A36CD" w:rsidRDefault="00FB7DC6" w:rsidP="00FB7DC6">
      <w:pPr>
        <w:pStyle w:val="Prrafodelista"/>
        <w:tabs>
          <w:tab w:val="left" w:pos="284"/>
        </w:tabs>
        <w:spacing w:before="100" w:beforeAutospacing="1" w:after="100" w:afterAutospacing="1" w:line="360" w:lineRule="auto"/>
        <w:ind w:left="0"/>
        <w:rPr>
          <w:rFonts w:ascii="Arial" w:eastAsia="Times New Roman" w:hAnsi="Arial" w:cs="Arial"/>
          <w:color w:val="000000"/>
          <w:lang w:eastAsia="es-UY"/>
        </w:rPr>
      </w:pPr>
      <w:r w:rsidRPr="004A36CD">
        <w:rPr>
          <w:rFonts w:ascii="Arial" w:hAnsi="Arial" w:cs="Arial"/>
        </w:rPr>
        <w:t>La Resolución de la DGI Nº 1017/007, en su Resuelve 2) fija los montos fictos a efectos de evaluar diversas partidas, entre ellas “Transporte de ida y vuelta al lugar de trabajo”, siempre que sean otorgadas en especie por el empleador.</w:t>
      </w:r>
    </w:p>
    <w:p w:rsidR="00FB7DC6" w:rsidRPr="004A36CD" w:rsidRDefault="00FB7DC6" w:rsidP="00FB7DC6">
      <w:pPr>
        <w:pStyle w:val="Prrafodelista"/>
        <w:tabs>
          <w:tab w:val="left" w:pos="284"/>
        </w:tabs>
        <w:spacing w:line="360" w:lineRule="auto"/>
        <w:ind w:left="1775" w:hanging="993"/>
        <w:rPr>
          <w:rFonts w:ascii="Arial" w:hAnsi="Arial" w:cs="Arial"/>
        </w:rPr>
      </w:pPr>
    </w:p>
    <w:p w:rsidR="00FB7DC6" w:rsidRPr="00CD5A65" w:rsidRDefault="00FB7DC6" w:rsidP="00FB7DC6">
      <w:pPr>
        <w:pStyle w:val="Prrafodelista"/>
        <w:numPr>
          <w:ilvl w:val="2"/>
          <w:numId w:val="2"/>
        </w:numPr>
        <w:tabs>
          <w:tab w:val="left" w:pos="284"/>
          <w:tab w:val="left" w:pos="1560"/>
        </w:tabs>
        <w:spacing w:line="360" w:lineRule="auto"/>
        <w:ind w:left="709" w:hanging="709"/>
        <w:rPr>
          <w:rFonts w:ascii="Arial" w:hAnsi="Arial" w:cs="Arial"/>
          <w:b/>
        </w:rPr>
      </w:pPr>
      <w:r w:rsidRPr="00CD5A65">
        <w:rPr>
          <w:rFonts w:ascii="Arial" w:hAnsi="Arial" w:cs="Arial"/>
          <w:b/>
        </w:rPr>
        <w:t>Constataciones</w:t>
      </w:r>
    </w:p>
    <w:p w:rsidR="00FB7DC6" w:rsidRPr="004A36CD" w:rsidRDefault="00FB7DC6" w:rsidP="00FB7DC6">
      <w:pPr>
        <w:pStyle w:val="Prrafodelista"/>
        <w:tabs>
          <w:tab w:val="left" w:pos="284"/>
        </w:tabs>
        <w:spacing w:line="360" w:lineRule="auto"/>
        <w:ind w:left="1775" w:hanging="993"/>
        <w:rPr>
          <w:rFonts w:ascii="Arial" w:hAnsi="Arial" w:cs="Arial"/>
        </w:rPr>
      </w:pPr>
    </w:p>
    <w:p w:rsidR="00FB7DC6" w:rsidRPr="004A36CD" w:rsidRDefault="00FB7DC6" w:rsidP="00FB7DC6">
      <w:pPr>
        <w:pStyle w:val="Prrafodelista"/>
        <w:tabs>
          <w:tab w:val="left" w:pos="284"/>
        </w:tabs>
        <w:spacing w:line="360" w:lineRule="auto"/>
        <w:ind w:left="0"/>
        <w:rPr>
          <w:rFonts w:ascii="Arial" w:hAnsi="Arial" w:cs="Arial"/>
        </w:rPr>
      </w:pPr>
      <w:r w:rsidRPr="004A36CD">
        <w:rPr>
          <w:rFonts w:ascii="Arial" w:hAnsi="Arial" w:cs="Arial"/>
        </w:rPr>
        <w:t>El Instituto paga el transporte de ida y vuelta al lugar de trabajo, tal es el caso del SEMEJI (Sistema de Educación de Medidas de Jóvenes en Infracción).</w:t>
      </w:r>
    </w:p>
    <w:p w:rsidR="00FB7DC6" w:rsidRPr="004A36CD" w:rsidRDefault="00FB7DC6" w:rsidP="00FB7DC6">
      <w:pPr>
        <w:pStyle w:val="Prrafodelista"/>
        <w:tabs>
          <w:tab w:val="left" w:pos="284"/>
        </w:tabs>
        <w:spacing w:line="360" w:lineRule="auto"/>
        <w:ind w:left="0"/>
        <w:rPr>
          <w:rFonts w:ascii="Arial" w:hAnsi="Arial" w:cs="Arial"/>
        </w:rPr>
      </w:pPr>
      <w:r w:rsidRPr="004A36CD">
        <w:rPr>
          <w:rFonts w:ascii="Arial" w:hAnsi="Arial" w:cs="Arial"/>
        </w:rPr>
        <w:t>Según la Resolución de la D</w:t>
      </w:r>
      <w:r>
        <w:rPr>
          <w:rFonts w:ascii="Arial" w:hAnsi="Arial" w:cs="Arial"/>
        </w:rPr>
        <w:t>irección General Impositiva</w:t>
      </w:r>
      <w:r w:rsidRPr="004A36CD">
        <w:rPr>
          <w:rFonts w:ascii="Arial" w:hAnsi="Arial" w:cs="Arial"/>
        </w:rPr>
        <w:t xml:space="preserve">, esta partida retributiva está gravada por un monto ficto diario, sin embargo, el </w:t>
      </w:r>
      <w:r w:rsidR="005A54ED">
        <w:rPr>
          <w:rFonts w:ascii="Arial" w:hAnsi="Arial" w:cs="Arial"/>
        </w:rPr>
        <w:t>I</w:t>
      </w:r>
      <w:r w:rsidRPr="004A36CD">
        <w:rPr>
          <w:rFonts w:ascii="Arial" w:hAnsi="Arial" w:cs="Arial"/>
        </w:rPr>
        <w:t>nstituto no la considera en la liquidación del IRPF. (Ver punto 3.2.5.)</w:t>
      </w:r>
    </w:p>
    <w:p w:rsidR="00FB7DC6" w:rsidRPr="004A36CD" w:rsidRDefault="00FB7DC6" w:rsidP="00FB7DC6">
      <w:pPr>
        <w:pStyle w:val="Prrafodelista"/>
        <w:tabs>
          <w:tab w:val="left" w:pos="284"/>
        </w:tabs>
        <w:spacing w:line="360" w:lineRule="auto"/>
        <w:ind w:left="1775" w:hanging="993"/>
        <w:rPr>
          <w:rFonts w:ascii="Arial" w:hAnsi="Arial" w:cs="Arial"/>
        </w:rPr>
      </w:pPr>
    </w:p>
    <w:p w:rsidR="00FB7DC6" w:rsidRPr="00CD5A65" w:rsidRDefault="00FB7DC6" w:rsidP="00FB7DC6">
      <w:pPr>
        <w:numPr>
          <w:ilvl w:val="1"/>
          <w:numId w:val="2"/>
        </w:numPr>
        <w:tabs>
          <w:tab w:val="left" w:pos="284"/>
        </w:tabs>
        <w:spacing w:line="360" w:lineRule="auto"/>
        <w:ind w:hanging="792"/>
        <w:rPr>
          <w:rFonts w:ascii="Arial" w:hAnsi="Arial" w:cs="Arial"/>
          <w:b/>
          <w:lang w:val="es-ES"/>
        </w:rPr>
      </w:pPr>
      <w:r w:rsidRPr="00CD5A65">
        <w:rPr>
          <w:rFonts w:ascii="Arial" w:hAnsi="Arial" w:cs="Arial"/>
          <w:b/>
          <w:lang w:val="es-ES"/>
        </w:rPr>
        <w:t>Incumplimiento Convenio Nº 30 de la OIT</w:t>
      </w:r>
    </w:p>
    <w:p w:rsidR="00FB7DC6" w:rsidRPr="00CD5A65" w:rsidRDefault="00FB7DC6" w:rsidP="00FB7DC6">
      <w:pPr>
        <w:pStyle w:val="Prrafodelista"/>
        <w:tabs>
          <w:tab w:val="left" w:pos="284"/>
        </w:tabs>
        <w:spacing w:line="360" w:lineRule="auto"/>
        <w:ind w:left="1775" w:hanging="993"/>
        <w:rPr>
          <w:rFonts w:ascii="Arial" w:hAnsi="Arial" w:cs="Arial"/>
          <w:b/>
          <w:lang w:val="es-ES"/>
        </w:rPr>
      </w:pPr>
    </w:p>
    <w:p w:rsidR="00FB7DC6" w:rsidRPr="00CD5A65" w:rsidRDefault="00FB7DC6" w:rsidP="00FB7DC6">
      <w:pPr>
        <w:pStyle w:val="Prrafodelista"/>
        <w:numPr>
          <w:ilvl w:val="2"/>
          <w:numId w:val="2"/>
        </w:numPr>
        <w:tabs>
          <w:tab w:val="left" w:pos="284"/>
          <w:tab w:val="left" w:pos="851"/>
        </w:tabs>
        <w:spacing w:line="360" w:lineRule="auto"/>
        <w:ind w:left="1560" w:hanging="1560"/>
        <w:rPr>
          <w:rFonts w:ascii="Arial" w:hAnsi="Arial" w:cs="Arial"/>
          <w:b/>
        </w:rPr>
      </w:pPr>
      <w:r w:rsidRPr="00CD5A65">
        <w:rPr>
          <w:rFonts w:ascii="Arial" w:hAnsi="Arial" w:cs="Arial"/>
          <w:b/>
        </w:rPr>
        <w:t>Antecedentes</w:t>
      </w:r>
    </w:p>
    <w:p w:rsidR="00FB7DC6" w:rsidRPr="004A36CD" w:rsidRDefault="00FB7DC6" w:rsidP="00FB7DC6">
      <w:pPr>
        <w:pStyle w:val="Prrafodelista"/>
        <w:tabs>
          <w:tab w:val="left" w:pos="284"/>
        </w:tabs>
        <w:spacing w:line="360" w:lineRule="auto"/>
        <w:ind w:left="1775" w:hanging="1560"/>
        <w:rPr>
          <w:rFonts w:ascii="Arial" w:hAnsi="Arial" w:cs="Arial"/>
        </w:rPr>
      </w:pPr>
    </w:p>
    <w:p w:rsidR="00FB7DC6" w:rsidRPr="004A36CD" w:rsidRDefault="00FB7DC6" w:rsidP="00FB7DC6">
      <w:pPr>
        <w:pStyle w:val="Prrafodelista"/>
        <w:tabs>
          <w:tab w:val="left" w:pos="284"/>
        </w:tabs>
        <w:spacing w:line="360" w:lineRule="auto"/>
        <w:ind w:left="0"/>
        <w:rPr>
          <w:rFonts w:ascii="Arial" w:hAnsi="Arial" w:cs="Arial"/>
        </w:rPr>
      </w:pPr>
      <w:r w:rsidRPr="004A36CD">
        <w:rPr>
          <w:rFonts w:ascii="Arial" w:hAnsi="Arial" w:cs="Arial"/>
        </w:rPr>
        <w:lastRenderedPageBreak/>
        <w:t>El Convenio Nº 30 de la Organización Internacional del Trabajo (OIT), refiere a la Reglamentación de las horas de trabajo en el comercio y en las oficinas públicas o privadas.</w:t>
      </w:r>
    </w:p>
    <w:p w:rsidR="00CD5A65" w:rsidRPr="004A36CD" w:rsidRDefault="00CD5A65" w:rsidP="00FB7DC6">
      <w:pPr>
        <w:pStyle w:val="Prrafodelista"/>
        <w:tabs>
          <w:tab w:val="left" w:pos="284"/>
        </w:tabs>
        <w:spacing w:line="360" w:lineRule="auto"/>
        <w:ind w:left="0"/>
        <w:rPr>
          <w:rFonts w:ascii="Arial" w:hAnsi="Arial" w:cs="Arial"/>
        </w:rPr>
      </w:pPr>
    </w:p>
    <w:p w:rsidR="00FB7DC6" w:rsidRPr="00CD5A65" w:rsidRDefault="00FB7DC6" w:rsidP="00FB7DC6">
      <w:pPr>
        <w:pStyle w:val="Prrafodelista"/>
        <w:numPr>
          <w:ilvl w:val="2"/>
          <w:numId w:val="2"/>
        </w:numPr>
        <w:tabs>
          <w:tab w:val="left" w:pos="284"/>
          <w:tab w:val="left" w:pos="993"/>
        </w:tabs>
        <w:spacing w:line="360" w:lineRule="auto"/>
        <w:ind w:left="0" w:firstLine="0"/>
        <w:rPr>
          <w:rFonts w:ascii="Arial" w:hAnsi="Arial" w:cs="Arial"/>
          <w:b/>
        </w:rPr>
      </w:pPr>
      <w:r w:rsidRPr="00CD5A65">
        <w:rPr>
          <w:rFonts w:ascii="Arial" w:hAnsi="Arial" w:cs="Arial"/>
          <w:b/>
        </w:rPr>
        <w:t>Constataciones</w:t>
      </w:r>
    </w:p>
    <w:p w:rsidR="00FB7DC6" w:rsidRDefault="00FB7DC6" w:rsidP="00FB7DC6">
      <w:pPr>
        <w:pStyle w:val="Prrafodelista"/>
        <w:tabs>
          <w:tab w:val="left" w:pos="284"/>
        </w:tabs>
        <w:spacing w:line="360" w:lineRule="auto"/>
        <w:ind w:left="0"/>
        <w:rPr>
          <w:rFonts w:ascii="Arial" w:hAnsi="Arial" w:cs="Arial"/>
        </w:rPr>
      </w:pPr>
      <w:r w:rsidRPr="004A36CD">
        <w:rPr>
          <w:rFonts w:ascii="Arial" w:hAnsi="Arial" w:cs="Arial"/>
        </w:rPr>
        <w:t xml:space="preserve">Al trabajarse más de </w:t>
      </w:r>
      <w:r>
        <w:rPr>
          <w:rFonts w:ascii="Arial" w:hAnsi="Arial" w:cs="Arial"/>
        </w:rPr>
        <w:t>cuarenta</w:t>
      </w:r>
      <w:r w:rsidRPr="004A36CD">
        <w:rPr>
          <w:rFonts w:ascii="Arial" w:hAnsi="Arial" w:cs="Arial"/>
        </w:rPr>
        <w:t xml:space="preserve"> horas semanales, el Instituto no ha gestionado la reglamentación del Régimen Especial de Horas Extras, tal como lo prevé el Convenio. (Ver punto 3.1.4.)</w:t>
      </w:r>
    </w:p>
    <w:p w:rsidR="00CF7B56" w:rsidRPr="004A36CD" w:rsidRDefault="00CF7B56" w:rsidP="00FB7DC6">
      <w:pPr>
        <w:pStyle w:val="Prrafodelista"/>
        <w:tabs>
          <w:tab w:val="left" w:pos="284"/>
        </w:tabs>
        <w:spacing w:line="360" w:lineRule="auto"/>
        <w:ind w:left="0"/>
        <w:rPr>
          <w:rFonts w:ascii="Arial" w:hAnsi="Arial" w:cs="Arial"/>
        </w:rPr>
      </w:pPr>
    </w:p>
    <w:p w:rsidR="00FB7DC6" w:rsidRPr="00CD5A65" w:rsidRDefault="00CF7B56" w:rsidP="001A2B27">
      <w:pPr>
        <w:pStyle w:val="Prrafodelista"/>
        <w:numPr>
          <w:ilvl w:val="0"/>
          <w:numId w:val="2"/>
        </w:numPr>
        <w:tabs>
          <w:tab w:val="left" w:pos="284"/>
        </w:tabs>
        <w:spacing w:line="360" w:lineRule="auto"/>
        <w:jc w:val="center"/>
        <w:rPr>
          <w:rFonts w:ascii="Arial" w:hAnsi="Arial" w:cs="Arial"/>
          <w:b/>
          <w:lang w:val="es-ES"/>
        </w:rPr>
      </w:pPr>
      <w:r w:rsidRPr="00CF7B56">
        <w:rPr>
          <w:rFonts w:ascii="Arial" w:hAnsi="Arial" w:cs="Arial"/>
          <w:b/>
        </w:rPr>
        <w:t>R</w:t>
      </w:r>
      <w:r w:rsidR="00FB7DC6" w:rsidRPr="00CD5A65">
        <w:rPr>
          <w:rFonts w:ascii="Arial" w:hAnsi="Arial" w:cs="Arial"/>
          <w:b/>
        </w:rPr>
        <w:t>ECOMENDACIONES</w:t>
      </w:r>
    </w:p>
    <w:p w:rsidR="00FB7DC6" w:rsidRPr="004A36CD" w:rsidRDefault="00FB7DC6" w:rsidP="00FB7DC6">
      <w:pPr>
        <w:pStyle w:val="Prrafodelista"/>
        <w:tabs>
          <w:tab w:val="left" w:pos="284"/>
        </w:tabs>
        <w:spacing w:line="360" w:lineRule="auto"/>
        <w:ind w:left="360" w:hanging="993"/>
        <w:rPr>
          <w:rFonts w:ascii="Arial" w:hAnsi="Arial" w:cs="Arial"/>
        </w:rPr>
      </w:pPr>
    </w:p>
    <w:p w:rsidR="00FB7DC6" w:rsidRPr="004A36CD" w:rsidRDefault="00FB7DC6" w:rsidP="00FB7DC6">
      <w:pPr>
        <w:tabs>
          <w:tab w:val="left" w:pos="284"/>
        </w:tabs>
        <w:spacing w:line="360" w:lineRule="auto"/>
        <w:rPr>
          <w:rFonts w:ascii="Arial" w:hAnsi="Arial" w:cs="Arial"/>
        </w:rPr>
      </w:pPr>
      <w:r w:rsidRPr="004A36CD">
        <w:rPr>
          <w:rFonts w:ascii="Arial" w:hAnsi="Arial" w:cs="Arial"/>
        </w:rPr>
        <w:t>A efectos de corregir las debilidades constatadas y de implementar un control efectivo, eficiente y uniforme, que de mayores garantías a los operadores involucrados, se formulan las siguientes recomendaciones:</w:t>
      </w:r>
    </w:p>
    <w:p w:rsidR="00FB7DC6" w:rsidRPr="004A36CD" w:rsidRDefault="00FB7DC6" w:rsidP="00FB7DC6">
      <w:pPr>
        <w:tabs>
          <w:tab w:val="left" w:pos="284"/>
        </w:tabs>
        <w:spacing w:line="360" w:lineRule="auto"/>
        <w:rPr>
          <w:rFonts w:ascii="Arial" w:hAnsi="Arial" w:cs="Arial"/>
        </w:rPr>
      </w:pPr>
    </w:p>
    <w:p w:rsidR="00FB7DC6" w:rsidRDefault="00FB7DC6" w:rsidP="005A54ED">
      <w:pPr>
        <w:pStyle w:val="Prrafodelista"/>
        <w:numPr>
          <w:ilvl w:val="1"/>
          <w:numId w:val="7"/>
        </w:numPr>
        <w:tabs>
          <w:tab w:val="left" w:pos="284"/>
        </w:tabs>
        <w:spacing w:line="360" w:lineRule="auto"/>
        <w:ind w:hanging="720"/>
        <w:rPr>
          <w:rFonts w:ascii="Arial" w:hAnsi="Arial" w:cs="Arial"/>
          <w:b/>
        </w:rPr>
      </w:pPr>
      <w:r w:rsidRPr="005A54ED">
        <w:rPr>
          <w:rFonts w:ascii="Arial" w:hAnsi="Arial" w:cs="Arial"/>
          <w:b/>
        </w:rPr>
        <w:t>Recomendaciones No Cumplidas de Ejercicios Anteriores</w:t>
      </w:r>
    </w:p>
    <w:p w:rsidR="008F002A" w:rsidRDefault="008F002A" w:rsidP="008F002A">
      <w:pPr>
        <w:pStyle w:val="Prrafodelista"/>
        <w:tabs>
          <w:tab w:val="left" w:pos="284"/>
        </w:tabs>
        <w:spacing w:line="360" w:lineRule="auto"/>
        <w:rPr>
          <w:rFonts w:ascii="Arial" w:hAnsi="Arial" w:cs="Arial"/>
          <w:b/>
        </w:rPr>
      </w:pPr>
    </w:p>
    <w:p w:rsidR="005A54ED" w:rsidRDefault="00FB7DC6" w:rsidP="005A54ED">
      <w:pPr>
        <w:pStyle w:val="Prrafodelista"/>
        <w:numPr>
          <w:ilvl w:val="2"/>
          <w:numId w:val="7"/>
        </w:numPr>
        <w:tabs>
          <w:tab w:val="left" w:pos="284"/>
          <w:tab w:val="left" w:pos="1985"/>
        </w:tabs>
        <w:spacing w:line="360" w:lineRule="auto"/>
        <w:rPr>
          <w:rFonts w:ascii="Arial" w:hAnsi="Arial" w:cs="Arial"/>
        </w:rPr>
      </w:pPr>
      <w:r w:rsidRPr="005A54ED">
        <w:rPr>
          <w:rFonts w:ascii="Arial" w:hAnsi="Arial" w:cs="Arial"/>
        </w:rPr>
        <w:t>Continuar implementando acciones a efectos de que el Instituto cumpla con las disposiciones legales y reglamentarias vigentes, tal cual aconteció con  la redacción del Nuevo Reglamento de Viáticos (Ver punto 2.4.)</w:t>
      </w:r>
    </w:p>
    <w:p w:rsidR="001A2B27" w:rsidRPr="005A54ED" w:rsidRDefault="001A2B27" w:rsidP="001A2B27">
      <w:pPr>
        <w:pStyle w:val="Prrafodelista"/>
        <w:tabs>
          <w:tab w:val="left" w:pos="284"/>
          <w:tab w:val="left" w:pos="1985"/>
        </w:tabs>
        <w:spacing w:line="360" w:lineRule="auto"/>
        <w:rPr>
          <w:rFonts w:ascii="Arial" w:hAnsi="Arial" w:cs="Arial"/>
        </w:rPr>
      </w:pPr>
    </w:p>
    <w:p w:rsidR="005A54ED" w:rsidRDefault="00FB7DC6" w:rsidP="005A54ED">
      <w:pPr>
        <w:pStyle w:val="Prrafodelista"/>
        <w:numPr>
          <w:ilvl w:val="2"/>
          <w:numId w:val="7"/>
        </w:numPr>
        <w:tabs>
          <w:tab w:val="left" w:pos="284"/>
          <w:tab w:val="left" w:pos="1985"/>
        </w:tabs>
        <w:spacing w:line="360" w:lineRule="auto"/>
        <w:ind w:left="851" w:hanging="851"/>
        <w:rPr>
          <w:rFonts w:ascii="Arial" w:hAnsi="Arial" w:cs="Arial"/>
        </w:rPr>
      </w:pPr>
      <w:r w:rsidRPr="005A54ED">
        <w:rPr>
          <w:rFonts w:ascii="Arial" w:hAnsi="Arial" w:cs="Arial"/>
        </w:rPr>
        <w:t>Cumplir con lo dispuesto en los Artículos 32 del Título 7 del Texto Ordenado 1996 y 48 del Decreto Nº 148/007 y con el Numeral 47) de la Resolución Nº 662/007, relativas a gravar por el Impuesto a la Renta de las Personas Física</w:t>
      </w:r>
      <w:r w:rsidR="005A54ED" w:rsidRPr="005A54ED">
        <w:rPr>
          <w:rFonts w:ascii="Arial" w:hAnsi="Arial" w:cs="Arial"/>
        </w:rPr>
        <w:t>s</w:t>
      </w:r>
      <w:r w:rsidRPr="005A54ED">
        <w:rPr>
          <w:rFonts w:ascii="Arial" w:hAnsi="Arial" w:cs="Arial"/>
        </w:rPr>
        <w:t xml:space="preserve"> las prestaciones de alimentación en el lugar de trabajo, otorgadas por el empleador; los seguros, los viáticos y los vales de nafta; o acordar con la Dirección General Impositiva un régimen especial (Ver puntos 2.6. y 2.8.)</w:t>
      </w:r>
    </w:p>
    <w:p w:rsidR="005A54ED" w:rsidRDefault="00FB7DC6" w:rsidP="005A54ED">
      <w:pPr>
        <w:pStyle w:val="Prrafodelista"/>
        <w:numPr>
          <w:ilvl w:val="2"/>
          <w:numId w:val="7"/>
        </w:numPr>
        <w:tabs>
          <w:tab w:val="left" w:pos="284"/>
          <w:tab w:val="left" w:pos="1985"/>
        </w:tabs>
        <w:spacing w:line="360" w:lineRule="auto"/>
        <w:ind w:left="851" w:hanging="851"/>
        <w:rPr>
          <w:rFonts w:ascii="Arial" w:hAnsi="Arial" w:cs="Arial"/>
        </w:rPr>
      </w:pPr>
      <w:r w:rsidRPr="005A54ED">
        <w:rPr>
          <w:rFonts w:ascii="Arial" w:hAnsi="Arial" w:cs="Arial"/>
        </w:rPr>
        <w:lastRenderedPageBreak/>
        <w:t>Computar las prestaciones de vivienda, en dinero o en especie, para el cálculo de los aportes del Banco de Previsión Social, de acuerdo a lo establecido en la Ley Nº 16.713 (Ver punto 2.7.)</w:t>
      </w:r>
    </w:p>
    <w:p w:rsidR="001A2B27" w:rsidRDefault="001A2B27" w:rsidP="001A2B27">
      <w:pPr>
        <w:pStyle w:val="Prrafodelista"/>
        <w:tabs>
          <w:tab w:val="left" w:pos="284"/>
          <w:tab w:val="left" w:pos="1985"/>
        </w:tabs>
        <w:spacing w:line="360" w:lineRule="auto"/>
        <w:ind w:left="851"/>
        <w:rPr>
          <w:rFonts w:ascii="Arial" w:hAnsi="Arial" w:cs="Arial"/>
        </w:rPr>
      </w:pPr>
    </w:p>
    <w:p w:rsidR="00FB7DC6" w:rsidRPr="005A54ED" w:rsidRDefault="00FB7DC6" w:rsidP="005A54ED">
      <w:pPr>
        <w:pStyle w:val="Prrafodelista"/>
        <w:numPr>
          <w:ilvl w:val="2"/>
          <w:numId w:val="7"/>
        </w:numPr>
        <w:tabs>
          <w:tab w:val="left" w:pos="284"/>
          <w:tab w:val="left" w:pos="1985"/>
        </w:tabs>
        <w:spacing w:line="360" w:lineRule="auto"/>
        <w:ind w:left="851" w:hanging="851"/>
        <w:rPr>
          <w:rFonts w:ascii="Arial" w:hAnsi="Arial" w:cs="Arial"/>
        </w:rPr>
      </w:pPr>
      <w:r w:rsidRPr="005A54ED">
        <w:rPr>
          <w:rFonts w:ascii="Arial" w:hAnsi="Arial" w:cs="Arial"/>
        </w:rPr>
        <w:t>Gestionar ante el Poder Ejecutivo la reglamentación del régimen especial de horas extras, a efectos de dar cumplimiento a lo dispuesto por el Convenio Nº 30 de la OIT (Ver punto 2.10.)</w:t>
      </w:r>
    </w:p>
    <w:p w:rsidR="00FB7DC6" w:rsidRPr="004A36CD" w:rsidRDefault="00FB7DC6" w:rsidP="00FB7DC6">
      <w:pPr>
        <w:pStyle w:val="Prrafodelista"/>
        <w:tabs>
          <w:tab w:val="left" w:pos="284"/>
        </w:tabs>
        <w:ind w:left="851" w:hanging="851"/>
        <w:rPr>
          <w:rFonts w:ascii="Arial" w:hAnsi="Arial" w:cs="Arial"/>
        </w:rPr>
      </w:pPr>
    </w:p>
    <w:p w:rsidR="00FB7DC6" w:rsidRPr="005A54ED" w:rsidRDefault="005A54ED" w:rsidP="005A54ED">
      <w:pPr>
        <w:pStyle w:val="Prrafodelista"/>
        <w:numPr>
          <w:ilvl w:val="1"/>
          <w:numId w:val="7"/>
        </w:numPr>
        <w:tabs>
          <w:tab w:val="left" w:pos="284"/>
        </w:tabs>
        <w:spacing w:line="360" w:lineRule="auto"/>
        <w:ind w:hanging="720"/>
        <w:rPr>
          <w:rFonts w:ascii="Arial" w:hAnsi="Arial" w:cs="Arial"/>
          <w:b/>
        </w:rPr>
      </w:pPr>
      <w:r>
        <w:rPr>
          <w:rFonts w:ascii="Arial" w:hAnsi="Arial" w:cs="Arial"/>
          <w:b/>
        </w:rPr>
        <w:t xml:space="preserve">  </w:t>
      </w:r>
      <w:r w:rsidR="00FB7DC6" w:rsidRPr="005A54ED">
        <w:rPr>
          <w:rFonts w:ascii="Arial" w:hAnsi="Arial" w:cs="Arial"/>
          <w:b/>
        </w:rPr>
        <w:t xml:space="preserve">Recomendaciones del Ejercicio </w:t>
      </w:r>
    </w:p>
    <w:p w:rsidR="00FB7DC6" w:rsidRPr="004A36CD" w:rsidRDefault="00FB7DC6" w:rsidP="00FB7DC6">
      <w:pPr>
        <w:pStyle w:val="Prrafodelista"/>
        <w:tabs>
          <w:tab w:val="left" w:pos="284"/>
          <w:tab w:val="left" w:pos="1985"/>
        </w:tabs>
        <w:spacing w:line="360" w:lineRule="auto"/>
        <w:ind w:left="0"/>
        <w:rPr>
          <w:rFonts w:ascii="Arial" w:hAnsi="Arial" w:cs="Arial"/>
        </w:rPr>
      </w:pPr>
    </w:p>
    <w:p w:rsidR="00CD5A65" w:rsidRDefault="00FB7DC6" w:rsidP="005A54ED">
      <w:pPr>
        <w:pStyle w:val="Prrafodelista"/>
        <w:numPr>
          <w:ilvl w:val="2"/>
          <w:numId w:val="7"/>
        </w:numPr>
        <w:tabs>
          <w:tab w:val="left" w:pos="284"/>
          <w:tab w:val="left" w:pos="851"/>
        </w:tabs>
        <w:spacing w:line="360" w:lineRule="auto"/>
        <w:ind w:left="851" w:hanging="851"/>
        <w:rPr>
          <w:rFonts w:ascii="Arial" w:hAnsi="Arial" w:cs="Arial"/>
        </w:rPr>
      </w:pPr>
      <w:r w:rsidRPr="00CD5A65">
        <w:rPr>
          <w:rFonts w:ascii="Arial" w:hAnsi="Arial" w:cs="Arial"/>
        </w:rPr>
        <w:t>Controlar que las contrataciones realizadas en forma directa de Cooperativas Sociales, efectuadas al amparo de la causal de excepción del Numeral 20) (ex Literal S) del Artículo 33 del TOCAF, cumplan con lo establecido por el Artículo 174 Literal C) de la Ley              Nº 18.407</w:t>
      </w:r>
      <w:r w:rsidR="00CD5A65" w:rsidRPr="00CD5A65">
        <w:rPr>
          <w:rFonts w:ascii="Arial" w:hAnsi="Arial" w:cs="Arial"/>
        </w:rPr>
        <w:t xml:space="preserve">. </w:t>
      </w:r>
    </w:p>
    <w:p w:rsidR="00FB7DC6" w:rsidRPr="00CD5A65" w:rsidRDefault="00FB7DC6" w:rsidP="00CD5A65">
      <w:pPr>
        <w:pStyle w:val="Prrafodelista"/>
        <w:tabs>
          <w:tab w:val="left" w:pos="284"/>
          <w:tab w:val="left" w:pos="851"/>
        </w:tabs>
        <w:spacing w:line="360" w:lineRule="auto"/>
        <w:ind w:left="851"/>
        <w:rPr>
          <w:rFonts w:ascii="Arial" w:hAnsi="Arial" w:cs="Arial"/>
        </w:rPr>
      </w:pPr>
      <w:r w:rsidRPr="00CD5A65">
        <w:rPr>
          <w:rFonts w:ascii="Arial" w:hAnsi="Arial" w:cs="Arial"/>
        </w:rPr>
        <w:t>A esos efectos, se sugiere designar responsables para ejecutar el referido control, los cuales deberán dejar constancia escrita de las tareas efectuadas y de las correspondientes conclusiones. (Ver punto 2.1.)</w:t>
      </w:r>
    </w:p>
    <w:p w:rsidR="00FB7DC6" w:rsidRPr="004A36CD" w:rsidRDefault="00FB7DC6" w:rsidP="00FB7DC6">
      <w:pPr>
        <w:pStyle w:val="Prrafodelista"/>
        <w:tabs>
          <w:tab w:val="left" w:pos="284"/>
        </w:tabs>
        <w:spacing w:line="360" w:lineRule="auto"/>
        <w:ind w:hanging="993"/>
        <w:rPr>
          <w:rFonts w:ascii="Arial" w:hAnsi="Arial" w:cs="Arial"/>
        </w:rPr>
      </w:pPr>
    </w:p>
    <w:p w:rsidR="00FB7DC6" w:rsidRPr="004A36CD" w:rsidRDefault="00FB7DC6" w:rsidP="005A54ED">
      <w:pPr>
        <w:pStyle w:val="Prrafodelista"/>
        <w:numPr>
          <w:ilvl w:val="2"/>
          <w:numId w:val="7"/>
        </w:numPr>
        <w:tabs>
          <w:tab w:val="left" w:pos="284"/>
          <w:tab w:val="left" w:pos="851"/>
        </w:tabs>
        <w:spacing w:line="360" w:lineRule="auto"/>
        <w:ind w:left="851" w:hanging="851"/>
        <w:rPr>
          <w:rFonts w:ascii="Arial" w:hAnsi="Arial" w:cs="Arial"/>
        </w:rPr>
      </w:pPr>
      <w:r w:rsidRPr="004A36CD">
        <w:rPr>
          <w:rFonts w:ascii="Arial" w:hAnsi="Arial" w:cs="Arial"/>
        </w:rPr>
        <w:t xml:space="preserve">Tener presente lo establecido en los </w:t>
      </w:r>
      <w:r>
        <w:rPr>
          <w:rFonts w:ascii="Arial" w:hAnsi="Arial" w:cs="Arial"/>
        </w:rPr>
        <w:t>A</w:t>
      </w:r>
      <w:r w:rsidRPr="004A36CD">
        <w:rPr>
          <w:rFonts w:ascii="Arial" w:hAnsi="Arial" w:cs="Arial"/>
        </w:rPr>
        <w:t xml:space="preserve">rtículos 13 y 20 del TOCAF, respecto a que los créditos anuales no ejecutados al cierre de </w:t>
      </w:r>
      <w:r w:rsidR="00D33C32">
        <w:rPr>
          <w:rFonts w:ascii="Arial" w:hAnsi="Arial" w:cs="Arial"/>
        </w:rPr>
        <w:t>E</w:t>
      </w:r>
      <w:r w:rsidRPr="004A36CD">
        <w:rPr>
          <w:rFonts w:ascii="Arial" w:hAnsi="Arial" w:cs="Arial"/>
        </w:rPr>
        <w:t>jercicio quedan sin valor ni efecto alguno (Ver punto 2.2.)</w:t>
      </w:r>
    </w:p>
    <w:p w:rsidR="00FB7DC6" w:rsidRPr="004A36CD" w:rsidRDefault="00FB7DC6" w:rsidP="00FB7DC6">
      <w:pPr>
        <w:pStyle w:val="Prrafodelista"/>
        <w:tabs>
          <w:tab w:val="left" w:pos="284"/>
          <w:tab w:val="left" w:pos="851"/>
        </w:tabs>
        <w:spacing w:line="360" w:lineRule="auto"/>
        <w:ind w:hanging="1985"/>
        <w:rPr>
          <w:rFonts w:ascii="Arial" w:hAnsi="Arial" w:cs="Arial"/>
        </w:rPr>
      </w:pPr>
    </w:p>
    <w:p w:rsidR="00FB7DC6" w:rsidRPr="004A36CD" w:rsidRDefault="00FB7DC6" w:rsidP="005A54ED">
      <w:pPr>
        <w:pStyle w:val="Prrafodelista"/>
        <w:numPr>
          <w:ilvl w:val="2"/>
          <w:numId w:val="7"/>
        </w:numPr>
        <w:tabs>
          <w:tab w:val="left" w:pos="284"/>
          <w:tab w:val="left" w:pos="851"/>
        </w:tabs>
        <w:spacing w:line="360" w:lineRule="auto"/>
        <w:ind w:left="851" w:hanging="851"/>
        <w:rPr>
          <w:rFonts w:ascii="Arial" w:hAnsi="Arial" w:cs="Arial"/>
        </w:rPr>
      </w:pPr>
      <w:r w:rsidRPr="004A36CD">
        <w:rPr>
          <w:rFonts w:ascii="Arial" w:hAnsi="Arial" w:cs="Arial"/>
        </w:rPr>
        <w:t xml:space="preserve">Aplicar las facultades otorgadas por la Ley </w:t>
      </w:r>
      <w:r>
        <w:rPr>
          <w:rFonts w:ascii="Arial" w:hAnsi="Arial" w:cs="Arial"/>
        </w:rPr>
        <w:t xml:space="preserve">Nº </w:t>
      </w:r>
      <w:r w:rsidRPr="004A36CD">
        <w:rPr>
          <w:rFonts w:ascii="Arial" w:hAnsi="Arial" w:cs="Arial"/>
        </w:rPr>
        <w:t xml:space="preserve">18.251, relativa a la Responsabilidad Laboral en los Procesos de Descentralización Empresarial, a efectos de evitar posibles reclamaciones laborales contra el </w:t>
      </w:r>
      <w:r w:rsidR="00D33C32">
        <w:rPr>
          <w:rFonts w:ascii="Arial" w:hAnsi="Arial" w:cs="Arial"/>
        </w:rPr>
        <w:t>O</w:t>
      </w:r>
      <w:r w:rsidRPr="004A36CD">
        <w:rPr>
          <w:rFonts w:ascii="Arial" w:hAnsi="Arial" w:cs="Arial"/>
        </w:rPr>
        <w:t>rganismo</w:t>
      </w:r>
    </w:p>
    <w:p w:rsidR="00FB7DC6" w:rsidRPr="004A36CD" w:rsidRDefault="00FB7DC6" w:rsidP="00FB7DC6">
      <w:pPr>
        <w:pStyle w:val="Prrafodelista"/>
        <w:tabs>
          <w:tab w:val="left" w:pos="284"/>
        </w:tabs>
        <w:spacing w:line="360" w:lineRule="auto"/>
        <w:ind w:hanging="993"/>
        <w:rPr>
          <w:rFonts w:ascii="Arial" w:hAnsi="Arial" w:cs="Arial"/>
        </w:rPr>
      </w:pPr>
    </w:p>
    <w:p w:rsidR="00FB7DC6" w:rsidRPr="004A36CD" w:rsidRDefault="00FB7DC6" w:rsidP="00FB7DC6">
      <w:pPr>
        <w:tabs>
          <w:tab w:val="left" w:pos="284"/>
        </w:tabs>
        <w:spacing w:line="360" w:lineRule="auto"/>
        <w:ind w:left="851"/>
        <w:rPr>
          <w:rFonts w:ascii="Arial" w:hAnsi="Arial" w:cs="Arial"/>
        </w:rPr>
      </w:pPr>
      <w:r w:rsidRPr="004A36CD">
        <w:rPr>
          <w:rFonts w:ascii="Arial" w:hAnsi="Arial" w:cs="Arial"/>
        </w:rPr>
        <w:lastRenderedPageBreak/>
        <w:t>A esos efectos, se recomienda controlar que las empresas subcontratadas cumplan con las normas laborales, exigiéndole a la empresa contratada toda la información y documentación que le faculta la Ley. (Ver punto 2.3.)</w:t>
      </w:r>
    </w:p>
    <w:p w:rsidR="00FB7DC6" w:rsidRPr="004A36CD" w:rsidRDefault="00FB7DC6" w:rsidP="00FB7DC6">
      <w:pPr>
        <w:pStyle w:val="Prrafodelista"/>
        <w:tabs>
          <w:tab w:val="left" w:pos="284"/>
        </w:tabs>
        <w:spacing w:line="360" w:lineRule="auto"/>
        <w:ind w:hanging="993"/>
        <w:rPr>
          <w:rFonts w:ascii="Arial" w:hAnsi="Arial" w:cs="Arial"/>
        </w:rPr>
      </w:pPr>
    </w:p>
    <w:p w:rsidR="00FB7DC6" w:rsidRPr="004A36CD" w:rsidRDefault="00FB7DC6" w:rsidP="005A54ED">
      <w:pPr>
        <w:pStyle w:val="Prrafodelista"/>
        <w:numPr>
          <w:ilvl w:val="2"/>
          <w:numId w:val="7"/>
        </w:numPr>
        <w:tabs>
          <w:tab w:val="left" w:pos="284"/>
          <w:tab w:val="left" w:pos="993"/>
        </w:tabs>
        <w:spacing w:line="360" w:lineRule="auto"/>
        <w:ind w:left="851" w:hanging="851"/>
        <w:rPr>
          <w:rFonts w:ascii="Arial" w:hAnsi="Arial" w:cs="Arial"/>
        </w:rPr>
      </w:pPr>
      <w:r w:rsidRPr="004A36CD">
        <w:rPr>
          <w:rFonts w:ascii="Arial" w:hAnsi="Arial" w:cs="Arial"/>
        </w:rPr>
        <w:t xml:space="preserve">Informarse, previo a la contratación de las Cooperativas Sociales, si de acuerdo al servicio a contratar, éste encuadra dentro de los objetos implícitos en su forma jurídica </w:t>
      </w:r>
    </w:p>
    <w:p w:rsidR="00FB7DC6" w:rsidRPr="004A36CD" w:rsidRDefault="00FB7DC6" w:rsidP="00FB7DC6">
      <w:pPr>
        <w:tabs>
          <w:tab w:val="left" w:pos="284"/>
        </w:tabs>
        <w:spacing w:line="360" w:lineRule="auto"/>
        <w:ind w:left="851"/>
        <w:rPr>
          <w:rFonts w:ascii="Arial" w:hAnsi="Arial" w:cs="Arial"/>
        </w:rPr>
      </w:pPr>
      <w:r w:rsidRPr="004A36CD">
        <w:rPr>
          <w:rFonts w:ascii="Arial" w:hAnsi="Arial" w:cs="Arial"/>
        </w:rPr>
        <w:t xml:space="preserve">Asimismo, constatar si se puede llegar a configurar relación de dependencia con el </w:t>
      </w:r>
      <w:r w:rsidR="00D33C32">
        <w:rPr>
          <w:rFonts w:ascii="Arial" w:hAnsi="Arial" w:cs="Arial"/>
        </w:rPr>
        <w:t>O</w:t>
      </w:r>
      <w:r w:rsidRPr="004A36CD">
        <w:rPr>
          <w:rFonts w:ascii="Arial" w:hAnsi="Arial" w:cs="Arial"/>
        </w:rPr>
        <w:t>rganismo. (Ver punto 2.5.)</w:t>
      </w:r>
    </w:p>
    <w:p w:rsidR="00FB7DC6" w:rsidRPr="004A36CD" w:rsidRDefault="00FB7DC6" w:rsidP="00FB7DC6">
      <w:pPr>
        <w:tabs>
          <w:tab w:val="left" w:pos="284"/>
        </w:tabs>
        <w:spacing w:line="360" w:lineRule="auto"/>
        <w:ind w:left="708" w:hanging="993"/>
        <w:rPr>
          <w:rFonts w:ascii="Arial" w:hAnsi="Arial" w:cs="Arial"/>
          <w:lang w:val="es-ES"/>
        </w:rPr>
      </w:pPr>
    </w:p>
    <w:p w:rsidR="00FB7DC6" w:rsidRPr="004A36CD" w:rsidRDefault="00FB7DC6" w:rsidP="005A54ED">
      <w:pPr>
        <w:pStyle w:val="Prrafodelista"/>
        <w:numPr>
          <w:ilvl w:val="2"/>
          <w:numId w:val="7"/>
        </w:numPr>
        <w:tabs>
          <w:tab w:val="left" w:pos="284"/>
          <w:tab w:val="left" w:pos="851"/>
        </w:tabs>
        <w:spacing w:line="360" w:lineRule="auto"/>
        <w:ind w:left="851" w:hanging="851"/>
        <w:rPr>
          <w:rFonts w:ascii="Arial" w:hAnsi="Arial" w:cs="Arial"/>
        </w:rPr>
      </w:pPr>
      <w:r w:rsidRPr="004A36CD">
        <w:rPr>
          <w:rFonts w:ascii="Arial" w:hAnsi="Arial" w:cs="Arial"/>
        </w:rPr>
        <w:t>Cumplir con la Resolución de la DGI Nº 1017/007, respecto a partidas de transporte gravadas por IRPF</w:t>
      </w:r>
      <w:r>
        <w:rPr>
          <w:rFonts w:ascii="Arial" w:hAnsi="Arial" w:cs="Arial"/>
        </w:rPr>
        <w:t>,</w:t>
      </w:r>
      <w:r w:rsidRPr="004A36CD">
        <w:rPr>
          <w:rFonts w:ascii="Arial" w:hAnsi="Arial" w:cs="Arial"/>
        </w:rPr>
        <w:t xml:space="preserve"> por un monto ficto diario (Ver punto 2.9.)</w:t>
      </w:r>
    </w:p>
    <w:p w:rsidR="000F7ECA" w:rsidRPr="00C82D8C" w:rsidRDefault="00C82D8C">
      <w:pPr>
        <w:rPr>
          <w:rFonts w:ascii="Arial" w:hAnsi="Arial" w:cs="Arial"/>
        </w:rPr>
      </w:pPr>
      <w:proofErr w:type="spellStart"/>
      <w:proofErr w:type="gramStart"/>
      <w:r w:rsidRPr="00C82D8C">
        <w:rPr>
          <w:rFonts w:ascii="Arial" w:hAnsi="Arial" w:cs="Arial"/>
        </w:rPr>
        <w:t>mb</w:t>
      </w:r>
      <w:proofErr w:type="spellEnd"/>
      <w:proofErr w:type="gramEnd"/>
    </w:p>
    <w:sectPr w:rsidR="000F7ECA" w:rsidRPr="00C82D8C" w:rsidSect="004B32BE">
      <w:footerReference w:type="default" r:id="rId9"/>
      <w:pgSz w:w="11906" w:h="16838" w:code="9"/>
      <w:pgMar w:top="3289"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12F" w:rsidRDefault="0056312F" w:rsidP="002D2FED">
      <w:r>
        <w:separator/>
      </w:r>
    </w:p>
  </w:endnote>
  <w:endnote w:type="continuationSeparator" w:id="0">
    <w:p w:rsidR="0056312F" w:rsidRDefault="0056312F" w:rsidP="002D2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3194214"/>
      <w:docPartObj>
        <w:docPartGallery w:val="Page Numbers (Bottom of Page)"/>
        <w:docPartUnique/>
      </w:docPartObj>
    </w:sdtPr>
    <w:sdtContent>
      <w:p w:rsidR="0056312F" w:rsidRDefault="0056312F">
        <w:pPr>
          <w:pStyle w:val="Piedepgina"/>
          <w:jc w:val="center"/>
        </w:pPr>
        <w:r>
          <w:fldChar w:fldCharType="begin"/>
        </w:r>
        <w:r>
          <w:instrText>PAGE   \* MERGEFORMAT</w:instrText>
        </w:r>
        <w:r>
          <w:fldChar w:fldCharType="separate"/>
        </w:r>
        <w:r w:rsidR="001A2B27" w:rsidRPr="001A2B27">
          <w:rPr>
            <w:noProof/>
            <w:lang w:val="es-ES"/>
          </w:rPr>
          <w:t>1</w:t>
        </w:r>
        <w:r>
          <w:fldChar w:fldCharType="end"/>
        </w:r>
      </w:p>
    </w:sdtContent>
  </w:sdt>
  <w:p w:rsidR="0056312F" w:rsidRDefault="0056312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12F" w:rsidRDefault="0056312F" w:rsidP="002D2FED">
      <w:r>
        <w:separator/>
      </w:r>
    </w:p>
  </w:footnote>
  <w:footnote w:type="continuationSeparator" w:id="0">
    <w:p w:rsidR="0056312F" w:rsidRDefault="0056312F" w:rsidP="002D2F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416D"/>
    <w:multiLevelType w:val="hybridMultilevel"/>
    <w:tmpl w:val="51ACB696"/>
    <w:lvl w:ilvl="0" w:tplc="380A000B">
      <w:start w:val="1"/>
      <w:numFmt w:val="bullet"/>
      <w:lvlText w:val=""/>
      <w:lvlJc w:val="left"/>
      <w:pPr>
        <w:ind w:left="360" w:hanging="360"/>
      </w:pPr>
      <w:rPr>
        <w:rFonts w:ascii="Wingdings" w:hAnsi="Wingdings" w:hint="default"/>
      </w:rPr>
    </w:lvl>
    <w:lvl w:ilvl="1" w:tplc="380A0003" w:tentative="1">
      <w:start w:val="1"/>
      <w:numFmt w:val="bullet"/>
      <w:lvlText w:val="o"/>
      <w:lvlJc w:val="left"/>
      <w:pPr>
        <w:ind w:left="2495" w:hanging="360"/>
      </w:pPr>
      <w:rPr>
        <w:rFonts w:ascii="Courier New" w:hAnsi="Courier New" w:cs="Courier New" w:hint="default"/>
      </w:rPr>
    </w:lvl>
    <w:lvl w:ilvl="2" w:tplc="380A0005" w:tentative="1">
      <w:start w:val="1"/>
      <w:numFmt w:val="bullet"/>
      <w:lvlText w:val=""/>
      <w:lvlJc w:val="left"/>
      <w:pPr>
        <w:ind w:left="3215" w:hanging="360"/>
      </w:pPr>
      <w:rPr>
        <w:rFonts w:ascii="Wingdings" w:hAnsi="Wingdings" w:hint="default"/>
      </w:rPr>
    </w:lvl>
    <w:lvl w:ilvl="3" w:tplc="380A0001" w:tentative="1">
      <w:start w:val="1"/>
      <w:numFmt w:val="bullet"/>
      <w:lvlText w:val=""/>
      <w:lvlJc w:val="left"/>
      <w:pPr>
        <w:ind w:left="3935" w:hanging="360"/>
      </w:pPr>
      <w:rPr>
        <w:rFonts w:ascii="Symbol" w:hAnsi="Symbol" w:hint="default"/>
      </w:rPr>
    </w:lvl>
    <w:lvl w:ilvl="4" w:tplc="380A0003" w:tentative="1">
      <w:start w:val="1"/>
      <w:numFmt w:val="bullet"/>
      <w:lvlText w:val="o"/>
      <w:lvlJc w:val="left"/>
      <w:pPr>
        <w:ind w:left="4655" w:hanging="360"/>
      </w:pPr>
      <w:rPr>
        <w:rFonts w:ascii="Courier New" w:hAnsi="Courier New" w:cs="Courier New" w:hint="default"/>
      </w:rPr>
    </w:lvl>
    <w:lvl w:ilvl="5" w:tplc="380A0005" w:tentative="1">
      <w:start w:val="1"/>
      <w:numFmt w:val="bullet"/>
      <w:lvlText w:val=""/>
      <w:lvlJc w:val="left"/>
      <w:pPr>
        <w:ind w:left="5375" w:hanging="360"/>
      </w:pPr>
      <w:rPr>
        <w:rFonts w:ascii="Wingdings" w:hAnsi="Wingdings" w:hint="default"/>
      </w:rPr>
    </w:lvl>
    <w:lvl w:ilvl="6" w:tplc="380A0001" w:tentative="1">
      <w:start w:val="1"/>
      <w:numFmt w:val="bullet"/>
      <w:lvlText w:val=""/>
      <w:lvlJc w:val="left"/>
      <w:pPr>
        <w:ind w:left="6095" w:hanging="360"/>
      </w:pPr>
      <w:rPr>
        <w:rFonts w:ascii="Symbol" w:hAnsi="Symbol" w:hint="default"/>
      </w:rPr>
    </w:lvl>
    <w:lvl w:ilvl="7" w:tplc="380A0003" w:tentative="1">
      <w:start w:val="1"/>
      <w:numFmt w:val="bullet"/>
      <w:lvlText w:val="o"/>
      <w:lvlJc w:val="left"/>
      <w:pPr>
        <w:ind w:left="6815" w:hanging="360"/>
      </w:pPr>
      <w:rPr>
        <w:rFonts w:ascii="Courier New" w:hAnsi="Courier New" w:cs="Courier New" w:hint="default"/>
      </w:rPr>
    </w:lvl>
    <w:lvl w:ilvl="8" w:tplc="380A0005" w:tentative="1">
      <w:start w:val="1"/>
      <w:numFmt w:val="bullet"/>
      <w:lvlText w:val=""/>
      <w:lvlJc w:val="left"/>
      <w:pPr>
        <w:ind w:left="7535" w:hanging="360"/>
      </w:pPr>
      <w:rPr>
        <w:rFonts w:ascii="Wingdings" w:hAnsi="Wingdings" w:hint="default"/>
      </w:rPr>
    </w:lvl>
  </w:abstractNum>
  <w:abstractNum w:abstractNumId="1">
    <w:nsid w:val="086F41EB"/>
    <w:multiLevelType w:val="multilevel"/>
    <w:tmpl w:val="B31011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50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9524A8E"/>
    <w:multiLevelType w:val="hybridMultilevel"/>
    <w:tmpl w:val="BF1C303A"/>
    <w:lvl w:ilvl="0" w:tplc="380A000B">
      <w:start w:val="1"/>
      <w:numFmt w:val="bullet"/>
      <w:lvlText w:val=""/>
      <w:lvlJc w:val="left"/>
      <w:pPr>
        <w:ind w:left="1775" w:hanging="360"/>
      </w:pPr>
      <w:rPr>
        <w:rFonts w:ascii="Wingdings" w:hAnsi="Wingdings" w:hint="default"/>
      </w:rPr>
    </w:lvl>
    <w:lvl w:ilvl="1" w:tplc="380A0003" w:tentative="1">
      <w:start w:val="1"/>
      <w:numFmt w:val="bullet"/>
      <w:lvlText w:val="o"/>
      <w:lvlJc w:val="left"/>
      <w:pPr>
        <w:ind w:left="2495" w:hanging="360"/>
      </w:pPr>
      <w:rPr>
        <w:rFonts w:ascii="Courier New" w:hAnsi="Courier New" w:cs="Courier New" w:hint="default"/>
      </w:rPr>
    </w:lvl>
    <w:lvl w:ilvl="2" w:tplc="380A0005" w:tentative="1">
      <w:start w:val="1"/>
      <w:numFmt w:val="bullet"/>
      <w:lvlText w:val=""/>
      <w:lvlJc w:val="left"/>
      <w:pPr>
        <w:ind w:left="3215" w:hanging="360"/>
      </w:pPr>
      <w:rPr>
        <w:rFonts w:ascii="Wingdings" w:hAnsi="Wingdings" w:hint="default"/>
      </w:rPr>
    </w:lvl>
    <w:lvl w:ilvl="3" w:tplc="380A0001" w:tentative="1">
      <w:start w:val="1"/>
      <w:numFmt w:val="bullet"/>
      <w:lvlText w:val=""/>
      <w:lvlJc w:val="left"/>
      <w:pPr>
        <w:ind w:left="3935" w:hanging="360"/>
      </w:pPr>
      <w:rPr>
        <w:rFonts w:ascii="Symbol" w:hAnsi="Symbol" w:hint="default"/>
      </w:rPr>
    </w:lvl>
    <w:lvl w:ilvl="4" w:tplc="380A0003" w:tentative="1">
      <w:start w:val="1"/>
      <w:numFmt w:val="bullet"/>
      <w:lvlText w:val="o"/>
      <w:lvlJc w:val="left"/>
      <w:pPr>
        <w:ind w:left="4655" w:hanging="360"/>
      </w:pPr>
      <w:rPr>
        <w:rFonts w:ascii="Courier New" w:hAnsi="Courier New" w:cs="Courier New" w:hint="default"/>
      </w:rPr>
    </w:lvl>
    <w:lvl w:ilvl="5" w:tplc="380A0005" w:tentative="1">
      <w:start w:val="1"/>
      <w:numFmt w:val="bullet"/>
      <w:lvlText w:val=""/>
      <w:lvlJc w:val="left"/>
      <w:pPr>
        <w:ind w:left="5375" w:hanging="360"/>
      </w:pPr>
      <w:rPr>
        <w:rFonts w:ascii="Wingdings" w:hAnsi="Wingdings" w:hint="default"/>
      </w:rPr>
    </w:lvl>
    <w:lvl w:ilvl="6" w:tplc="380A0001" w:tentative="1">
      <w:start w:val="1"/>
      <w:numFmt w:val="bullet"/>
      <w:lvlText w:val=""/>
      <w:lvlJc w:val="left"/>
      <w:pPr>
        <w:ind w:left="6095" w:hanging="360"/>
      </w:pPr>
      <w:rPr>
        <w:rFonts w:ascii="Symbol" w:hAnsi="Symbol" w:hint="default"/>
      </w:rPr>
    </w:lvl>
    <w:lvl w:ilvl="7" w:tplc="380A0003" w:tentative="1">
      <w:start w:val="1"/>
      <w:numFmt w:val="bullet"/>
      <w:lvlText w:val="o"/>
      <w:lvlJc w:val="left"/>
      <w:pPr>
        <w:ind w:left="6815" w:hanging="360"/>
      </w:pPr>
      <w:rPr>
        <w:rFonts w:ascii="Courier New" w:hAnsi="Courier New" w:cs="Courier New" w:hint="default"/>
      </w:rPr>
    </w:lvl>
    <w:lvl w:ilvl="8" w:tplc="380A0005" w:tentative="1">
      <w:start w:val="1"/>
      <w:numFmt w:val="bullet"/>
      <w:lvlText w:val=""/>
      <w:lvlJc w:val="left"/>
      <w:pPr>
        <w:ind w:left="7535" w:hanging="360"/>
      </w:pPr>
      <w:rPr>
        <w:rFonts w:ascii="Wingdings" w:hAnsi="Wingdings" w:hint="default"/>
      </w:rPr>
    </w:lvl>
  </w:abstractNum>
  <w:abstractNum w:abstractNumId="3">
    <w:nsid w:val="396B6EEB"/>
    <w:multiLevelType w:val="hybridMultilevel"/>
    <w:tmpl w:val="10722800"/>
    <w:lvl w:ilvl="0" w:tplc="710A036E">
      <w:start w:val="1"/>
      <w:numFmt w:val="bullet"/>
      <w:lvlText w:val=""/>
      <w:lvlJc w:val="right"/>
      <w:pPr>
        <w:ind w:left="1512" w:hanging="360"/>
      </w:pPr>
      <w:rPr>
        <w:rFonts w:ascii="Symbol" w:hAnsi="Symbol" w:hint="default"/>
      </w:rPr>
    </w:lvl>
    <w:lvl w:ilvl="1" w:tplc="380A0003" w:tentative="1">
      <w:start w:val="1"/>
      <w:numFmt w:val="bullet"/>
      <w:lvlText w:val="o"/>
      <w:lvlJc w:val="left"/>
      <w:pPr>
        <w:ind w:left="2232" w:hanging="360"/>
      </w:pPr>
      <w:rPr>
        <w:rFonts w:ascii="Courier New" w:hAnsi="Courier New" w:cs="Courier New" w:hint="default"/>
      </w:rPr>
    </w:lvl>
    <w:lvl w:ilvl="2" w:tplc="380A0005" w:tentative="1">
      <w:start w:val="1"/>
      <w:numFmt w:val="bullet"/>
      <w:lvlText w:val=""/>
      <w:lvlJc w:val="left"/>
      <w:pPr>
        <w:ind w:left="2952" w:hanging="360"/>
      </w:pPr>
      <w:rPr>
        <w:rFonts w:ascii="Wingdings" w:hAnsi="Wingdings" w:hint="default"/>
      </w:rPr>
    </w:lvl>
    <w:lvl w:ilvl="3" w:tplc="380A0001" w:tentative="1">
      <w:start w:val="1"/>
      <w:numFmt w:val="bullet"/>
      <w:lvlText w:val=""/>
      <w:lvlJc w:val="left"/>
      <w:pPr>
        <w:ind w:left="3672" w:hanging="360"/>
      </w:pPr>
      <w:rPr>
        <w:rFonts w:ascii="Symbol" w:hAnsi="Symbol" w:hint="default"/>
      </w:rPr>
    </w:lvl>
    <w:lvl w:ilvl="4" w:tplc="380A0003" w:tentative="1">
      <w:start w:val="1"/>
      <w:numFmt w:val="bullet"/>
      <w:lvlText w:val="o"/>
      <w:lvlJc w:val="left"/>
      <w:pPr>
        <w:ind w:left="4392" w:hanging="360"/>
      </w:pPr>
      <w:rPr>
        <w:rFonts w:ascii="Courier New" w:hAnsi="Courier New" w:cs="Courier New" w:hint="default"/>
      </w:rPr>
    </w:lvl>
    <w:lvl w:ilvl="5" w:tplc="380A0005" w:tentative="1">
      <w:start w:val="1"/>
      <w:numFmt w:val="bullet"/>
      <w:lvlText w:val=""/>
      <w:lvlJc w:val="left"/>
      <w:pPr>
        <w:ind w:left="5112" w:hanging="360"/>
      </w:pPr>
      <w:rPr>
        <w:rFonts w:ascii="Wingdings" w:hAnsi="Wingdings" w:hint="default"/>
      </w:rPr>
    </w:lvl>
    <w:lvl w:ilvl="6" w:tplc="380A0001" w:tentative="1">
      <w:start w:val="1"/>
      <w:numFmt w:val="bullet"/>
      <w:lvlText w:val=""/>
      <w:lvlJc w:val="left"/>
      <w:pPr>
        <w:ind w:left="5832" w:hanging="360"/>
      </w:pPr>
      <w:rPr>
        <w:rFonts w:ascii="Symbol" w:hAnsi="Symbol" w:hint="default"/>
      </w:rPr>
    </w:lvl>
    <w:lvl w:ilvl="7" w:tplc="380A0003" w:tentative="1">
      <w:start w:val="1"/>
      <w:numFmt w:val="bullet"/>
      <w:lvlText w:val="o"/>
      <w:lvlJc w:val="left"/>
      <w:pPr>
        <w:ind w:left="6552" w:hanging="360"/>
      </w:pPr>
      <w:rPr>
        <w:rFonts w:ascii="Courier New" w:hAnsi="Courier New" w:cs="Courier New" w:hint="default"/>
      </w:rPr>
    </w:lvl>
    <w:lvl w:ilvl="8" w:tplc="380A0005" w:tentative="1">
      <w:start w:val="1"/>
      <w:numFmt w:val="bullet"/>
      <w:lvlText w:val=""/>
      <w:lvlJc w:val="left"/>
      <w:pPr>
        <w:ind w:left="7272" w:hanging="360"/>
      </w:pPr>
      <w:rPr>
        <w:rFonts w:ascii="Wingdings" w:hAnsi="Wingdings" w:hint="default"/>
      </w:rPr>
    </w:lvl>
  </w:abstractNum>
  <w:abstractNum w:abstractNumId="4">
    <w:nsid w:val="4B122C14"/>
    <w:multiLevelType w:val="hybridMultilevel"/>
    <w:tmpl w:val="14D48A5E"/>
    <w:lvl w:ilvl="0" w:tplc="C5C2381E">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
    <w:nsid w:val="6DBE5131"/>
    <w:multiLevelType w:val="multilevel"/>
    <w:tmpl w:val="41EEBA5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76C77047"/>
    <w:multiLevelType w:val="hybridMultilevel"/>
    <w:tmpl w:val="680C0AEC"/>
    <w:lvl w:ilvl="0" w:tplc="380A000B">
      <w:start w:val="1"/>
      <w:numFmt w:val="bullet"/>
      <w:lvlText w:val=""/>
      <w:lvlJc w:val="left"/>
      <w:pPr>
        <w:ind w:left="1775" w:hanging="360"/>
      </w:pPr>
      <w:rPr>
        <w:rFonts w:ascii="Wingdings" w:hAnsi="Wingdings" w:hint="default"/>
      </w:rPr>
    </w:lvl>
    <w:lvl w:ilvl="1" w:tplc="380A0003" w:tentative="1">
      <w:start w:val="1"/>
      <w:numFmt w:val="bullet"/>
      <w:lvlText w:val="o"/>
      <w:lvlJc w:val="left"/>
      <w:pPr>
        <w:ind w:left="2495" w:hanging="360"/>
      </w:pPr>
      <w:rPr>
        <w:rFonts w:ascii="Courier New" w:hAnsi="Courier New" w:cs="Courier New" w:hint="default"/>
      </w:rPr>
    </w:lvl>
    <w:lvl w:ilvl="2" w:tplc="380A0005" w:tentative="1">
      <w:start w:val="1"/>
      <w:numFmt w:val="bullet"/>
      <w:lvlText w:val=""/>
      <w:lvlJc w:val="left"/>
      <w:pPr>
        <w:ind w:left="3215" w:hanging="360"/>
      </w:pPr>
      <w:rPr>
        <w:rFonts w:ascii="Wingdings" w:hAnsi="Wingdings" w:hint="default"/>
      </w:rPr>
    </w:lvl>
    <w:lvl w:ilvl="3" w:tplc="380A0001" w:tentative="1">
      <w:start w:val="1"/>
      <w:numFmt w:val="bullet"/>
      <w:lvlText w:val=""/>
      <w:lvlJc w:val="left"/>
      <w:pPr>
        <w:ind w:left="3935" w:hanging="360"/>
      </w:pPr>
      <w:rPr>
        <w:rFonts w:ascii="Symbol" w:hAnsi="Symbol" w:hint="default"/>
      </w:rPr>
    </w:lvl>
    <w:lvl w:ilvl="4" w:tplc="380A0003" w:tentative="1">
      <w:start w:val="1"/>
      <w:numFmt w:val="bullet"/>
      <w:lvlText w:val="o"/>
      <w:lvlJc w:val="left"/>
      <w:pPr>
        <w:ind w:left="4655" w:hanging="360"/>
      </w:pPr>
      <w:rPr>
        <w:rFonts w:ascii="Courier New" w:hAnsi="Courier New" w:cs="Courier New" w:hint="default"/>
      </w:rPr>
    </w:lvl>
    <w:lvl w:ilvl="5" w:tplc="380A0005" w:tentative="1">
      <w:start w:val="1"/>
      <w:numFmt w:val="bullet"/>
      <w:lvlText w:val=""/>
      <w:lvlJc w:val="left"/>
      <w:pPr>
        <w:ind w:left="5375" w:hanging="360"/>
      </w:pPr>
      <w:rPr>
        <w:rFonts w:ascii="Wingdings" w:hAnsi="Wingdings" w:hint="default"/>
      </w:rPr>
    </w:lvl>
    <w:lvl w:ilvl="6" w:tplc="380A0001" w:tentative="1">
      <w:start w:val="1"/>
      <w:numFmt w:val="bullet"/>
      <w:lvlText w:val=""/>
      <w:lvlJc w:val="left"/>
      <w:pPr>
        <w:ind w:left="6095" w:hanging="360"/>
      </w:pPr>
      <w:rPr>
        <w:rFonts w:ascii="Symbol" w:hAnsi="Symbol" w:hint="default"/>
      </w:rPr>
    </w:lvl>
    <w:lvl w:ilvl="7" w:tplc="380A0003" w:tentative="1">
      <w:start w:val="1"/>
      <w:numFmt w:val="bullet"/>
      <w:lvlText w:val="o"/>
      <w:lvlJc w:val="left"/>
      <w:pPr>
        <w:ind w:left="6815" w:hanging="360"/>
      </w:pPr>
      <w:rPr>
        <w:rFonts w:ascii="Courier New" w:hAnsi="Courier New" w:cs="Courier New" w:hint="default"/>
      </w:rPr>
    </w:lvl>
    <w:lvl w:ilvl="8" w:tplc="380A0005" w:tentative="1">
      <w:start w:val="1"/>
      <w:numFmt w:val="bullet"/>
      <w:lvlText w:val=""/>
      <w:lvlJc w:val="left"/>
      <w:pPr>
        <w:ind w:left="7535" w:hanging="360"/>
      </w:pPr>
      <w:rPr>
        <w:rFonts w:ascii="Wingdings" w:hAnsi="Wingdings" w:hint="default"/>
      </w:rPr>
    </w:lvl>
  </w:abstractNum>
  <w:abstractNum w:abstractNumId="7">
    <w:nsid w:val="793701D9"/>
    <w:multiLevelType w:val="hybridMultilevel"/>
    <w:tmpl w:val="03DEC62A"/>
    <w:lvl w:ilvl="0" w:tplc="380A000B">
      <w:start w:val="1"/>
      <w:numFmt w:val="bullet"/>
      <w:lvlText w:val=""/>
      <w:lvlJc w:val="left"/>
      <w:pPr>
        <w:ind w:left="1775" w:hanging="360"/>
      </w:pPr>
      <w:rPr>
        <w:rFonts w:ascii="Wingdings" w:hAnsi="Wingdings" w:hint="default"/>
      </w:rPr>
    </w:lvl>
    <w:lvl w:ilvl="1" w:tplc="380A0003">
      <w:start w:val="1"/>
      <w:numFmt w:val="bullet"/>
      <w:lvlText w:val="o"/>
      <w:lvlJc w:val="left"/>
      <w:pPr>
        <w:ind w:left="2495" w:hanging="360"/>
      </w:pPr>
      <w:rPr>
        <w:rFonts w:ascii="Courier New" w:hAnsi="Courier New" w:cs="Courier New" w:hint="default"/>
      </w:rPr>
    </w:lvl>
    <w:lvl w:ilvl="2" w:tplc="380A0005" w:tentative="1">
      <w:start w:val="1"/>
      <w:numFmt w:val="bullet"/>
      <w:lvlText w:val=""/>
      <w:lvlJc w:val="left"/>
      <w:pPr>
        <w:ind w:left="3215" w:hanging="360"/>
      </w:pPr>
      <w:rPr>
        <w:rFonts w:ascii="Wingdings" w:hAnsi="Wingdings" w:hint="default"/>
      </w:rPr>
    </w:lvl>
    <w:lvl w:ilvl="3" w:tplc="380A0001" w:tentative="1">
      <w:start w:val="1"/>
      <w:numFmt w:val="bullet"/>
      <w:lvlText w:val=""/>
      <w:lvlJc w:val="left"/>
      <w:pPr>
        <w:ind w:left="3935" w:hanging="360"/>
      </w:pPr>
      <w:rPr>
        <w:rFonts w:ascii="Symbol" w:hAnsi="Symbol" w:hint="default"/>
      </w:rPr>
    </w:lvl>
    <w:lvl w:ilvl="4" w:tplc="380A0003" w:tentative="1">
      <w:start w:val="1"/>
      <w:numFmt w:val="bullet"/>
      <w:lvlText w:val="o"/>
      <w:lvlJc w:val="left"/>
      <w:pPr>
        <w:ind w:left="4655" w:hanging="360"/>
      </w:pPr>
      <w:rPr>
        <w:rFonts w:ascii="Courier New" w:hAnsi="Courier New" w:cs="Courier New" w:hint="default"/>
      </w:rPr>
    </w:lvl>
    <w:lvl w:ilvl="5" w:tplc="380A0005" w:tentative="1">
      <w:start w:val="1"/>
      <w:numFmt w:val="bullet"/>
      <w:lvlText w:val=""/>
      <w:lvlJc w:val="left"/>
      <w:pPr>
        <w:ind w:left="5375" w:hanging="360"/>
      </w:pPr>
      <w:rPr>
        <w:rFonts w:ascii="Wingdings" w:hAnsi="Wingdings" w:hint="default"/>
      </w:rPr>
    </w:lvl>
    <w:lvl w:ilvl="6" w:tplc="380A0001" w:tentative="1">
      <w:start w:val="1"/>
      <w:numFmt w:val="bullet"/>
      <w:lvlText w:val=""/>
      <w:lvlJc w:val="left"/>
      <w:pPr>
        <w:ind w:left="6095" w:hanging="360"/>
      </w:pPr>
      <w:rPr>
        <w:rFonts w:ascii="Symbol" w:hAnsi="Symbol" w:hint="default"/>
      </w:rPr>
    </w:lvl>
    <w:lvl w:ilvl="7" w:tplc="380A0003" w:tentative="1">
      <w:start w:val="1"/>
      <w:numFmt w:val="bullet"/>
      <w:lvlText w:val="o"/>
      <w:lvlJc w:val="left"/>
      <w:pPr>
        <w:ind w:left="6815" w:hanging="360"/>
      </w:pPr>
      <w:rPr>
        <w:rFonts w:ascii="Courier New" w:hAnsi="Courier New" w:cs="Courier New" w:hint="default"/>
      </w:rPr>
    </w:lvl>
    <w:lvl w:ilvl="8" w:tplc="380A0005" w:tentative="1">
      <w:start w:val="1"/>
      <w:numFmt w:val="bullet"/>
      <w:lvlText w:val=""/>
      <w:lvlJc w:val="left"/>
      <w:pPr>
        <w:ind w:left="7535" w:hanging="360"/>
      </w:pPr>
      <w:rPr>
        <w:rFonts w:ascii="Wingdings" w:hAnsi="Wingdings" w:hint="default"/>
      </w:rPr>
    </w:lvl>
  </w:abstractNum>
  <w:num w:numId="1">
    <w:abstractNumId w:val="3"/>
  </w:num>
  <w:num w:numId="2">
    <w:abstractNumId w:val="1"/>
  </w:num>
  <w:num w:numId="3">
    <w:abstractNumId w:val="7"/>
  </w:num>
  <w:num w:numId="4">
    <w:abstractNumId w:val="2"/>
  </w:num>
  <w:num w:numId="5">
    <w:abstractNumId w:val="0"/>
  </w:num>
  <w:num w:numId="6">
    <w:abstractNumId w:val="6"/>
  </w:num>
  <w:num w:numId="7">
    <w:abstractNumId w:val="5"/>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DC6"/>
    <w:rsid w:val="00004774"/>
    <w:rsid w:val="000F7ECA"/>
    <w:rsid w:val="001A2B27"/>
    <w:rsid w:val="002B5612"/>
    <w:rsid w:val="002D2FED"/>
    <w:rsid w:val="00395C1E"/>
    <w:rsid w:val="004B32BE"/>
    <w:rsid w:val="0056312F"/>
    <w:rsid w:val="005A54ED"/>
    <w:rsid w:val="006D423E"/>
    <w:rsid w:val="00790074"/>
    <w:rsid w:val="008F002A"/>
    <w:rsid w:val="0092448F"/>
    <w:rsid w:val="009A582E"/>
    <w:rsid w:val="00AD2F66"/>
    <w:rsid w:val="00B10FE4"/>
    <w:rsid w:val="00B12FE1"/>
    <w:rsid w:val="00BB4C5A"/>
    <w:rsid w:val="00BD5BF9"/>
    <w:rsid w:val="00C82D8C"/>
    <w:rsid w:val="00CD5A65"/>
    <w:rsid w:val="00CF7B56"/>
    <w:rsid w:val="00D33C32"/>
    <w:rsid w:val="00D96DC0"/>
    <w:rsid w:val="00EF281D"/>
    <w:rsid w:val="00F0683F"/>
    <w:rsid w:val="00FB7DC6"/>
    <w:rsid w:val="00FC35E0"/>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DC6"/>
    <w:pPr>
      <w:spacing w:after="0" w:line="240" w:lineRule="auto"/>
      <w:jc w:val="both"/>
    </w:pPr>
    <w:rPr>
      <w:rFonts w:ascii="Times New Roman" w:eastAsia="Calibri" w:hAnsi="Times New Roman" w:cs="Times New Roman"/>
      <w:sz w:val="24"/>
      <w:szCs w:val="24"/>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FB7DC6"/>
    <w:pPr>
      <w:ind w:left="720"/>
      <w:contextualSpacing/>
    </w:pPr>
  </w:style>
  <w:style w:type="paragraph" w:styleId="Encabezado">
    <w:name w:val="header"/>
    <w:basedOn w:val="Normal"/>
    <w:link w:val="EncabezadoCar"/>
    <w:uiPriority w:val="99"/>
    <w:unhideWhenUsed/>
    <w:rsid w:val="002D2FED"/>
    <w:pPr>
      <w:tabs>
        <w:tab w:val="center" w:pos="4252"/>
        <w:tab w:val="right" w:pos="8504"/>
      </w:tabs>
    </w:pPr>
  </w:style>
  <w:style w:type="character" w:customStyle="1" w:styleId="EncabezadoCar">
    <w:name w:val="Encabezado Car"/>
    <w:basedOn w:val="Fuentedeprrafopredeter"/>
    <w:link w:val="Encabezado"/>
    <w:uiPriority w:val="99"/>
    <w:rsid w:val="002D2FED"/>
    <w:rPr>
      <w:rFonts w:ascii="Times New Roman" w:eastAsia="Calibri" w:hAnsi="Times New Roman" w:cs="Times New Roman"/>
      <w:sz w:val="24"/>
      <w:szCs w:val="24"/>
      <w:lang w:val="es-UY"/>
    </w:rPr>
  </w:style>
  <w:style w:type="paragraph" w:styleId="Piedepgina">
    <w:name w:val="footer"/>
    <w:basedOn w:val="Normal"/>
    <w:link w:val="PiedepginaCar"/>
    <w:uiPriority w:val="99"/>
    <w:unhideWhenUsed/>
    <w:rsid w:val="002D2FED"/>
    <w:pPr>
      <w:tabs>
        <w:tab w:val="center" w:pos="4252"/>
        <w:tab w:val="right" w:pos="8504"/>
      </w:tabs>
    </w:pPr>
  </w:style>
  <w:style w:type="character" w:customStyle="1" w:styleId="PiedepginaCar">
    <w:name w:val="Pie de página Car"/>
    <w:basedOn w:val="Fuentedeprrafopredeter"/>
    <w:link w:val="Piedepgina"/>
    <w:uiPriority w:val="99"/>
    <w:rsid w:val="002D2FED"/>
    <w:rPr>
      <w:rFonts w:ascii="Times New Roman" w:eastAsia="Calibri" w:hAnsi="Times New Roman" w:cs="Times New Roman"/>
      <w:sz w:val="24"/>
      <w:szCs w:val="24"/>
      <w:lang w:val="es-UY"/>
    </w:rPr>
  </w:style>
  <w:style w:type="paragraph" w:styleId="Textodeglobo">
    <w:name w:val="Balloon Text"/>
    <w:basedOn w:val="Normal"/>
    <w:link w:val="TextodegloboCar"/>
    <w:uiPriority w:val="99"/>
    <w:semiHidden/>
    <w:unhideWhenUsed/>
    <w:rsid w:val="00EF281D"/>
    <w:rPr>
      <w:rFonts w:ascii="Tahoma" w:hAnsi="Tahoma" w:cs="Tahoma"/>
      <w:sz w:val="16"/>
      <w:szCs w:val="16"/>
    </w:rPr>
  </w:style>
  <w:style w:type="character" w:customStyle="1" w:styleId="TextodegloboCar">
    <w:name w:val="Texto de globo Car"/>
    <w:basedOn w:val="Fuentedeprrafopredeter"/>
    <w:link w:val="Textodeglobo"/>
    <w:uiPriority w:val="99"/>
    <w:semiHidden/>
    <w:rsid w:val="00EF281D"/>
    <w:rPr>
      <w:rFonts w:ascii="Tahoma" w:eastAsia="Calibri" w:hAnsi="Tahoma" w:cs="Tahoma"/>
      <w:sz w:val="16"/>
      <w:szCs w:val="16"/>
      <w:lang w:val="es-UY"/>
    </w:rPr>
  </w:style>
  <w:style w:type="paragraph" w:styleId="NormalWeb">
    <w:name w:val="Normal (Web)"/>
    <w:basedOn w:val="Normal"/>
    <w:semiHidden/>
    <w:unhideWhenUsed/>
    <w:rsid w:val="00C82D8C"/>
    <w:pPr>
      <w:spacing w:before="100" w:beforeAutospacing="1"/>
    </w:pPr>
    <w:rPr>
      <w:rFonts w:ascii="Arial Unicode MS" w:eastAsia="Arial Unicode MS" w:hAnsi="Arial Unicode MS" w:cs="Arial Unicode MS"/>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DC6"/>
    <w:pPr>
      <w:spacing w:after="0" w:line="240" w:lineRule="auto"/>
      <w:jc w:val="both"/>
    </w:pPr>
    <w:rPr>
      <w:rFonts w:ascii="Times New Roman" w:eastAsia="Calibri" w:hAnsi="Times New Roman" w:cs="Times New Roman"/>
      <w:sz w:val="24"/>
      <w:szCs w:val="24"/>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FB7DC6"/>
    <w:pPr>
      <w:ind w:left="720"/>
      <w:contextualSpacing/>
    </w:pPr>
  </w:style>
  <w:style w:type="paragraph" w:styleId="Encabezado">
    <w:name w:val="header"/>
    <w:basedOn w:val="Normal"/>
    <w:link w:val="EncabezadoCar"/>
    <w:uiPriority w:val="99"/>
    <w:unhideWhenUsed/>
    <w:rsid w:val="002D2FED"/>
    <w:pPr>
      <w:tabs>
        <w:tab w:val="center" w:pos="4252"/>
        <w:tab w:val="right" w:pos="8504"/>
      </w:tabs>
    </w:pPr>
  </w:style>
  <w:style w:type="character" w:customStyle="1" w:styleId="EncabezadoCar">
    <w:name w:val="Encabezado Car"/>
    <w:basedOn w:val="Fuentedeprrafopredeter"/>
    <w:link w:val="Encabezado"/>
    <w:uiPriority w:val="99"/>
    <w:rsid w:val="002D2FED"/>
    <w:rPr>
      <w:rFonts w:ascii="Times New Roman" w:eastAsia="Calibri" w:hAnsi="Times New Roman" w:cs="Times New Roman"/>
      <w:sz w:val="24"/>
      <w:szCs w:val="24"/>
      <w:lang w:val="es-UY"/>
    </w:rPr>
  </w:style>
  <w:style w:type="paragraph" w:styleId="Piedepgina">
    <w:name w:val="footer"/>
    <w:basedOn w:val="Normal"/>
    <w:link w:val="PiedepginaCar"/>
    <w:uiPriority w:val="99"/>
    <w:unhideWhenUsed/>
    <w:rsid w:val="002D2FED"/>
    <w:pPr>
      <w:tabs>
        <w:tab w:val="center" w:pos="4252"/>
        <w:tab w:val="right" w:pos="8504"/>
      </w:tabs>
    </w:pPr>
  </w:style>
  <w:style w:type="character" w:customStyle="1" w:styleId="PiedepginaCar">
    <w:name w:val="Pie de página Car"/>
    <w:basedOn w:val="Fuentedeprrafopredeter"/>
    <w:link w:val="Piedepgina"/>
    <w:uiPriority w:val="99"/>
    <w:rsid w:val="002D2FED"/>
    <w:rPr>
      <w:rFonts w:ascii="Times New Roman" w:eastAsia="Calibri" w:hAnsi="Times New Roman" w:cs="Times New Roman"/>
      <w:sz w:val="24"/>
      <w:szCs w:val="24"/>
      <w:lang w:val="es-UY"/>
    </w:rPr>
  </w:style>
  <w:style w:type="paragraph" w:styleId="Textodeglobo">
    <w:name w:val="Balloon Text"/>
    <w:basedOn w:val="Normal"/>
    <w:link w:val="TextodegloboCar"/>
    <w:uiPriority w:val="99"/>
    <w:semiHidden/>
    <w:unhideWhenUsed/>
    <w:rsid w:val="00EF281D"/>
    <w:rPr>
      <w:rFonts w:ascii="Tahoma" w:hAnsi="Tahoma" w:cs="Tahoma"/>
      <w:sz w:val="16"/>
      <w:szCs w:val="16"/>
    </w:rPr>
  </w:style>
  <w:style w:type="character" w:customStyle="1" w:styleId="TextodegloboCar">
    <w:name w:val="Texto de globo Car"/>
    <w:basedOn w:val="Fuentedeprrafopredeter"/>
    <w:link w:val="Textodeglobo"/>
    <w:uiPriority w:val="99"/>
    <w:semiHidden/>
    <w:rsid w:val="00EF281D"/>
    <w:rPr>
      <w:rFonts w:ascii="Tahoma" w:eastAsia="Calibri" w:hAnsi="Tahoma" w:cs="Tahoma"/>
      <w:sz w:val="16"/>
      <w:szCs w:val="16"/>
      <w:lang w:val="es-UY"/>
    </w:rPr>
  </w:style>
  <w:style w:type="paragraph" w:styleId="NormalWeb">
    <w:name w:val="Normal (Web)"/>
    <w:basedOn w:val="Normal"/>
    <w:semiHidden/>
    <w:unhideWhenUsed/>
    <w:rsid w:val="00C82D8C"/>
    <w:pPr>
      <w:spacing w:before="100" w:beforeAutospacing="1"/>
    </w:pPr>
    <w:rPr>
      <w:rFonts w:ascii="Arial Unicode MS" w:eastAsia="Arial Unicode MS" w:hAnsi="Arial Unicode MS" w:cs="Arial Unicode M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C6815F9-41B5-47BD-96D9-D6A3FDB75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16</Pages>
  <Words>3264</Words>
  <Characters>17956</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21178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 </cp:lastModifiedBy>
  <cp:revision>12</cp:revision>
  <cp:lastPrinted>2013-09-27T17:29:00Z</cp:lastPrinted>
  <dcterms:created xsi:type="dcterms:W3CDTF">2013-09-23T18:58:00Z</dcterms:created>
  <dcterms:modified xsi:type="dcterms:W3CDTF">2013-10-08T18:12:00Z</dcterms:modified>
</cp:coreProperties>
</file>