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E4" w:rsidRDefault="00A92BE4" w:rsidP="00A92BE4">
      <w:pPr>
        <w:tabs>
          <w:tab w:val="center" w:pos="4253"/>
        </w:tabs>
        <w:suppressAutoHyphens/>
        <w:spacing w:line="240" w:lineRule="auto"/>
        <w:jc w:val="center"/>
        <w:rPr>
          <w:rFonts w:ascii="Helvetica" w:hAnsi="Helvetica"/>
          <w:b/>
          <w:lang w:val="es-ES_tradnl"/>
        </w:rPr>
      </w:pPr>
      <w:bookmarkStart w:id="0" w:name="_GoBack"/>
      <w:bookmarkEnd w:id="0"/>
      <w:r>
        <w:rPr>
          <w:rFonts w:ascii="Helvetica" w:hAnsi="Helvetica"/>
          <w:b/>
          <w:lang w:val="es-ES_tradnl"/>
        </w:rPr>
        <w:t>RESOLUCION ADOPTADA POR EL</w:t>
      </w:r>
    </w:p>
    <w:p w:rsidR="00A92BE4" w:rsidRDefault="00A92BE4" w:rsidP="00A92BE4">
      <w:pPr>
        <w:tabs>
          <w:tab w:val="center" w:pos="4253"/>
        </w:tabs>
        <w:suppressAutoHyphens/>
        <w:spacing w:line="240" w:lineRule="auto"/>
        <w:jc w:val="center"/>
        <w:rPr>
          <w:rFonts w:ascii="Helvetica" w:hAnsi="Helvetica"/>
          <w:b/>
          <w:lang w:val="es-ES_tradnl"/>
        </w:rPr>
      </w:pPr>
      <w:r>
        <w:rPr>
          <w:rFonts w:ascii="Helvetica" w:hAnsi="Helvetica"/>
          <w:b/>
          <w:lang w:val="es-ES_tradnl"/>
        </w:rPr>
        <w:t>TRIBUNAL DE CUENTAS</w:t>
      </w:r>
    </w:p>
    <w:p w:rsidR="00A92BE4" w:rsidRDefault="00A92BE4" w:rsidP="00A92BE4">
      <w:pPr>
        <w:tabs>
          <w:tab w:val="center" w:pos="4253"/>
        </w:tabs>
        <w:suppressAutoHyphens/>
        <w:spacing w:line="240" w:lineRule="auto"/>
        <w:jc w:val="center"/>
        <w:rPr>
          <w:rFonts w:ascii="Helvetica" w:hAnsi="Helvetica"/>
          <w:b/>
          <w:lang w:val="es-ES_tradnl"/>
        </w:rPr>
      </w:pPr>
      <w:r>
        <w:rPr>
          <w:rFonts w:ascii="Helvetica" w:hAnsi="Helvetica"/>
          <w:b/>
          <w:lang w:val="es-ES_tradnl"/>
        </w:rPr>
        <w:t>EN SESION DE FECHA 28 DE AGOSTO DE 2013</w:t>
      </w:r>
    </w:p>
    <w:p w:rsidR="00A92BE4" w:rsidRDefault="00A92BE4" w:rsidP="00A92BE4">
      <w:pPr>
        <w:tabs>
          <w:tab w:val="center" w:pos="4253"/>
        </w:tabs>
        <w:suppressAutoHyphens/>
        <w:spacing w:line="240" w:lineRule="auto"/>
        <w:jc w:val="center"/>
        <w:rPr>
          <w:rFonts w:ascii="Arial" w:eastAsia="Times New Roman" w:hAnsi="Arial" w:cs="Arial"/>
          <w:b/>
          <w:spacing w:val="-3"/>
          <w:sz w:val="24"/>
          <w:szCs w:val="20"/>
          <w:lang w:val="es-ES_tradnl" w:eastAsia="es-ES"/>
        </w:rPr>
      </w:pPr>
      <w:r w:rsidRPr="00A92BE4">
        <w:rPr>
          <w:rFonts w:ascii="Helvetica" w:hAnsi="Helvetica"/>
          <w:b/>
        </w:rPr>
        <w:t xml:space="preserve">(E. E. Nº </w:t>
      </w:r>
      <w:r w:rsidRPr="00A92BE4">
        <w:rPr>
          <w:rFonts w:ascii="Arial" w:eastAsia="Times New Roman" w:hAnsi="Arial" w:cs="Arial"/>
          <w:b/>
          <w:spacing w:val="-3"/>
          <w:sz w:val="24"/>
          <w:szCs w:val="20"/>
          <w:lang w:val="es-ES_tradnl" w:eastAsia="es-ES"/>
        </w:rPr>
        <w:t>2013-17-1-0004509</w:t>
      </w:r>
      <w:r>
        <w:rPr>
          <w:rFonts w:ascii="Arial" w:eastAsia="Times New Roman" w:hAnsi="Arial" w:cs="Arial"/>
          <w:b/>
          <w:spacing w:val="-3"/>
          <w:sz w:val="24"/>
          <w:szCs w:val="20"/>
          <w:lang w:val="es-ES_tradnl" w:eastAsia="es-ES"/>
        </w:rPr>
        <w:t xml:space="preserve"> </w:t>
      </w:r>
      <w:r w:rsidRPr="00A92BE4">
        <w:rPr>
          <w:rFonts w:ascii="Arial" w:eastAsia="Times New Roman" w:hAnsi="Arial" w:cs="Arial"/>
          <w:b/>
          <w:spacing w:val="-3"/>
          <w:sz w:val="24"/>
          <w:szCs w:val="20"/>
          <w:lang w:val="es-ES_tradnl" w:eastAsia="es-ES"/>
        </w:rPr>
        <w:t>E</w:t>
      </w:r>
      <w:r>
        <w:rPr>
          <w:rFonts w:ascii="Arial" w:eastAsia="Times New Roman" w:hAnsi="Arial" w:cs="Arial"/>
          <w:b/>
          <w:spacing w:val="-3"/>
          <w:sz w:val="24"/>
          <w:szCs w:val="20"/>
          <w:lang w:val="es-ES_tradnl" w:eastAsia="es-ES"/>
        </w:rPr>
        <w:t>.</w:t>
      </w:r>
      <w:r w:rsidRPr="00A92BE4">
        <w:rPr>
          <w:rFonts w:ascii="Arial" w:eastAsia="Times New Roman" w:hAnsi="Arial" w:cs="Arial"/>
          <w:b/>
          <w:spacing w:val="-3"/>
          <w:sz w:val="24"/>
          <w:szCs w:val="20"/>
          <w:lang w:val="es-ES_tradnl" w:eastAsia="es-ES"/>
        </w:rPr>
        <w:t xml:space="preserve"> Nº 4001/13</w:t>
      </w:r>
      <w:r>
        <w:rPr>
          <w:rFonts w:ascii="Arial" w:eastAsia="Times New Roman" w:hAnsi="Arial" w:cs="Arial"/>
          <w:b/>
          <w:spacing w:val="-3"/>
          <w:sz w:val="24"/>
          <w:szCs w:val="20"/>
          <w:lang w:val="es-ES_tradnl" w:eastAsia="es-ES"/>
        </w:rPr>
        <w:t>)</w:t>
      </w:r>
    </w:p>
    <w:p w:rsidR="00D02B9F" w:rsidRPr="00A92BE4" w:rsidRDefault="00D02B9F" w:rsidP="00A92BE4">
      <w:pPr>
        <w:tabs>
          <w:tab w:val="center" w:pos="4253"/>
        </w:tabs>
        <w:suppressAutoHyphens/>
        <w:spacing w:line="240" w:lineRule="auto"/>
        <w:jc w:val="center"/>
        <w:rPr>
          <w:rFonts w:ascii="Arial" w:eastAsia="Times New Roman" w:hAnsi="Arial" w:cs="Arial"/>
          <w:b/>
          <w:spacing w:val="-3"/>
          <w:sz w:val="24"/>
          <w:szCs w:val="20"/>
          <w:lang w:val="es-ES_tradnl" w:eastAsia="es-ES"/>
        </w:rPr>
      </w:pPr>
    </w:p>
    <w:p w:rsidR="00A92BE4" w:rsidRPr="00A92BE4" w:rsidRDefault="00A92BE4" w:rsidP="00A92BE4">
      <w:pPr>
        <w:spacing w:after="0" w:line="360" w:lineRule="auto"/>
        <w:ind w:firstLine="851"/>
        <w:jc w:val="both"/>
        <w:rPr>
          <w:rFonts w:ascii="Arial" w:eastAsia="Times New Roman" w:hAnsi="Arial" w:cs="Arial"/>
          <w:sz w:val="24"/>
          <w:szCs w:val="24"/>
          <w:lang w:val="es-ES_tradnl" w:eastAsia="es-ES"/>
        </w:rPr>
      </w:pPr>
      <w:r w:rsidRPr="00A92BE4">
        <w:rPr>
          <w:rFonts w:ascii="Arial" w:eastAsia="Times New Roman" w:hAnsi="Arial" w:cs="Arial"/>
          <w:b/>
          <w:sz w:val="24"/>
          <w:szCs w:val="24"/>
          <w:lang w:val="es-ES_tradnl" w:eastAsia="es-ES"/>
        </w:rPr>
        <w:t>VISTO</w:t>
      </w:r>
      <w:r w:rsidRPr="00D02B9F">
        <w:rPr>
          <w:rFonts w:ascii="Arial" w:eastAsia="Times New Roman" w:hAnsi="Arial" w:cs="Arial"/>
          <w:b/>
          <w:sz w:val="24"/>
          <w:szCs w:val="24"/>
          <w:lang w:val="es-ES_tradnl" w:eastAsia="es-ES"/>
        </w:rPr>
        <w:t>:</w:t>
      </w:r>
      <w:r w:rsidRPr="00A92BE4">
        <w:rPr>
          <w:rFonts w:ascii="Arial" w:eastAsia="Times New Roman" w:hAnsi="Arial" w:cs="Arial"/>
          <w:sz w:val="24"/>
          <w:szCs w:val="24"/>
          <w:lang w:val="es-ES_tradnl" w:eastAsia="es-ES"/>
        </w:rPr>
        <w:t xml:space="preserve"> que este Tribunal ha examinado el Proyecto de Presupuesto Operativo, de Operaciones Financieras e Inversiones para el </w:t>
      </w:r>
      <w:r>
        <w:rPr>
          <w:rFonts w:ascii="Arial" w:eastAsia="Times New Roman" w:hAnsi="Arial" w:cs="Arial"/>
          <w:sz w:val="24"/>
          <w:szCs w:val="24"/>
          <w:lang w:val="es-ES_tradnl" w:eastAsia="es-ES"/>
        </w:rPr>
        <w:t>E</w:t>
      </w:r>
      <w:r w:rsidRPr="00A92BE4">
        <w:rPr>
          <w:rFonts w:ascii="Arial" w:eastAsia="Times New Roman" w:hAnsi="Arial" w:cs="Arial"/>
          <w:sz w:val="24"/>
          <w:szCs w:val="24"/>
          <w:lang w:val="es-ES_tradnl" w:eastAsia="es-ES"/>
        </w:rPr>
        <w:t>jercicio 2014, remitido por</w:t>
      </w:r>
      <w:r w:rsidRPr="00A92BE4">
        <w:rPr>
          <w:rFonts w:ascii="Arial" w:eastAsia="Times New Roman" w:hAnsi="Arial" w:cs="Arial"/>
          <w:spacing w:val="-3"/>
          <w:sz w:val="24"/>
          <w:szCs w:val="24"/>
          <w:lang w:val="es-ES_tradnl" w:eastAsia="es-ES"/>
        </w:rPr>
        <w:t xml:space="preserve"> Banco Central del Uruguay</w:t>
      </w:r>
      <w:r w:rsidRPr="00A92BE4">
        <w:rPr>
          <w:rFonts w:ascii="Arial" w:eastAsia="Times New Roman" w:hAnsi="Arial" w:cs="Arial"/>
          <w:sz w:val="24"/>
          <w:szCs w:val="24"/>
          <w:lang w:val="es-ES_tradnl" w:eastAsia="es-ES"/>
        </w:rPr>
        <w:t>;</w:t>
      </w:r>
    </w:p>
    <w:p w:rsidR="00A92BE4" w:rsidRPr="00A92BE4" w:rsidRDefault="00A92BE4" w:rsidP="00A92BE4">
      <w:pPr>
        <w:spacing w:after="0" w:line="360" w:lineRule="auto"/>
        <w:ind w:firstLine="851"/>
        <w:jc w:val="both"/>
        <w:rPr>
          <w:rFonts w:ascii="Arial" w:eastAsia="Times New Roman" w:hAnsi="Arial" w:cs="Arial"/>
          <w:sz w:val="24"/>
          <w:szCs w:val="24"/>
          <w:lang w:val="es-ES_tradnl" w:eastAsia="es-ES"/>
        </w:rPr>
      </w:pPr>
      <w:r w:rsidRPr="00A92BE4">
        <w:rPr>
          <w:rFonts w:ascii="Arial" w:eastAsia="Times New Roman" w:hAnsi="Arial" w:cs="Arial"/>
          <w:b/>
          <w:sz w:val="24"/>
          <w:szCs w:val="24"/>
          <w:lang w:val="es-ES_tradnl" w:eastAsia="es-ES"/>
        </w:rPr>
        <w:t>CONSIDERANDO</w:t>
      </w:r>
      <w:r w:rsidRPr="00D02B9F">
        <w:rPr>
          <w:rFonts w:ascii="Arial" w:eastAsia="Times New Roman" w:hAnsi="Arial" w:cs="Arial"/>
          <w:b/>
          <w:sz w:val="24"/>
          <w:szCs w:val="24"/>
          <w:lang w:val="es-ES_tradnl" w:eastAsia="es-ES"/>
        </w:rPr>
        <w:t>:</w:t>
      </w:r>
      <w:r w:rsidRPr="00A92BE4">
        <w:rPr>
          <w:rFonts w:ascii="Arial" w:eastAsia="Times New Roman" w:hAnsi="Arial" w:cs="Arial"/>
          <w:sz w:val="24"/>
          <w:szCs w:val="24"/>
          <w:lang w:val="es-ES_tradnl" w:eastAsia="es-ES"/>
        </w:rPr>
        <w:t xml:space="preserve"> que las conclusiones obtenidas son las que se expresan en el Dictamen que se adjunta;</w:t>
      </w:r>
    </w:p>
    <w:p w:rsidR="00A92BE4" w:rsidRPr="00A92BE4" w:rsidRDefault="00A92BE4" w:rsidP="00A92BE4">
      <w:pPr>
        <w:spacing w:after="0" w:line="360" w:lineRule="auto"/>
        <w:ind w:firstLine="851"/>
        <w:jc w:val="both"/>
        <w:rPr>
          <w:rFonts w:ascii="Arial" w:eastAsia="Times New Roman" w:hAnsi="Arial" w:cs="Arial"/>
          <w:sz w:val="24"/>
          <w:szCs w:val="24"/>
          <w:lang w:val="es-ES_tradnl" w:eastAsia="es-ES"/>
        </w:rPr>
      </w:pPr>
      <w:r w:rsidRPr="00A92BE4">
        <w:rPr>
          <w:rFonts w:ascii="Arial" w:eastAsia="Times New Roman" w:hAnsi="Arial" w:cs="Arial"/>
          <w:b/>
          <w:sz w:val="24"/>
          <w:szCs w:val="24"/>
          <w:lang w:val="es-ES_tradnl" w:eastAsia="es-ES"/>
        </w:rPr>
        <w:t>ATENTO</w:t>
      </w:r>
      <w:r w:rsidRPr="00D02B9F">
        <w:rPr>
          <w:rFonts w:ascii="Arial" w:eastAsia="Times New Roman" w:hAnsi="Arial" w:cs="Arial"/>
          <w:b/>
          <w:sz w:val="24"/>
          <w:szCs w:val="24"/>
          <w:lang w:val="es-ES_tradnl" w:eastAsia="es-ES"/>
        </w:rPr>
        <w:t>:</w:t>
      </w:r>
      <w:r w:rsidRPr="00A92BE4">
        <w:rPr>
          <w:rFonts w:ascii="Arial" w:eastAsia="Times New Roman" w:hAnsi="Arial" w:cs="Arial"/>
          <w:sz w:val="24"/>
          <w:szCs w:val="24"/>
          <w:lang w:val="es-ES_tradnl" w:eastAsia="es-ES"/>
        </w:rPr>
        <w:t xml:space="preserve"> a lo dispuesto por el Artículo 211 Inc</w:t>
      </w:r>
      <w:r>
        <w:rPr>
          <w:rFonts w:ascii="Arial" w:eastAsia="Times New Roman" w:hAnsi="Arial" w:cs="Arial"/>
          <w:sz w:val="24"/>
          <w:szCs w:val="24"/>
          <w:lang w:val="es-ES_tradnl" w:eastAsia="es-ES"/>
        </w:rPr>
        <w:t>iso</w:t>
      </w:r>
      <w:r w:rsidRPr="00A92BE4">
        <w:rPr>
          <w:rFonts w:ascii="Arial" w:eastAsia="Times New Roman" w:hAnsi="Arial" w:cs="Arial"/>
          <w:sz w:val="24"/>
          <w:szCs w:val="24"/>
          <w:lang w:val="es-ES_tradnl" w:eastAsia="es-ES"/>
        </w:rPr>
        <w:t xml:space="preserve"> A) y 221 de la Constitución de la República;</w:t>
      </w:r>
    </w:p>
    <w:p w:rsidR="00A92BE4" w:rsidRPr="00A92BE4" w:rsidRDefault="00A92BE4" w:rsidP="00A92BE4">
      <w:pPr>
        <w:keepNext/>
        <w:tabs>
          <w:tab w:val="left" w:pos="-720"/>
          <w:tab w:val="left" w:pos="708"/>
        </w:tabs>
        <w:spacing w:after="0" w:line="360" w:lineRule="auto"/>
        <w:jc w:val="center"/>
        <w:outlineLvl w:val="0"/>
        <w:rPr>
          <w:rFonts w:ascii="Arial" w:eastAsia="Times New Roman" w:hAnsi="Arial" w:cs="Arial"/>
          <w:b/>
          <w:bCs/>
          <w:sz w:val="24"/>
          <w:szCs w:val="24"/>
          <w:lang w:val="es-ES_tradnl" w:eastAsia="es-ES"/>
        </w:rPr>
      </w:pPr>
      <w:r w:rsidRPr="00A92BE4">
        <w:rPr>
          <w:rFonts w:ascii="Arial" w:eastAsia="Times New Roman" w:hAnsi="Arial" w:cs="Arial"/>
          <w:b/>
          <w:bCs/>
          <w:sz w:val="24"/>
          <w:szCs w:val="24"/>
          <w:lang w:val="es-ES_tradnl" w:eastAsia="es-ES"/>
        </w:rPr>
        <w:t>EL TRIBUNAL ACUERDA</w:t>
      </w:r>
    </w:p>
    <w:p w:rsidR="00A92BE4" w:rsidRPr="00A92BE4" w:rsidRDefault="00A92BE4" w:rsidP="00A92BE4">
      <w:pPr>
        <w:spacing w:after="0" w:line="360" w:lineRule="auto"/>
        <w:jc w:val="both"/>
        <w:rPr>
          <w:rFonts w:ascii="Arial" w:eastAsia="Times New Roman" w:hAnsi="Arial" w:cs="Arial"/>
          <w:sz w:val="24"/>
          <w:szCs w:val="24"/>
          <w:lang w:eastAsia="es-ES"/>
        </w:rPr>
      </w:pPr>
      <w:r w:rsidRPr="00A92BE4">
        <w:rPr>
          <w:rFonts w:ascii="Arial" w:eastAsia="Times New Roman" w:hAnsi="Arial" w:cs="Arial"/>
          <w:b/>
          <w:sz w:val="24"/>
          <w:szCs w:val="24"/>
          <w:lang w:val="es-ES_tradnl" w:eastAsia="es-ES"/>
        </w:rPr>
        <w:t>1)</w:t>
      </w:r>
      <w:r>
        <w:rPr>
          <w:rFonts w:ascii="Arial" w:eastAsia="Times New Roman" w:hAnsi="Arial" w:cs="Arial"/>
          <w:sz w:val="24"/>
          <w:szCs w:val="24"/>
          <w:lang w:val="es-ES_tradnl" w:eastAsia="es-ES"/>
        </w:rPr>
        <w:t xml:space="preserve"> </w:t>
      </w:r>
      <w:r w:rsidRPr="00A92BE4">
        <w:rPr>
          <w:rFonts w:ascii="Arial" w:eastAsia="Times New Roman" w:hAnsi="Arial" w:cs="Arial"/>
          <w:sz w:val="24"/>
          <w:szCs w:val="24"/>
          <w:lang w:val="es-ES_tradnl" w:eastAsia="es-ES"/>
        </w:rPr>
        <w:t xml:space="preserve">Emitir su pronunciamiento respecto al Proyecto de </w:t>
      </w:r>
      <w:r w:rsidRPr="00A92BE4">
        <w:rPr>
          <w:rFonts w:ascii="Arial" w:eastAsia="Times New Roman" w:hAnsi="Arial" w:cs="Arial"/>
          <w:spacing w:val="-3"/>
          <w:sz w:val="24"/>
          <w:szCs w:val="24"/>
          <w:lang w:val="es-ES_tradnl" w:eastAsia="es-ES"/>
        </w:rPr>
        <w:t>Presupuesto Operativo, de Operaciones Financieras e Inversiones</w:t>
      </w:r>
      <w:r w:rsidRPr="00A92BE4">
        <w:rPr>
          <w:rFonts w:ascii="Arial" w:eastAsia="Times New Roman" w:hAnsi="Arial" w:cs="Arial"/>
          <w:sz w:val="24"/>
          <w:szCs w:val="24"/>
          <w:lang w:val="es-ES_tradnl" w:eastAsia="es-ES"/>
        </w:rPr>
        <w:t xml:space="preserve"> del </w:t>
      </w:r>
      <w:r w:rsidRPr="00A92BE4">
        <w:rPr>
          <w:rFonts w:ascii="Arial" w:eastAsia="Times New Roman" w:hAnsi="Arial" w:cs="Arial"/>
          <w:spacing w:val="-3"/>
          <w:sz w:val="24"/>
          <w:szCs w:val="24"/>
          <w:lang w:val="es-ES_tradnl" w:eastAsia="es-ES"/>
        </w:rPr>
        <w:t>Banco Central del Uruguay</w:t>
      </w:r>
      <w:r w:rsidRPr="00A92BE4">
        <w:rPr>
          <w:rFonts w:ascii="Arial" w:eastAsia="Times New Roman" w:hAnsi="Arial" w:cs="Arial"/>
          <w:sz w:val="24"/>
          <w:szCs w:val="24"/>
          <w:lang w:val="es-ES_tradnl" w:eastAsia="es-ES"/>
        </w:rPr>
        <w:t xml:space="preserve"> correspondiente al </w:t>
      </w:r>
      <w:r w:rsidR="008E5D07">
        <w:rPr>
          <w:rFonts w:ascii="Arial" w:eastAsia="Times New Roman" w:hAnsi="Arial" w:cs="Arial"/>
          <w:sz w:val="24"/>
          <w:szCs w:val="24"/>
          <w:lang w:val="es-ES_tradnl" w:eastAsia="es-ES"/>
        </w:rPr>
        <w:t>E</w:t>
      </w:r>
      <w:r w:rsidRPr="00A92BE4">
        <w:rPr>
          <w:rFonts w:ascii="Arial" w:eastAsia="Times New Roman" w:hAnsi="Arial" w:cs="Arial"/>
          <w:sz w:val="24"/>
          <w:szCs w:val="24"/>
          <w:lang w:val="es-ES_tradnl" w:eastAsia="es-ES"/>
        </w:rPr>
        <w:t>jercicio 2014, en los términos del Dictamen que se adjunta;</w:t>
      </w:r>
    </w:p>
    <w:p w:rsidR="00A92BE4" w:rsidRPr="00A92BE4" w:rsidRDefault="00A92BE4" w:rsidP="00A92BE4">
      <w:pPr>
        <w:tabs>
          <w:tab w:val="num" w:pos="284"/>
        </w:tabs>
        <w:spacing w:after="0" w:line="360" w:lineRule="auto"/>
        <w:jc w:val="both"/>
        <w:rPr>
          <w:rFonts w:ascii="Arial" w:eastAsia="Times New Roman" w:hAnsi="Arial" w:cs="Arial"/>
          <w:sz w:val="24"/>
          <w:szCs w:val="24"/>
          <w:lang w:eastAsia="es-ES"/>
        </w:rPr>
      </w:pPr>
      <w:r w:rsidRPr="00A92BE4">
        <w:rPr>
          <w:rFonts w:ascii="Arial" w:eastAsia="Times New Roman" w:hAnsi="Arial" w:cs="Arial"/>
          <w:b/>
          <w:sz w:val="24"/>
          <w:szCs w:val="24"/>
          <w:lang w:eastAsia="es-ES"/>
        </w:rPr>
        <w:t>2)</w:t>
      </w:r>
      <w:r>
        <w:rPr>
          <w:rFonts w:ascii="Arial" w:eastAsia="Times New Roman" w:hAnsi="Arial" w:cs="Arial"/>
          <w:b/>
          <w:sz w:val="24"/>
          <w:szCs w:val="24"/>
          <w:lang w:eastAsia="es-ES"/>
        </w:rPr>
        <w:t xml:space="preserve"> </w:t>
      </w:r>
      <w:r w:rsidRPr="00A92BE4">
        <w:rPr>
          <w:rFonts w:ascii="Arial" w:eastAsia="Times New Roman" w:hAnsi="Arial" w:cs="Arial"/>
          <w:sz w:val="24"/>
          <w:szCs w:val="24"/>
          <w:lang w:eastAsia="es-ES"/>
        </w:rPr>
        <w:t xml:space="preserve">Téngase presente lo señalado en los </w:t>
      </w:r>
      <w:r w:rsidRPr="00A92BE4">
        <w:rPr>
          <w:rFonts w:ascii="Arial" w:eastAsia="Times New Roman" w:hAnsi="Arial" w:cs="Arial"/>
          <w:sz w:val="24"/>
          <w:szCs w:val="24"/>
          <w:lang w:val="es-ES_tradnl" w:eastAsia="es-ES"/>
        </w:rPr>
        <w:t>p</w:t>
      </w:r>
      <w:r w:rsidR="008E5D07">
        <w:rPr>
          <w:rFonts w:ascii="Arial" w:eastAsia="Times New Roman" w:hAnsi="Arial" w:cs="Arial"/>
          <w:sz w:val="24"/>
          <w:szCs w:val="24"/>
          <w:lang w:val="es-ES_tradnl" w:eastAsia="es-ES"/>
        </w:rPr>
        <w:t>árrafos 2.3, 2.4, 2.5, 2.6, 2.7</w:t>
      </w:r>
      <w:r w:rsidRPr="00A92BE4">
        <w:rPr>
          <w:rFonts w:ascii="Arial" w:eastAsia="Times New Roman" w:hAnsi="Arial" w:cs="Arial"/>
          <w:sz w:val="24"/>
          <w:szCs w:val="24"/>
          <w:lang w:val="es-ES_tradnl" w:eastAsia="es-ES"/>
        </w:rPr>
        <w:t xml:space="preserve"> y 2.9 de dicho Dictamen;</w:t>
      </w:r>
    </w:p>
    <w:p w:rsidR="00A92BE4" w:rsidRDefault="00A92BE4" w:rsidP="00A92BE4">
      <w:pPr>
        <w:tabs>
          <w:tab w:val="num" w:pos="284"/>
        </w:tabs>
        <w:spacing w:after="0" w:line="360" w:lineRule="auto"/>
        <w:jc w:val="both"/>
        <w:rPr>
          <w:rFonts w:ascii="Arial" w:eastAsia="Times New Roman" w:hAnsi="Arial" w:cs="Arial"/>
          <w:sz w:val="24"/>
          <w:szCs w:val="24"/>
          <w:lang w:eastAsia="es-ES"/>
        </w:rPr>
      </w:pPr>
      <w:r w:rsidRPr="00A92BE4">
        <w:rPr>
          <w:rFonts w:ascii="Arial" w:eastAsia="Times New Roman" w:hAnsi="Arial" w:cs="Arial"/>
          <w:b/>
          <w:sz w:val="24"/>
          <w:szCs w:val="24"/>
          <w:lang w:eastAsia="es-ES"/>
        </w:rPr>
        <w:t>3)</w:t>
      </w:r>
      <w:r>
        <w:rPr>
          <w:rFonts w:ascii="Arial" w:eastAsia="Times New Roman" w:hAnsi="Arial" w:cs="Arial"/>
          <w:sz w:val="24"/>
          <w:szCs w:val="24"/>
          <w:lang w:eastAsia="es-ES"/>
        </w:rPr>
        <w:t xml:space="preserve"> </w:t>
      </w:r>
      <w:r w:rsidRPr="00A92BE4">
        <w:rPr>
          <w:rFonts w:ascii="Arial" w:eastAsia="Times New Roman" w:hAnsi="Arial" w:cs="Arial"/>
          <w:sz w:val="24"/>
          <w:szCs w:val="24"/>
          <w:lang w:eastAsia="es-ES"/>
        </w:rPr>
        <w:t xml:space="preserve">Comunicar la presente </w:t>
      </w:r>
      <w:r>
        <w:rPr>
          <w:rFonts w:ascii="Arial" w:eastAsia="Times New Roman" w:hAnsi="Arial" w:cs="Arial"/>
          <w:sz w:val="24"/>
          <w:szCs w:val="24"/>
          <w:lang w:eastAsia="es-ES"/>
        </w:rPr>
        <w:t>R</w:t>
      </w:r>
      <w:r w:rsidRPr="00A92BE4">
        <w:rPr>
          <w:rFonts w:ascii="Arial" w:eastAsia="Times New Roman" w:hAnsi="Arial" w:cs="Arial"/>
          <w:sz w:val="24"/>
          <w:szCs w:val="24"/>
          <w:lang w:eastAsia="es-ES"/>
        </w:rPr>
        <w:t>esolución al Poder Ejecutivo, al Organismo y a la Oficina de Planeamiento y Presupuesto.</w:t>
      </w:r>
    </w:p>
    <w:p w:rsidR="00A92BE4" w:rsidRDefault="00A92BE4" w:rsidP="00A92BE4">
      <w:pPr>
        <w:tabs>
          <w:tab w:val="num" w:pos="284"/>
        </w:tabs>
        <w:spacing w:after="0" w:line="360" w:lineRule="auto"/>
        <w:jc w:val="both"/>
        <w:rPr>
          <w:rFonts w:ascii="Arial" w:eastAsia="Times New Roman" w:hAnsi="Arial" w:cs="Arial"/>
          <w:sz w:val="24"/>
          <w:szCs w:val="24"/>
          <w:lang w:eastAsia="es-ES"/>
        </w:rPr>
      </w:pPr>
    </w:p>
    <w:p w:rsidR="00A92BE4" w:rsidRDefault="00A92BE4" w:rsidP="00A92BE4">
      <w:pPr>
        <w:tabs>
          <w:tab w:val="num" w:pos="284"/>
        </w:tabs>
        <w:spacing w:after="0" w:line="360" w:lineRule="auto"/>
        <w:jc w:val="both"/>
        <w:rPr>
          <w:rFonts w:ascii="Arial" w:eastAsia="Times New Roman" w:hAnsi="Arial" w:cs="Arial"/>
          <w:sz w:val="24"/>
          <w:szCs w:val="24"/>
          <w:lang w:eastAsia="es-ES"/>
        </w:rPr>
      </w:pPr>
    </w:p>
    <w:p w:rsidR="00D02B9F" w:rsidRDefault="00D02B9F">
      <w:pPr>
        <w:pStyle w:val="Ttulo"/>
        <w:tabs>
          <w:tab w:val="clear" w:pos="-720"/>
        </w:tabs>
        <w:spacing w:line="360" w:lineRule="auto"/>
        <w:rPr>
          <w:rFonts w:cs="Arial"/>
        </w:rPr>
      </w:pPr>
      <w:r>
        <w:rPr>
          <w:rFonts w:cs="Arial"/>
        </w:rPr>
        <w:t>DICTAMEN</w:t>
      </w:r>
    </w:p>
    <w:p w:rsidR="00D02B9F" w:rsidRPr="00D02B9F" w:rsidRDefault="00D02B9F">
      <w:pPr>
        <w:spacing w:line="360" w:lineRule="auto"/>
        <w:jc w:val="both"/>
        <w:rPr>
          <w:rFonts w:ascii="Arial" w:hAnsi="Arial" w:cs="Arial"/>
          <w:spacing w:val="-3"/>
          <w:sz w:val="24"/>
          <w:szCs w:val="24"/>
          <w:lang w:val="es-ES_tradnl"/>
        </w:rPr>
      </w:pPr>
      <w:r w:rsidRPr="00D02B9F">
        <w:rPr>
          <w:rFonts w:ascii="Arial" w:hAnsi="Arial" w:cs="Arial"/>
          <w:spacing w:val="-3"/>
          <w:sz w:val="24"/>
          <w:szCs w:val="24"/>
          <w:lang w:val="es-ES_tradnl"/>
        </w:rPr>
        <w:t xml:space="preserve">El Tribunal de Cuentas ha examinado el Proyecto de Presupuesto para el Ejercicio 2014 del Banco Central del Uruguay (B.C.U.). Toda la información incluida en el referido Proyecto y los supuestos sobre los que se basa son responsabilidad del Directorio del Banco Central del Uruguay. La responsabilidad del Tribunal de Cuentas es expresar una opinión sobre dicho Proyecto de Presupuesto de acuerdo con lo dispuesto por los Artículos 211 Inciso A) y 221 de </w:t>
      </w:r>
      <w:r w:rsidRPr="00D02B9F">
        <w:rPr>
          <w:rFonts w:ascii="Arial" w:hAnsi="Arial" w:cs="Arial"/>
          <w:spacing w:val="-3"/>
          <w:sz w:val="24"/>
          <w:szCs w:val="24"/>
          <w:lang w:val="es-ES_tradnl"/>
        </w:rPr>
        <w:lastRenderedPageBreak/>
        <w:t xml:space="preserve">la Constitución de la República y establecer, en caso que corresponda, los hallazgos realizados con relación al cumplimiento de las </w:t>
      </w:r>
      <w:r w:rsidRPr="00D02B9F">
        <w:rPr>
          <w:rFonts w:ascii="Arial" w:hAnsi="Arial" w:cs="Arial"/>
          <w:bCs/>
          <w:spacing w:val="-3"/>
          <w:sz w:val="24"/>
          <w:szCs w:val="24"/>
          <w:lang w:val="es-ES_tradnl"/>
        </w:rPr>
        <w:t>normas constitucionales,</w:t>
      </w:r>
      <w:r w:rsidRPr="00D02B9F">
        <w:rPr>
          <w:rFonts w:ascii="Arial" w:hAnsi="Arial" w:cs="Arial"/>
          <w:spacing w:val="-3"/>
          <w:sz w:val="24"/>
          <w:szCs w:val="24"/>
          <w:lang w:val="es-ES_tradnl"/>
        </w:rPr>
        <w:t xml:space="preserve"> legales y reglamentarias  que resulten aplicables.</w:t>
      </w:r>
    </w:p>
    <w:p w:rsidR="00D02B9F" w:rsidRPr="00D02B9F" w:rsidRDefault="00D02B9F" w:rsidP="00D02B9F">
      <w:pPr>
        <w:numPr>
          <w:ilvl w:val="0"/>
          <w:numId w:val="2"/>
        </w:numPr>
        <w:spacing w:after="0" w:line="360" w:lineRule="auto"/>
        <w:ind w:left="0" w:firstLine="0"/>
        <w:jc w:val="both"/>
        <w:rPr>
          <w:rFonts w:ascii="Arial" w:hAnsi="Arial" w:cs="Arial"/>
          <w:b/>
          <w:bCs/>
          <w:sz w:val="24"/>
          <w:szCs w:val="24"/>
        </w:rPr>
      </w:pPr>
      <w:r w:rsidRPr="00D02B9F">
        <w:rPr>
          <w:rFonts w:ascii="Arial" w:hAnsi="Arial" w:cs="Arial"/>
          <w:b/>
          <w:bCs/>
          <w:sz w:val="24"/>
          <w:szCs w:val="24"/>
        </w:rPr>
        <w:t>ANÁLISIS DE INGRESOS PROYECTADOS Y ASIGNACIONES PRESUPUESTALES</w:t>
      </w:r>
    </w:p>
    <w:p w:rsidR="00D02B9F" w:rsidRPr="00D02B9F" w:rsidRDefault="00D02B9F" w:rsidP="00D02B9F">
      <w:pPr>
        <w:numPr>
          <w:ilvl w:val="1"/>
          <w:numId w:val="2"/>
        </w:numPr>
        <w:spacing w:after="0" w:line="360" w:lineRule="auto"/>
        <w:jc w:val="both"/>
        <w:rPr>
          <w:rFonts w:ascii="Arial" w:hAnsi="Arial" w:cs="Arial"/>
          <w:b/>
          <w:bCs/>
          <w:sz w:val="24"/>
          <w:szCs w:val="24"/>
        </w:rPr>
      </w:pPr>
      <w:r w:rsidRPr="00D02B9F">
        <w:rPr>
          <w:rFonts w:ascii="Arial" w:hAnsi="Arial" w:cs="Arial"/>
          <w:b/>
          <w:bCs/>
          <w:sz w:val="24"/>
          <w:szCs w:val="24"/>
        </w:rPr>
        <w:t>Ingresos proyectados</w:t>
      </w:r>
    </w:p>
    <w:tbl>
      <w:tblPr>
        <w:tblW w:w="5827" w:type="dxa"/>
        <w:jc w:val="center"/>
        <w:tblCellMar>
          <w:left w:w="0" w:type="dxa"/>
          <w:right w:w="0" w:type="dxa"/>
        </w:tblCellMar>
        <w:tblLook w:val="0000" w:firstRow="0" w:lastRow="0" w:firstColumn="0" w:lastColumn="0" w:noHBand="0" w:noVBand="0"/>
      </w:tblPr>
      <w:tblGrid>
        <w:gridCol w:w="3040"/>
        <w:gridCol w:w="2787"/>
      </w:tblGrid>
      <w:tr w:rsidR="00D02B9F" w:rsidRPr="00D02B9F">
        <w:trPr>
          <w:trHeight w:val="315"/>
          <w:jc w:val="center"/>
        </w:trPr>
        <w:tc>
          <w:tcPr>
            <w:tcW w:w="30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r w:rsidRPr="00D02B9F">
              <w:rPr>
                <w:rFonts w:ascii="Arial" w:hAnsi="Arial" w:cs="Arial"/>
                <w:b/>
                <w:bCs/>
                <w:sz w:val="24"/>
                <w:szCs w:val="24"/>
              </w:rPr>
              <w:t>Denominación</w:t>
            </w:r>
          </w:p>
        </w:tc>
        <w:tc>
          <w:tcPr>
            <w:tcW w:w="27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pStyle w:val="Ttulo4"/>
            </w:pPr>
            <w:r w:rsidRPr="00D02B9F">
              <w:t>Importe en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Ingresos financieros</w:t>
            </w:r>
          </w:p>
        </w:tc>
        <w:tc>
          <w:tcPr>
            <w:tcW w:w="27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6.456:528.029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Ingresos no financieros</w:t>
            </w:r>
          </w:p>
        </w:tc>
        <w:tc>
          <w:tcPr>
            <w:tcW w:w="27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771:916.634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Financiamiento de terceros</w:t>
            </w:r>
          </w:p>
        </w:tc>
        <w:tc>
          <w:tcPr>
            <w:tcW w:w="27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211.226:876.519   </w:t>
            </w:r>
          </w:p>
        </w:tc>
      </w:tr>
      <w:tr w:rsidR="00D02B9F" w:rsidRPr="00D02B9F">
        <w:trPr>
          <w:trHeight w:val="31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r w:rsidRPr="00D02B9F">
              <w:rPr>
                <w:rFonts w:ascii="Arial" w:hAnsi="Arial" w:cs="Arial"/>
                <w:b/>
                <w:bCs/>
                <w:sz w:val="24"/>
                <w:szCs w:val="24"/>
              </w:rPr>
              <w:t>Total Ingresos</w:t>
            </w:r>
          </w:p>
        </w:tc>
        <w:tc>
          <w:tcPr>
            <w:tcW w:w="27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b/>
                <w:bCs/>
                <w:sz w:val="24"/>
                <w:szCs w:val="24"/>
              </w:rPr>
            </w:pPr>
            <w:r w:rsidRPr="00D02B9F">
              <w:rPr>
                <w:rFonts w:ascii="Arial" w:hAnsi="Arial" w:cs="Arial"/>
                <w:b/>
                <w:bCs/>
                <w:sz w:val="24"/>
                <w:szCs w:val="24"/>
              </w:rPr>
              <w:t xml:space="preserve">   218.455:321.182   </w:t>
            </w:r>
          </w:p>
        </w:tc>
      </w:tr>
    </w:tbl>
    <w:p w:rsidR="00D02B9F" w:rsidRPr="00D02B9F" w:rsidRDefault="00D02B9F">
      <w:pPr>
        <w:spacing w:line="360" w:lineRule="auto"/>
        <w:ind w:left="360"/>
        <w:rPr>
          <w:rFonts w:ascii="Arial" w:hAnsi="Arial" w:cs="Arial"/>
          <w:b/>
          <w:bCs/>
          <w:spacing w:val="-3"/>
          <w:sz w:val="24"/>
          <w:szCs w:val="24"/>
          <w:lang w:val="es-ES_tradnl"/>
        </w:rPr>
      </w:pPr>
    </w:p>
    <w:p w:rsidR="00D02B9F" w:rsidRPr="00D02B9F" w:rsidRDefault="00D02B9F" w:rsidP="00D02B9F">
      <w:pPr>
        <w:numPr>
          <w:ilvl w:val="1"/>
          <w:numId w:val="2"/>
        </w:numPr>
        <w:suppressAutoHyphens/>
        <w:spacing w:after="0" w:line="360" w:lineRule="auto"/>
        <w:jc w:val="both"/>
        <w:rPr>
          <w:rFonts w:ascii="Arial" w:hAnsi="Arial" w:cs="Arial"/>
          <w:b/>
          <w:bCs/>
          <w:spacing w:val="-3"/>
          <w:sz w:val="24"/>
          <w:szCs w:val="24"/>
          <w:lang w:val="es-ES_tradnl"/>
        </w:rPr>
      </w:pPr>
      <w:r w:rsidRPr="00D02B9F">
        <w:rPr>
          <w:rFonts w:ascii="Arial" w:hAnsi="Arial" w:cs="Arial"/>
          <w:b/>
          <w:bCs/>
          <w:spacing w:val="-3"/>
          <w:sz w:val="24"/>
          <w:szCs w:val="24"/>
          <w:lang w:val="es-ES_tradnl"/>
        </w:rPr>
        <w:t>Asignaciones Presupuestales</w:t>
      </w:r>
    </w:p>
    <w:p w:rsidR="00D02B9F" w:rsidRPr="00D02B9F" w:rsidRDefault="00D02B9F">
      <w:pPr>
        <w:spacing w:line="360" w:lineRule="auto"/>
        <w:ind w:left="360"/>
        <w:jc w:val="both"/>
        <w:rPr>
          <w:rFonts w:ascii="Arial" w:hAnsi="Arial" w:cs="Arial"/>
          <w:b/>
          <w:noProof/>
          <w:spacing w:val="-3"/>
          <w:sz w:val="24"/>
          <w:szCs w:val="24"/>
        </w:rPr>
      </w:pPr>
      <w:r w:rsidRPr="00D02B9F">
        <w:rPr>
          <w:rFonts w:ascii="Arial" w:hAnsi="Arial" w:cs="Arial"/>
          <w:b/>
          <w:noProof/>
          <w:spacing w:val="-3"/>
          <w:sz w:val="24"/>
          <w:szCs w:val="24"/>
        </w:rPr>
        <w:t>Presupuesto de Egresos Operativos y de Operaciones Financieras:</w:t>
      </w:r>
    </w:p>
    <w:tbl>
      <w:tblPr>
        <w:tblW w:w="6040" w:type="dxa"/>
        <w:jc w:val="center"/>
        <w:tblCellMar>
          <w:left w:w="0" w:type="dxa"/>
          <w:right w:w="0" w:type="dxa"/>
        </w:tblCellMar>
        <w:tblLook w:val="0000" w:firstRow="0" w:lastRow="0" w:firstColumn="0" w:lastColumn="0" w:noHBand="0" w:noVBand="0"/>
      </w:tblPr>
      <w:tblGrid>
        <w:gridCol w:w="860"/>
        <w:gridCol w:w="2872"/>
        <w:gridCol w:w="2320"/>
      </w:tblGrid>
      <w:tr w:rsidR="00D02B9F" w:rsidRPr="00D02B9F">
        <w:trPr>
          <w:trHeight w:val="315"/>
          <w:jc w:val="center"/>
        </w:trPr>
        <w:tc>
          <w:tcPr>
            <w:tcW w:w="8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b/>
                <w:bCs/>
                <w:sz w:val="24"/>
                <w:szCs w:val="24"/>
              </w:rPr>
            </w:pPr>
            <w:r w:rsidRPr="00D02B9F">
              <w:rPr>
                <w:rFonts w:ascii="Arial" w:hAnsi="Arial" w:cs="Arial"/>
                <w:b/>
                <w:bCs/>
                <w:sz w:val="24"/>
                <w:szCs w:val="24"/>
              </w:rPr>
              <w:t>Grupo</w:t>
            </w:r>
          </w:p>
        </w:tc>
        <w:tc>
          <w:tcPr>
            <w:tcW w:w="28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r w:rsidRPr="00D02B9F">
              <w:rPr>
                <w:rFonts w:ascii="Arial" w:hAnsi="Arial" w:cs="Arial"/>
                <w:b/>
                <w:bCs/>
                <w:sz w:val="24"/>
                <w:szCs w:val="24"/>
              </w:rPr>
              <w:t>Denominación</w:t>
            </w:r>
          </w:p>
        </w:tc>
        <w:tc>
          <w:tcPr>
            <w:tcW w:w="23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b/>
                <w:bCs/>
                <w:sz w:val="24"/>
                <w:szCs w:val="24"/>
              </w:rPr>
            </w:pPr>
            <w:r w:rsidRPr="00D02B9F">
              <w:rPr>
                <w:rFonts w:ascii="Arial" w:hAnsi="Arial" w:cs="Arial"/>
                <w:b/>
                <w:bCs/>
                <w:sz w:val="24"/>
                <w:szCs w:val="24"/>
              </w:rPr>
              <w:t>Importe en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Servicios Personales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1.650:354.385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Bienes de Consumo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192:438.539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Servicios no Personales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398:637.325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Transferencias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1:034.000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Gastos no clasificados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17:732.276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proofErr w:type="spellStart"/>
            <w:r w:rsidRPr="00D02B9F">
              <w:rPr>
                <w:rFonts w:ascii="Arial" w:hAnsi="Arial" w:cs="Arial"/>
                <w:sz w:val="24"/>
                <w:szCs w:val="24"/>
              </w:rPr>
              <w:t>Ints</w:t>
            </w:r>
            <w:proofErr w:type="spellEnd"/>
            <w:r w:rsidRPr="00D02B9F">
              <w:rPr>
                <w:rFonts w:ascii="Arial" w:hAnsi="Arial" w:cs="Arial"/>
                <w:sz w:val="24"/>
                <w:szCs w:val="24"/>
              </w:rPr>
              <w:t>. y otros Gastos Deuda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13.752:330.446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Aplicaciones Financieras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177.006:178.947   </w:t>
            </w:r>
          </w:p>
        </w:tc>
      </w:tr>
      <w:tr w:rsidR="00D02B9F" w:rsidRPr="00D02B9F">
        <w:trPr>
          <w:trHeight w:val="31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b/>
                <w:bCs/>
                <w:sz w:val="24"/>
                <w:szCs w:val="24"/>
              </w:rPr>
            </w:pPr>
            <w:r w:rsidRPr="00D02B9F">
              <w:rPr>
                <w:rFonts w:ascii="Arial" w:hAnsi="Arial" w:cs="Arial"/>
                <w:b/>
                <w:bCs/>
                <w:sz w:val="24"/>
                <w:szCs w:val="24"/>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r w:rsidRPr="00D02B9F">
              <w:rPr>
                <w:rFonts w:ascii="Arial" w:hAnsi="Arial" w:cs="Arial"/>
                <w:b/>
                <w:bCs/>
                <w:sz w:val="24"/>
                <w:szCs w:val="24"/>
              </w:rPr>
              <w:t>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b/>
                <w:bCs/>
                <w:sz w:val="24"/>
                <w:szCs w:val="24"/>
              </w:rPr>
            </w:pPr>
            <w:r w:rsidRPr="00D02B9F">
              <w:rPr>
                <w:rFonts w:ascii="Arial" w:hAnsi="Arial" w:cs="Arial"/>
                <w:b/>
                <w:bCs/>
                <w:sz w:val="24"/>
                <w:szCs w:val="24"/>
              </w:rPr>
              <w:t xml:space="preserve">   193.018:705.918   </w:t>
            </w:r>
          </w:p>
        </w:tc>
      </w:tr>
    </w:tbl>
    <w:p w:rsidR="00D02B9F" w:rsidRPr="00D02B9F" w:rsidRDefault="00D02B9F">
      <w:pPr>
        <w:spacing w:line="360" w:lineRule="auto"/>
        <w:ind w:left="360"/>
        <w:jc w:val="both"/>
        <w:rPr>
          <w:rFonts w:ascii="Arial" w:hAnsi="Arial" w:cs="Arial"/>
          <w:noProof/>
          <w:spacing w:val="-3"/>
          <w:sz w:val="24"/>
          <w:szCs w:val="24"/>
        </w:rPr>
      </w:pPr>
    </w:p>
    <w:p w:rsidR="00D02B9F" w:rsidRPr="00D02B9F" w:rsidRDefault="00D02B9F">
      <w:pPr>
        <w:spacing w:line="360" w:lineRule="auto"/>
        <w:ind w:left="360"/>
        <w:jc w:val="both"/>
        <w:rPr>
          <w:rFonts w:ascii="Arial" w:hAnsi="Arial" w:cs="Arial"/>
          <w:b/>
          <w:noProof/>
          <w:spacing w:val="-3"/>
          <w:sz w:val="24"/>
          <w:szCs w:val="24"/>
        </w:rPr>
      </w:pPr>
      <w:r w:rsidRPr="00D02B9F">
        <w:rPr>
          <w:rFonts w:ascii="Arial" w:hAnsi="Arial" w:cs="Arial"/>
          <w:b/>
          <w:noProof/>
          <w:spacing w:val="-3"/>
          <w:sz w:val="24"/>
          <w:szCs w:val="24"/>
        </w:rPr>
        <w:lastRenderedPageBreak/>
        <w:t>Presupuesto de Inversiones</w:t>
      </w:r>
    </w:p>
    <w:tbl>
      <w:tblPr>
        <w:tblW w:w="4860" w:type="dxa"/>
        <w:jc w:val="center"/>
        <w:tblCellMar>
          <w:left w:w="0" w:type="dxa"/>
          <w:right w:w="0" w:type="dxa"/>
        </w:tblCellMar>
        <w:tblLook w:val="0000" w:firstRow="0" w:lastRow="0" w:firstColumn="0" w:lastColumn="0" w:noHBand="0" w:noVBand="0"/>
      </w:tblPr>
      <w:tblGrid>
        <w:gridCol w:w="1200"/>
        <w:gridCol w:w="1820"/>
        <w:gridCol w:w="1840"/>
      </w:tblGrid>
      <w:tr w:rsidR="00D02B9F" w:rsidRPr="00D02B9F">
        <w:trPr>
          <w:trHeight w:val="315"/>
          <w:jc w:val="center"/>
        </w:trPr>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b/>
                <w:bCs/>
                <w:sz w:val="24"/>
                <w:szCs w:val="24"/>
              </w:rPr>
            </w:pPr>
            <w:r w:rsidRPr="00D02B9F">
              <w:rPr>
                <w:rFonts w:ascii="Arial" w:hAnsi="Arial" w:cs="Arial"/>
                <w:b/>
                <w:bCs/>
                <w:sz w:val="24"/>
                <w:szCs w:val="24"/>
              </w:rPr>
              <w:t>Grupo</w:t>
            </w:r>
          </w:p>
        </w:tc>
        <w:tc>
          <w:tcPr>
            <w:tcW w:w="18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r w:rsidRPr="00D02B9F">
              <w:rPr>
                <w:rFonts w:ascii="Arial" w:hAnsi="Arial" w:cs="Arial"/>
                <w:b/>
                <w:bCs/>
                <w:sz w:val="24"/>
                <w:szCs w:val="24"/>
              </w:rPr>
              <w:t>Denominación</w:t>
            </w:r>
          </w:p>
        </w:tc>
        <w:tc>
          <w:tcPr>
            <w:tcW w:w="18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b/>
                <w:bCs/>
                <w:sz w:val="24"/>
                <w:szCs w:val="24"/>
              </w:rPr>
            </w:pPr>
            <w:r w:rsidRPr="00D02B9F">
              <w:rPr>
                <w:rFonts w:ascii="Arial" w:hAnsi="Arial" w:cs="Arial"/>
                <w:b/>
                <w:bCs/>
                <w:sz w:val="24"/>
                <w:szCs w:val="24"/>
              </w:rPr>
              <w:t xml:space="preserve"> Importe en $ </w:t>
            </w:r>
          </w:p>
        </w:tc>
      </w:tr>
      <w:tr w:rsidR="00D02B9F" w:rsidRPr="00D02B9F">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center"/>
              <w:rPr>
                <w:rFonts w:ascii="Arial" w:hAnsi="Arial" w:cs="Arial"/>
                <w:sz w:val="24"/>
                <w:szCs w:val="24"/>
              </w:rPr>
            </w:pPr>
            <w:r w:rsidRPr="00D02B9F">
              <w:rPr>
                <w:rFonts w:ascii="Arial" w:hAnsi="Arial" w:cs="Arial"/>
                <w:sz w:val="24"/>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sz w:val="24"/>
                <w:szCs w:val="24"/>
              </w:rPr>
            </w:pPr>
            <w:r w:rsidRPr="00D02B9F">
              <w:rPr>
                <w:rFonts w:ascii="Arial" w:hAnsi="Arial" w:cs="Arial"/>
                <w:sz w:val="24"/>
                <w:szCs w:val="24"/>
              </w:rPr>
              <w:t>Bienes de Uso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279:497.177   </w:t>
            </w:r>
          </w:p>
        </w:tc>
      </w:tr>
      <w:tr w:rsidR="00D02B9F" w:rsidRPr="00D02B9F">
        <w:trPr>
          <w:trHeight w:val="315"/>
          <w:jc w:val="center"/>
        </w:trPr>
        <w:tc>
          <w:tcPr>
            <w:tcW w:w="0" w:type="auto"/>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D02B9F" w:rsidRPr="00D02B9F" w:rsidRDefault="00D02B9F">
            <w:pPr>
              <w:jc w:val="right"/>
              <w:rPr>
                <w:rFonts w:ascii="Arial" w:hAnsi="Arial" w:cs="Arial"/>
                <w:b/>
                <w:bCs/>
                <w:sz w:val="24"/>
                <w:szCs w:val="24"/>
              </w:rPr>
            </w:pPr>
            <w:r w:rsidRPr="00D02B9F">
              <w:rPr>
                <w:rFonts w:ascii="Arial" w:hAnsi="Arial" w:cs="Arial"/>
                <w:b/>
                <w:bCs/>
                <w:sz w:val="24"/>
                <w:szCs w:val="24"/>
              </w:rPr>
              <w:t>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b/>
                <w:bCs/>
                <w:sz w:val="24"/>
                <w:szCs w:val="24"/>
              </w:rPr>
            </w:pPr>
            <w:r w:rsidRPr="00D02B9F">
              <w:rPr>
                <w:rFonts w:ascii="Arial" w:hAnsi="Arial" w:cs="Arial"/>
                <w:b/>
                <w:bCs/>
                <w:sz w:val="24"/>
                <w:szCs w:val="24"/>
              </w:rPr>
              <w:t xml:space="preserve">   279:497.177   </w:t>
            </w:r>
          </w:p>
        </w:tc>
      </w:tr>
    </w:tbl>
    <w:p w:rsidR="00D02B9F" w:rsidRPr="00D02B9F" w:rsidRDefault="00D02B9F">
      <w:pPr>
        <w:spacing w:line="360" w:lineRule="auto"/>
        <w:jc w:val="both"/>
        <w:rPr>
          <w:rFonts w:ascii="Arial" w:hAnsi="Arial" w:cs="Arial"/>
          <w:b/>
          <w:noProof/>
          <w:spacing w:val="-3"/>
          <w:sz w:val="24"/>
          <w:szCs w:val="24"/>
        </w:rPr>
      </w:pPr>
    </w:p>
    <w:tbl>
      <w:tblPr>
        <w:tblW w:w="5360" w:type="dxa"/>
        <w:jc w:val="center"/>
        <w:tblInd w:w="1567" w:type="dxa"/>
        <w:tblCellMar>
          <w:left w:w="0" w:type="dxa"/>
          <w:right w:w="0" w:type="dxa"/>
        </w:tblCellMar>
        <w:tblLook w:val="0000" w:firstRow="0" w:lastRow="0" w:firstColumn="0" w:lastColumn="0" w:noHBand="0" w:noVBand="0"/>
      </w:tblPr>
      <w:tblGrid>
        <w:gridCol w:w="3040"/>
        <w:gridCol w:w="2320"/>
      </w:tblGrid>
      <w:tr w:rsidR="00D02B9F" w:rsidRPr="00D02B9F">
        <w:trPr>
          <w:trHeight w:val="315"/>
          <w:jc w:val="center"/>
        </w:trPr>
        <w:tc>
          <w:tcPr>
            <w:tcW w:w="3040" w:type="dxa"/>
            <w:tcBorders>
              <w:top w:val="nil"/>
              <w:left w:val="nil"/>
              <w:bottom w:val="nil"/>
              <w:right w:val="nil"/>
            </w:tcBorders>
            <w:noWrap/>
            <w:tcMar>
              <w:top w:w="15" w:type="dxa"/>
              <w:left w:w="15" w:type="dxa"/>
              <w:bottom w:w="0" w:type="dxa"/>
              <w:right w:w="15" w:type="dxa"/>
            </w:tcMar>
            <w:vAlign w:val="bottom"/>
          </w:tcPr>
          <w:p w:rsidR="00D02B9F" w:rsidRPr="00D02B9F" w:rsidRDefault="00D02B9F">
            <w:pPr>
              <w:jc w:val="both"/>
              <w:rPr>
                <w:rFonts w:ascii="Arial" w:hAnsi="Arial" w:cs="Arial"/>
                <w:b/>
                <w:bCs/>
                <w:sz w:val="24"/>
                <w:szCs w:val="24"/>
              </w:rPr>
            </w:pPr>
            <w:r w:rsidRPr="00D02B9F">
              <w:rPr>
                <w:rFonts w:ascii="Arial" w:hAnsi="Arial" w:cs="Arial"/>
                <w:b/>
                <w:bCs/>
                <w:spacing w:val="-3"/>
                <w:sz w:val="24"/>
                <w:szCs w:val="24"/>
              </w:rPr>
              <w:t>Total de Egresos</w:t>
            </w:r>
          </w:p>
        </w:tc>
        <w:tc>
          <w:tcPr>
            <w:tcW w:w="2320" w:type="dxa"/>
            <w:tcBorders>
              <w:top w:val="nil"/>
              <w:left w:val="nil"/>
              <w:bottom w:val="nil"/>
              <w:right w:val="nil"/>
            </w:tcBorders>
            <w:noWrap/>
            <w:tcMar>
              <w:top w:w="15" w:type="dxa"/>
              <w:left w:w="15" w:type="dxa"/>
              <w:bottom w:w="0" w:type="dxa"/>
              <w:right w:w="15" w:type="dxa"/>
            </w:tcMar>
            <w:vAlign w:val="bottom"/>
          </w:tcPr>
          <w:p w:rsidR="00D02B9F" w:rsidRPr="00D02B9F" w:rsidRDefault="00D02B9F">
            <w:pPr>
              <w:jc w:val="both"/>
              <w:rPr>
                <w:rFonts w:ascii="Arial" w:hAnsi="Arial" w:cs="Arial"/>
                <w:b/>
                <w:bCs/>
                <w:sz w:val="24"/>
                <w:szCs w:val="24"/>
              </w:rPr>
            </w:pPr>
            <w:r w:rsidRPr="00D02B9F">
              <w:rPr>
                <w:rFonts w:ascii="Arial" w:hAnsi="Arial" w:cs="Arial"/>
                <w:b/>
                <w:bCs/>
                <w:sz w:val="24"/>
                <w:szCs w:val="24"/>
              </w:rPr>
              <w:t xml:space="preserve">     $193.298:203.095</w:t>
            </w:r>
          </w:p>
        </w:tc>
      </w:tr>
    </w:tbl>
    <w:p w:rsidR="00D02B9F" w:rsidRPr="00D02B9F" w:rsidRDefault="00D02B9F">
      <w:pPr>
        <w:pStyle w:val="Sangra2detindependiente"/>
        <w:ind w:left="0"/>
        <w:rPr>
          <w:rFonts w:cs="Arial"/>
        </w:rPr>
      </w:pPr>
    </w:p>
    <w:p w:rsidR="00D02B9F" w:rsidRPr="00D02B9F" w:rsidRDefault="00D02B9F">
      <w:pPr>
        <w:pStyle w:val="Sangra2detindependiente"/>
        <w:ind w:left="0"/>
        <w:rPr>
          <w:rFonts w:cs="Arial"/>
        </w:rPr>
      </w:pPr>
    </w:p>
    <w:p w:rsidR="00D02B9F" w:rsidRPr="00D02B9F" w:rsidRDefault="00D02B9F">
      <w:pPr>
        <w:pStyle w:val="Sangra2detindependiente"/>
        <w:ind w:left="426"/>
        <w:rPr>
          <w:rFonts w:cs="Arial"/>
          <w:b/>
          <w:bCs/>
        </w:rPr>
      </w:pPr>
      <w:r w:rsidRPr="00D02B9F">
        <w:rPr>
          <w:rFonts w:cs="Arial"/>
          <w:b/>
          <w:bCs/>
        </w:rPr>
        <w:t>Resumen General del Presupuesto 2014 (en $):</w:t>
      </w:r>
    </w:p>
    <w:tbl>
      <w:tblPr>
        <w:tblW w:w="8086" w:type="dxa"/>
        <w:tblCellMar>
          <w:left w:w="0" w:type="dxa"/>
          <w:right w:w="0" w:type="dxa"/>
        </w:tblCellMar>
        <w:tblLook w:val="0000" w:firstRow="0" w:lastRow="0" w:firstColumn="0" w:lastColumn="0" w:noHBand="0" w:noVBand="0"/>
      </w:tblPr>
      <w:tblGrid>
        <w:gridCol w:w="5766"/>
        <w:gridCol w:w="2320"/>
      </w:tblGrid>
      <w:tr w:rsidR="00D02B9F" w:rsidRPr="00D02B9F" w:rsidTr="00D02B9F">
        <w:trPr>
          <w:trHeight w:val="300"/>
        </w:trPr>
        <w:tc>
          <w:tcPr>
            <w:tcW w:w="57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pStyle w:val="Ttulo3"/>
              <w:rPr>
                <w:rFonts w:cs="Arial"/>
                <w:lang w:val="es-ES"/>
              </w:rPr>
            </w:pPr>
            <w:r w:rsidRPr="00D02B9F">
              <w:rPr>
                <w:rFonts w:cs="Arial"/>
                <w:lang w:val="es-ES"/>
              </w:rPr>
              <w:t>Ingresos</w:t>
            </w:r>
          </w:p>
        </w:tc>
        <w:tc>
          <w:tcPr>
            <w:tcW w:w="23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218.455:321.182   </w:t>
            </w:r>
          </w:p>
        </w:tc>
      </w:tr>
      <w:tr w:rsidR="00D02B9F" w:rsidRPr="00D02B9F" w:rsidTr="00D02B9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r w:rsidRPr="00D02B9F">
              <w:rPr>
                <w:rFonts w:ascii="Arial" w:hAnsi="Arial" w:cs="Arial"/>
                <w:b/>
                <w:bCs/>
                <w:sz w:val="24"/>
                <w:szCs w:val="24"/>
              </w:rPr>
              <w:t>Egresos Operativos y de Operaciones Financieras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193.018:705.918   </w:t>
            </w:r>
          </w:p>
        </w:tc>
      </w:tr>
      <w:tr w:rsidR="00D02B9F" w:rsidRPr="00D02B9F" w:rsidTr="00D02B9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r w:rsidRPr="00D02B9F">
              <w:rPr>
                <w:rFonts w:ascii="Arial" w:hAnsi="Arial" w:cs="Arial"/>
                <w:b/>
                <w:bCs/>
                <w:sz w:val="24"/>
                <w:szCs w:val="24"/>
              </w:rPr>
              <w:t>Egresos de Inversiones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sz w:val="24"/>
                <w:szCs w:val="24"/>
              </w:rPr>
            </w:pPr>
            <w:r w:rsidRPr="00D02B9F">
              <w:rPr>
                <w:rFonts w:ascii="Arial" w:hAnsi="Arial" w:cs="Arial"/>
                <w:sz w:val="24"/>
                <w:szCs w:val="24"/>
              </w:rPr>
              <w:t xml:space="preserve">-          279:497.177   </w:t>
            </w:r>
          </w:p>
        </w:tc>
      </w:tr>
      <w:tr w:rsidR="00D02B9F" w:rsidRPr="00D02B9F" w:rsidTr="00D02B9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rPr>
                <w:rFonts w:ascii="Arial" w:hAnsi="Arial" w:cs="Arial"/>
                <w:b/>
                <w:bCs/>
                <w:sz w:val="24"/>
                <w:szCs w:val="24"/>
              </w:rPr>
            </w:pPr>
            <w:proofErr w:type="spellStart"/>
            <w:r w:rsidRPr="00D02B9F">
              <w:rPr>
                <w:rFonts w:ascii="Arial" w:hAnsi="Arial" w:cs="Arial"/>
                <w:b/>
                <w:bCs/>
                <w:sz w:val="24"/>
                <w:szCs w:val="24"/>
              </w:rPr>
              <w:t>Superavit</w:t>
            </w:r>
            <w:proofErr w:type="spellEnd"/>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D02B9F" w:rsidRPr="00D02B9F" w:rsidRDefault="00D02B9F">
            <w:pPr>
              <w:jc w:val="right"/>
              <w:rPr>
                <w:rFonts w:ascii="Arial" w:hAnsi="Arial" w:cs="Arial"/>
                <w:b/>
                <w:bCs/>
                <w:sz w:val="24"/>
                <w:szCs w:val="24"/>
              </w:rPr>
            </w:pPr>
            <w:r w:rsidRPr="00D02B9F">
              <w:rPr>
                <w:rFonts w:ascii="Arial" w:hAnsi="Arial" w:cs="Arial"/>
                <w:sz w:val="24"/>
                <w:szCs w:val="24"/>
              </w:rPr>
              <w:t xml:space="preserve">      </w:t>
            </w:r>
            <w:r w:rsidRPr="00D02B9F">
              <w:rPr>
                <w:rFonts w:ascii="Arial" w:hAnsi="Arial" w:cs="Arial"/>
                <w:b/>
                <w:bCs/>
                <w:sz w:val="24"/>
                <w:szCs w:val="24"/>
              </w:rPr>
              <w:t xml:space="preserve">25.157:118.087   </w:t>
            </w:r>
          </w:p>
        </w:tc>
      </w:tr>
    </w:tbl>
    <w:p w:rsidR="00D02B9F" w:rsidRPr="00D02B9F" w:rsidRDefault="00D02B9F">
      <w:pPr>
        <w:pStyle w:val="Sangra2detindependiente"/>
        <w:ind w:left="0"/>
        <w:rPr>
          <w:rFonts w:cs="Arial"/>
        </w:rPr>
      </w:pPr>
    </w:p>
    <w:p w:rsidR="00D02B9F" w:rsidRPr="00D02B9F" w:rsidRDefault="00D02B9F" w:rsidP="00D02B9F">
      <w:pPr>
        <w:numPr>
          <w:ilvl w:val="1"/>
          <w:numId w:val="2"/>
        </w:numPr>
        <w:spacing w:after="0" w:line="360" w:lineRule="auto"/>
        <w:jc w:val="both"/>
        <w:rPr>
          <w:rFonts w:ascii="Arial" w:hAnsi="Arial" w:cs="Arial"/>
          <w:spacing w:val="-3"/>
          <w:sz w:val="24"/>
          <w:szCs w:val="24"/>
          <w:lang w:val="es-ES_tradnl"/>
        </w:rPr>
      </w:pPr>
      <w:r w:rsidRPr="00D02B9F">
        <w:rPr>
          <w:rFonts w:ascii="Arial" w:hAnsi="Arial" w:cs="Arial"/>
          <w:spacing w:val="-3"/>
          <w:sz w:val="24"/>
          <w:szCs w:val="24"/>
          <w:lang w:val="es-ES_tradnl"/>
        </w:rPr>
        <w:t>Los ingresos y egresos previstos fueron calculados a nivel de precios de enero-junio 2013 a un tipo de cambio de $ 19,20 por dólar estadounidense y un Índice de Precios al Consumo de 121,0 (con base diciembre 2010).</w:t>
      </w:r>
    </w:p>
    <w:p w:rsidR="00D02B9F" w:rsidRPr="00D02B9F" w:rsidRDefault="00D02B9F" w:rsidP="00D02B9F">
      <w:pPr>
        <w:numPr>
          <w:ilvl w:val="1"/>
          <w:numId w:val="2"/>
        </w:numPr>
        <w:spacing w:after="0" w:line="360" w:lineRule="auto"/>
        <w:jc w:val="both"/>
        <w:rPr>
          <w:rFonts w:ascii="Arial" w:hAnsi="Arial" w:cs="Arial"/>
          <w:spacing w:val="-3"/>
          <w:sz w:val="24"/>
          <w:szCs w:val="24"/>
          <w:lang w:val="es-ES_tradnl"/>
        </w:rPr>
      </w:pPr>
      <w:r w:rsidRPr="00D02B9F">
        <w:rPr>
          <w:rFonts w:ascii="Arial" w:hAnsi="Arial" w:cs="Arial"/>
          <w:spacing w:val="-3"/>
          <w:sz w:val="24"/>
          <w:szCs w:val="24"/>
          <w:lang w:val="es-ES_tradnl"/>
        </w:rPr>
        <w:t xml:space="preserve">Que de la comparación entre los ingresos y egresos proyectados resulta un superávit de $ 25.157:118.087. </w:t>
      </w:r>
    </w:p>
    <w:p w:rsidR="00D02B9F" w:rsidRPr="00D02B9F" w:rsidRDefault="00D02B9F">
      <w:pPr>
        <w:spacing w:line="360" w:lineRule="auto"/>
        <w:ind w:left="360"/>
        <w:jc w:val="both"/>
        <w:rPr>
          <w:rFonts w:ascii="Arial" w:hAnsi="Arial" w:cs="Arial"/>
          <w:spacing w:val="-3"/>
          <w:sz w:val="24"/>
          <w:szCs w:val="24"/>
          <w:lang w:val="es-ES_tradnl"/>
        </w:rPr>
      </w:pPr>
    </w:p>
    <w:p w:rsidR="00D02B9F" w:rsidRPr="00D02B9F" w:rsidRDefault="00D02B9F" w:rsidP="00D02B9F">
      <w:pPr>
        <w:numPr>
          <w:ilvl w:val="0"/>
          <w:numId w:val="2"/>
        </w:numPr>
        <w:spacing w:after="0" w:line="360" w:lineRule="auto"/>
        <w:jc w:val="both"/>
        <w:rPr>
          <w:rFonts w:ascii="Arial" w:hAnsi="Arial" w:cs="Arial"/>
          <w:b/>
          <w:bCs/>
          <w:spacing w:val="-3"/>
          <w:sz w:val="24"/>
          <w:szCs w:val="24"/>
          <w:lang w:val="es-ES_tradnl"/>
        </w:rPr>
      </w:pPr>
      <w:r w:rsidRPr="00D02B9F">
        <w:rPr>
          <w:rFonts w:ascii="Arial" w:hAnsi="Arial" w:cs="Arial"/>
          <w:b/>
          <w:bCs/>
          <w:spacing w:val="-3"/>
          <w:sz w:val="24"/>
          <w:szCs w:val="24"/>
          <w:lang w:val="es-ES_tradnl"/>
        </w:rPr>
        <w:t>CUMPLIMIENTO DE NORMAS CONSTITUCIONALES, LEGALES Y REGLAMENTARIAS.</w:t>
      </w:r>
    </w:p>
    <w:p w:rsidR="00D02B9F" w:rsidRPr="00D02B9F" w:rsidRDefault="00D02B9F">
      <w:pPr>
        <w:spacing w:line="360" w:lineRule="auto"/>
        <w:jc w:val="both"/>
        <w:rPr>
          <w:rFonts w:ascii="Arial" w:hAnsi="Arial" w:cs="Arial"/>
          <w:sz w:val="24"/>
          <w:szCs w:val="24"/>
        </w:rPr>
      </w:pP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t xml:space="preserve">El Proyecto de Presupuesto fue aprobado por el Directorio del Banco Central del Uruguay por Resolución RD/187/2013, en Sesión de fecha 24 </w:t>
      </w:r>
      <w:r w:rsidRPr="00D02B9F">
        <w:rPr>
          <w:rFonts w:ascii="Arial" w:hAnsi="Arial" w:cs="Arial"/>
          <w:snapToGrid/>
          <w:spacing w:val="0"/>
          <w:szCs w:val="24"/>
          <w:lang w:val="es-ES"/>
        </w:rPr>
        <w:lastRenderedPageBreak/>
        <w:t>de julio de 2013, e ingresó a este Tribunal para su consideración con fecha 26 de julio de 2013, por lo que se ha dado cumplimiento con la previsión contenida en el Artículo 221 Inciso 1) in fine de la Constitución de la República, en cuanto al cumplimiento del plazo constitucional para su remisión a este Tribunal.</w:t>
      </w: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t>Se da cumplimiento a lo dispuesto por el Artículo 216 Inciso 3 de la Carta, por cuanto el Proyecto se presenta en forma comparativa con el Presupuesto vigente, que corresponde al año 2012, aprobado por Decreto Nº 133/013 de 24 de abril de 2012.</w:t>
      </w: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t>El Artículo 27 regula el Sistema de Remuneración de Cumplimiento de Metas (SRCM), disponiendo que la partida se abonará de acuerdo con los Indicadores de Desempeño Institucional, Desempeño Sectorial y Desempeño Individual, debiendo comunicar los mismos oportunamente al Tribunal de Cuentas, a efectos de hacer efectiva dicha partida.</w:t>
      </w: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t>El Artículo 40 establece la posibilidad de contratación de personal de confianza para tareas de asesoría, secretaría, etc., debiendo tenerse presente lo previsto por el Artículo 229 de la Constitución de la República, y lo dispuesto por el Artículo 1 Literal E) de la Ley Nº 16.127 de 7 de agosto de 1990;</w:t>
      </w: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t>El Artículo 41 otorga al Directorio del Banco Central del Uruguay la facultad de realizar transformaciones de cargos y funciones, para adecuar la estructura organizativa a las reales necesidades de la empresa, no merece observación siempre que no suponga la realización de una modificación presupuestal fuera de la instancia anual prevista por los Artículos 221 de la Constitución de la República y 52 de su Carta Orgánica. Deberá tenerse presente lo previsto por el Artículo 229 de la Constitución de la República y por el Artículo 1 Literal E) de la Ley Nº 16.127;</w:t>
      </w: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lastRenderedPageBreak/>
        <w:t xml:space="preserve">La aplicación de lo establecido por el Artículo 43 para la incorporación de personal excedentario del Banco BANDES Uruguay S.A., en calidad de funcionarios presupuestados, deberá tenerse presente lo dispuesto por el Artículo 229 de la Constitución de la República y el Artículo 1 Literal E) de la Ley Nº 16.127. </w:t>
      </w: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t>Al efectuar la provisión de las vacantes de los cargos presupuestales o al disponer la supresión de las vacantes, deberá darse cumplimiento a lo dispuesto por los Artículos 49 y 50 de la Ley Nº 18.651 de 9 de marzo de 2010 (Protección Integral de las Personas con Discapacidad);</w:t>
      </w:r>
    </w:p>
    <w:p w:rsidR="00D02B9F" w:rsidRPr="00D02B9F" w:rsidRDefault="00D02B9F" w:rsidP="00D02B9F">
      <w:pPr>
        <w:pStyle w:val="Textoindependiente"/>
        <w:widowControl/>
        <w:numPr>
          <w:ilvl w:val="1"/>
          <w:numId w:val="2"/>
        </w:numPr>
        <w:tabs>
          <w:tab w:val="clear" w:pos="-720"/>
        </w:tabs>
        <w:suppressAutoHyphens w:val="0"/>
        <w:spacing w:line="360" w:lineRule="auto"/>
        <w:rPr>
          <w:rFonts w:ascii="Arial" w:hAnsi="Arial" w:cs="Arial"/>
          <w:snapToGrid/>
          <w:spacing w:val="0"/>
          <w:szCs w:val="24"/>
          <w:lang w:val="es-ES"/>
        </w:rPr>
      </w:pPr>
      <w:r w:rsidRPr="00D02B9F">
        <w:rPr>
          <w:rFonts w:ascii="Arial" w:hAnsi="Arial" w:cs="Arial"/>
          <w:snapToGrid/>
          <w:spacing w:val="0"/>
          <w:szCs w:val="24"/>
          <w:lang w:val="es-ES"/>
        </w:rPr>
        <w:t>Este Tribunal emite su dictamen sobre el Proyecto para el Ejercicio 2014 en el plazo constitucionalmente previsto y con las mayorías requeridas a tales efectos.</w:t>
      </w:r>
    </w:p>
    <w:p w:rsidR="00D02B9F" w:rsidRPr="00D02B9F" w:rsidRDefault="00D02B9F" w:rsidP="00D02B9F">
      <w:pPr>
        <w:pStyle w:val="Textoindependiente"/>
        <w:widowControl/>
        <w:numPr>
          <w:ilvl w:val="1"/>
          <w:numId w:val="2"/>
        </w:numPr>
        <w:tabs>
          <w:tab w:val="clear" w:pos="-720"/>
          <w:tab w:val="left" w:pos="851"/>
        </w:tabs>
        <w:suppressAutoHyphens w:val="0"/>
        <w:spacing w:line="360" w:lineRule="auto"/>
        <w:rPr>
          <w:rFonts w:ascii="Arial" w:hAnsi="Arial" w:cs="Arial"/>
          <w:szCs w:val="24"/>
          <w:lang w:val="es-ES"/>
        </w:rPr>
      </w:pPr>
      <w:r w:rsidRPr="00D02B9F">
        <w:rPr>
          <w:rFonts w:ascii="Arial" w:hAnsi="Arial" w:cs="Arial"/>
          <w:snapToGrid/>
          <w:spacing w:val="0"/>
          <w:szCs w:val="24"/>
          <w:lang w:val="es-ES"/>
        </w:rPr>
        <w:t>De acuerdo con la normativa constitucional vigente, el Directorio del Banco debe tener presente que luego de aprobado el presupuesto no puede modificarlo hasta la nueva instancia presupuestal.</w:t>
      </w:r>
    </w:p>
    <w:p w:rsidR="00D02B9F" w:rsidRPr="00D02B9F" w:rsidRDefault="00D02B9F">
      <w:pPr>
        <w:pStyle w:val="Textoindependiente"/>
        <w:widowControl/>
        <w:tabs>
          <w:tab w:val="clear" w:pos="-720"/>
          <w:tab w:val="left" w:pos="851"/>
        </w:tabs>
        <w:suppressAutoHyphens w:val="0"/>
        <w:spacing w:line="360" w:lineRule="auto"/>
        <w:ind w:left="360"/>
        <w:rPr>
          <w:rFonts w:ascii="Arial" w:hAnsi="Arial" w:cs="Arial"/>
          <w:szCs w:val="24"/>
          <w:lang w:val="es-ES"/>
        </w:rPr>
      </w:pPr>
    </w:p>
    <w:p w:rsidR="00D02B9F" w:rsidRPr="00D02B9F" w:rsidRDefault="00D02B9F" w:rsidP="00D02B9F">
      <w:pPr>
        <w:numPr>
          <w:ilvl w:val="0"/>
          <w:numId w:val="2"/>
        </w:numPr>
        <w:spacing w:after="0" w:line="360" w:lineRule="auto"/>
        <w:jc w:val="both"/>
        <w:rPr>
          <w:rFonts w:ascii="Arial" w:hAnsi="Arial" w:cs="Arial"/>
          <w:b/>
          <w:bCs/>
          <w:spacing w:val="-3"/>
          <w:sz w:val="24"/>
          <w:szCs w:val="24"/>
          <w:lang w:val="es-ES_tradnl"/>
        </w:rPr>
      </w:pPr>
      <w:r w:rsidRPr="00D02B9F">
        <w:rPr>
          <w:rFonts w:ascii="Arial" w:hAnsi="Arial" w:cs="Arial"/>
          <w:b/>
          <w:bCs/>
          <w:spacing w:val="-3"/>
          <w:sz w:val="24"/>
          <w:szCs w:val="24"/>
          <w:lang w:val="es-ES_tradnl"/>
        </w:rPr>
        <w:t>OPINIÓN</w:t>
      </w:r>
    </w:p>
    <w:p w:rsidR="00D02B9F" w:rsidRPr="00D02B9F" w:rsidRDefault="00D02B9F" w:rsidP="00D02B9F">
      <w:pPr>
        <w:spacing w:line="360" w:lineRule="auto"/>
        <w:jc w:val="both"/>
        <w:rPr>
          <w:rFonts w:ascii="Arial" w:hAnsi="Arial" w:cs="Arial"/>
          <w:spacing w:val="-3"/>
          <w:sz w:val="24"/>
          <w:szCs w:val="24"/>
          <w:lang w:val="es-ES_tradnl"/>
        </w:rPr>
      </w:pPr>
      <w:r w:rsidRPr="00D02B9F">
        <w:rPr>
          <w:rFonts w:ascii="Arial" w:hAnsi="Arial" w:cs="Arial"/>
          <w:spacing w:val="-3"/>
          <w:sz w:val="24"/>
          <w:szCs w:val="24"/>
          <w:lang w:val="es-ES_tradnl"/>
        </w:rPr>
        <w:t xml:space="preserve">En opinión del Tribunal de Cuentas, el Proyecto de Presupuesto del Banco Central del Uruguay correspondiente al Ejercicio 2014 ha sido preparado en forma razonable de acuerdo con los supuestos efectuados por el Organismo, y se presenta de conformidad con las disposiciones constitucionales, legales y reglamentarias vigentes. </w:t>
      </w:r>
    </w:p>
    <w:p w:rsidR="00D02B9F" w:rsidRPr="00D02B9F" w:rsidRDefault="00D02B9F" w:rsidP="00D02B9F">
      <w:pPr>
        <w:spacing w:line="360" w:lineRule="auto"/>
        <w:jc w:val="right"/>
        <w:rPr>
          <w:rFonts w:ascii="Arial" w:hAnsi="Arial" w:cs="Arial"/>
          <w:sz w:val="24"/>
          <w:szCs w:val="24"/>
          <w:lang w:val="es-ES_tradnl"/>
        </w:rPr>
      </w:pPr>
      <w:r w:rsidRPr="00D02B9F">
        <w:rPr>
          <w:rFonts w:ascii="Arial" w:hAnsi="Arial" w:cs="Arial"/>
          <w:spacing w:val="-3"/>
          <w:sz w:val="24"/>
          <w:szCs w:val="24"/>
          <w:lang w:val="es-ES_tradnl"/>
        </w:rPr>
        <w:t>M</w:t>
      </w:r>
      <w:r w:rsidRPr="00D02B9F">
        <w:rPr>
          <w:rFonts w:ascii="Arial" w:hAnsi="Arial" w:cs="Arial"/>
          <w:sz w:val="24"/>
          <w:szCs w:val="24"/>
          <w:lang w:val="es-ES_tradnl"/>
        </w:rPr>
        <w:t>ontevideo, 20 de agosto de 2013</w:t>
      </w:r>
    </w:p>
    <w:p w:rsidR="00987929" w:rsidRPr="00D02B9F" w:rsidRDefault="00D02B9F" w:rsidP="00D02B9F">
      <w:pPr>
        <w:tabs>
          <w:tab w:val="num" w:pos="284"/>
        </w:tabs>
        <w:spacing w:after="0" w:line="360" w:lineRule="auto"/>
        <w:jc w:val="both"/>
        <w:rPr>
          <w:rFonts w:ascii="Arial" w:eastAsia="Times New Roman" w:hAnsi="Arial" w:cs="Arial"/>
          <w:sz w:val="24"/>
          <w:szCs w:val="24"/>
          <w:lang w:eastAsia="es-ES"/>
        </w:rPr>
      </w:pPr>
      <w:proofErr w:type="spellStart"/>
      <w:proofErr w:type="gramStart"/>
      <w:r w:rsidRPr="00D02B9F">
        <w:rPr>
          <w:rFonts w:ascii="Arial" w:eastAsia="Times New Roman" w:hAnsi="Arial" w:cs="Arial"/>
          <w:sz w:val="24"/>
          <w:szCs w:val="24"/>
          <w:lang w:eastAsia="es-ES"/>
        </w:rPr>
        <w:t>mb</w:t>
      </w:r>
      <w:proofErr w:type="spellEnd"/>
      <w:proofErr w:type="gramEnd"/>
    </w:p>
    <w:sectPr w:rsidR="00987929" w:rsidRPr="00D02B9F" w:rsidSect="00A92BE4">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184E"/>
    <w:multiLevelType w:val="multilevel"/>
    <w:tmpl w:val="B39CF2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ascii="Arial" w:eastAsia="Times New Roman" w:hAnsi="Arial" w:cs="Arial"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675A24FE"/>
    <w:multiLevelType w:val="singleLevel"/>
    <w:tmpl w:val="CB0C1EEC"/>
    <w:lvl w:ilvl="0">
      <w:start w:val="1"/>
      <w:numFmt w:val="decimal"/>
      <w:lvlText w:val="%1."/>
      <w:lvlJc w:val="left"/>
      <w:pPr>
        <w:tabs>
          <w:tab w:val="num" w:pos="851"/>
        </w:tabs>
        <w:ind w:left="851" w:hanging="567"/>
      </w:pPr>
      <w:rPr>
        <w:b/>
        <w:i w:val="0"/>
        <w:sz w:val="24"/>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E4"/>
    <w:rsid w:val="004D7569"/>
    <w:rsid w:val="008E5D07"/>
    <w:rsid w:val="00987929"/>
    <w:rsid w:val="00A57597"/>
    <w:rsid w:val="00A92BE4"/>
    <w:rsid w:val="00D02B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D02B9F"/>
    <w:pPr>
      <w:keepNext/>
      <w:spacing w:after="0" w:line="240" w:lineRule="auto"/>
      <w:outlineLvl w:val="2"/>
    </w:pPr>
    <w:rPr>
      <w:rFonts w:ascii="Arial" w:eastAsia="Times New Roman" w:hAnsi="Arial" w:cs="Times New Roman"/>
      <w:b/>
      <w:bCs/>
      <w:sz w:val="24"/>
      <w:szCs w:val="24"/>
      <w:lang w:val="es-ES_tradnl" w:eastAsia="es-ES"/>
    </w:rPr>
  </w:style>
  <w:style w:type="paragraph" w:styleId="Ttulo4">
    <w:name w:val="heading 4"/>
    <w:basedOn w:val="Normal"/>
    <w:next w:val="Normal"/>
    <w:link w:val="Ttulo4Car"/>
    <w:qFormat/>
    <w:rsid w:val="00D02B9F"/>
    <w:pPr>
      <w:keepNext/>
      <w:spacing w:after="0" w:line="240" w:lineRule="auto"/>
      <w:jc w:val="right"/>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02B9F"/>
    <w:rPr>
      <w:rFonts w:ascii="Arial" w:eastAsia="Times New Roman" w:hAnsi="Arial" w:cs="Times New Roman"/>
      <w:b/>
      <w:bCs/>
      <w:sz w:val="24"/>
      <w:szCs w:val="24"/>
      <w:lang w:val="es-ES_tradnl" w:eastAsia="es-ES"/>
    </w:rPr>
  </w:style>
  <w:style w:type="character" w:customStyle="1" w:styleId="Ttulo4Car">
    <w:name w:val="Título 4 Car"/>
    <w:basedOn w:val="Fuentedeprrafopredeter"/>
    <w:link w:val="Ttulo4"/>
    <w:rsid w:val="00D02B9F"/>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02B9F"/>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D02B9F"/>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D02B9F"/>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D02B9F"/>
    <w:rPr>
      <w:rFonts w:ascii="Arial" w:eastAsia="Times New Roman" w:hAnsi="Arial" w:cs="Times New Roman"/>
      <w:b/>
      <w:bCs/>
      <w:spacing w:val="-3"/>
      <w:sz w:val="24"/>
      <w:szCs w:val="24"/>
      <w:lang w:val="es-ES_tradnl" w:eastAsia="es-ES"/>
    </w:rPr>
  </w:style>
  <w:style w:type="paragraph" w:styleId="Sangra2detindependiente">
    <w:name w:val="Body Text Indent 2"/>
    <w:basedOn w:val="Normal"/>
    <w:link w:val="Sangra2detindependienteCar"/>
    <w:semiHidden/>
    <w:rsid w:val="00D02B9F"/>
    <w:pPr>
      <w:suppressAutoHyphens/>
      <w:spacing w:after="0" w:line="360" w:lineRule="auto"/>
      <w:ind w:left="-360"/>
      <w:jc w:val="both"/>
    </w:pPr>
    <w:rPr>
      <w:rFonts w:ascii="Arial" w:eastAsia="Times New Roman" w:hAnsi="Arial" w:cs="Times New Roman"/>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D02B9F"/>
    <w:rPr>
      <w:rFonts w:ascii="Arial" w:eastAsia="Times New Roman" w:hAnsi="Arial"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D02B9F"/>
    <w:pPr>
      <w:keepNext/>
      <w:spacing w:after="0" w:line="240" w:lineRule="auto"/>
      <w:outlineLvl w:val="2"/>
    </w:pPr>
    <w:rPr>
      <w:rFonts w:ascii="Arial" w:eastAsia="Times New Roman" w:hAnsi="Arial" w:cs="Times New Roman"/>
      <w:b/>
      <w:bCs/>
      <w:sz w:val="24"/>
      <w:szCs w:val="24"/>
      <w:lang w:val="es-ES_tradnl" w:eastAsia="es-ES"/>
    </w:rPr>
  </w:style>
  <w:style w:type="paragraph" w:styleId="Ttulo4">
    <w:name w:val="heading 4"/>
    <w:basedOn w:val="Normal"/>
    <w:next w:val="Normal"/>
    <w:link w:val="Ttulo4Car"/>
    <w:qFormat/>
    <w:rsid w:val="00D02B9F"/>
    <w:pPr>
      <w:keepNext/>
      <w:spacing w:after="0" w:line="240" w:lineRule="auto"/>
      <w:jc w:val="right"/>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02B9F"/>
    <w:rPr>
      <w:rFonts w:ascii="Arial" w:eastAsia="Times New Roman" w:hAnsi="Arial" w:cs="Times New Roman"/>
      <w:b/>
      <w:bCs/>
      <w:sz w:val="24"/>
      <w:szCs w:val="24"/>
      <w:lang w:val="es-ES_tradnl" w:eastAsia="es-ES"/>
    </w:rPr>
  </w:style>
  <w:style w:type="character" w:customStyle="1" w:styleId="Ttulo4Car">
    <w:name w:val="Título 4 Car"/>
    <w:basedOn w:val="Fuentedeprrafopredeter"/>
    <w:link w:val="Ttulo4"/>
    <w:rsid w:val="00D02B9F"/>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D02B9F"/>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D02B9F"/>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D02B9F"/>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D02B9F"/>
    <w:rPr>
      <w:rFonts w:ascii="Arial" w:eastAsia="Times New Roman" w:hAnsi="Arial" w:cs="Times New Roman"/>
      <w:b/>
      <w:bCs/>
      <w:spacing w:val="-3"/>
      <w:sz w:val="24"/>
      <w:szCs w:val="24"/>
      <w:lang w:val="es-ES_tradnl" w:eastAsia="es-ES"/>
    </w:rPr>
  </w:style>
  <w:style w:type="paragraph" w:styleId="Sangra2detindependiente">
    <w:name w:val="Body Text Indent 2"/>
    <w:basedOn w:val="Normal"/>
    <w:link w:val="Sangra2detindependienteCar"/>
    <w:semiHidden/>
    <w:rsid w:val="00D02B9F"/>
    <w:pPr>
      <w:suppressAutoHyphens/>
      <w:spacing w:after="0" w:line="360" w:lineRule="auto"/>
      <w:ind w:left="-360"/>
      <w:jc w:val="both"/>
    </w:pPr>
    <w:rPr>
      <w:rFonts w:ascii="Arial" w:eastAsia="Times New Roman" w:hAnsi="Arial" w:cs="Times New Roman"/>
      <w:sz w:val="24"/>
      <w:szCs w:val="24"/>
      <w:lang w:val="es-ES_tradnl" w:eastAsia="es-ES"/>
    </w:rPr>
  </w:style>
  <w:style w:type="character" w:customStyle="1" w:styleId="Sangra2detindependienteCar">
    <w:name w:val="Sangría 2 de t. independiente Car"/>
    <w:basedOn w:val="Fuentedeprrafopredeter"/>
    <w:link w:val="Sangra2detindependiente"/>
    <w:semiHidden/>
    <w:rsid w:val="00D02B9F"/>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994</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Brienza</dc:creator>
  <cp:keywords/>
  <dc:description/>
  <cp:lastModifiedBy> </cp:lastModifiedBy>
  <cp:revision>4</cp:revision>
  <dcterms:created xsi:type="dcterms:W3CDTF">2013-08-28T18:14:00Z</dcterms:created>
  <dcterms:modified xsi:type="dcterms:W3CDTF">2013-09-19T20:40:00Z</dcterms:modified>
</cp:coreProperties>
</file>