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BC8" w:rsidRDefault="003C2BC8">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3C2BC8" w:rsidRDefault="003C2BC8">
      <w:pPr>
        <w:tabs>
          <w:tab w:val="left" w:pos="-720"/>
        </w:tabs>
        <w:suppressAutoHyphens/>
        <w:jc w:val="center"/>
        <w:rPr>
          <w:rFonts w:ascii="Helvetica" w:hAnsi="Helvetica"/>
          <w:b/>
          <w:lang w:val="es-ES_tradnl"/>
        </w:rPr>
      </w:pPr>
    </w:p>
    <w:p w:rsidR="003C2BC8" w:rsidRDefault="003C2BC8">
      <w:pPr>
        <w:tabs>
          <w:tab w:val="center" w:pos="4253"/>
        </w:tabs>
        <w:suppressAutoHyphens/>
        <w:jc w:val="center"/>
        <w:rPr>
          <w:rFonts w:ascii="Helvetica" w:hAnsi="Helvetica"/>
          <w:b/>
          <w:lang w:val="es-ES_tradnl"/>
        </w:rPr>
      </w:pPr>
      <w:r>
        <w:rPr>
          <w:rFonts w:ascii="Helvetica" w:hAnsi="Helvetica"/>
          <w:b/>
          <w:lang w:val="es-ES_tradnl"/>
        </w:rPr>
        <w:t>TRIBUNAL DE CUENTAS</w:t>
      </w:r>
    </w:p>
    <w:p w:rsidR="003C2BC8" w:rsidRDefault="003C2BC8">
      <w:pPr>
        <w:tabs>
          <w:tab w:val="left" w:pos="-720"/>
        </w:tabs>
        <w:suppressAutoHyphens/>
        <w:jc w:val="center"/>
        <w:rPr>
          <w:rFonts w:ascii="Helvetica" w:hAnsi="Helvetica"/>
          <w:b/>
          <w:lang w:val="es-ES_tradnl"/>
        </w:rPr>
      </w:pPr>
    </w:p>
    <w:p w:rsidR="003C2BC8" w:rsidRDefault="003C2BC8">
      <w:pPr>
        <w:tabs>
          <w:tab w:val="center" w:pos="4253"/>
        </w:tabs>
        <w:suppressAutoHyphens/>
        <w:jc w:val="center"/>
        <w:rPr>
          <w:rFonts w:ascii="Helvetica" w:hAnsi="Helvetica"/>
          <w:b/>
          <w:lang w:val="es-ES_tradnl"/>
        </w:rPr>
      </w:pPr>
      <w:r>
        <w:rPr>
          <w:rFonts w:ascii="Helvetica" w:hAnsi="Helvetica"/>
          <w:b/>
          <w:lang w:val="es-ES_tradnl"/>
        </w:rPr>
        <w:t>EN SESION DE FECHA 28 DE AGOSTO DE 2013</w:t>
      </w:r>
    </w:p>
    <w:p w:rsidR="003C2BC8" w:rsidRDefault="003C2BC8">
      <w:pPr>
        <w:tabs>
          <w:tab w:val="center" w:pos="4253"/>
        </w:tabs>
        <w:suppressAutoHyphens/>
        <w:jc w:val="center"/>
        <w:rPr>
          <w:rFonts w:ascii="Helvetica" w:hAnsi="Helvetica"/>
          <w:b/>
          <w:lang w:val="es-ES_tradnl"/>
        </w:rPr>
      </w:pPr>
    </w:p>
    <w:p w:rsidR="00615EB7" w:rsidRPr="003C2BC8" w:rsidRDefault="003C2BC8" w:rsidP="003C2BC8">
      <w:pPr>
        <w:tabs>
          <w:tab w:val="center" w:pos="4253"/>
        </w:tabs>
        <w:suppressAutoHyphens/>
        <w:jc w:val="center"/>
        <w:rPr>
          <w:b/>
        </w:rPr>
      </w:pPr>
      <w:r w:rsidRPr="003C2BC8">
        <w:rPr>
          <w:rFonts w:ascii="Helvetica" w:hAnsi="Helvetica"/>
          <w:b/>
          <w:lang w:val="es-ES_tradnl"/>
        </w:rPr>
        <w:t xml:space="preserve">(E. E. Nº </w:t>
      </w:r>
      <w:r w:rsidR="00615EB7" w:rsidRPr="003C2BC8">
        <w:rPr>
          <w:b/>
        </w:rPr>
        <w:t>2013-17-1-0003650</w:t>
      </w:r>
      <w:r w:rsidRPr="003C2BC8">
        <w:rPr>
          <w:b/>
        </w:rPr>
        <w:t xml:space="preserve"> </w:t>
      </w:r>
      <w:r w:rsidR="00615EB7" w:rsidRPr="003C2BC8">
        <w:rPr>
          <w:b/>
          <w:bCs/>
        </w:rPr>
        <w:t>E</w:t>
      </w:r>
      <w:r w:rsidRPr="003C2BC8">
        <w:rPr>
          <w:b/>
          <w:bCs/>
        </w:rPr>
        <w:t>.</w:t>
      </w:r>
      <w:r w:rsidR="00615EB7" w:rsidRPr="003C2BC8">
        <w:rPr>
          <w:b/>
          <w:bCs/>
        </w:rPr>
        <w:t xml:space="preserve"> Nº 4120/13</w:t>
      </w:r>
      <w:r w:rsidRPr="003C2BC8">
        <w:rPr>
          <w:b/>
        </w:rPr>
        <w:t>)</w:t>
      </w:r>
      <w:r w:rsidR="00615EB7" w:rsidRPr="003C2BC8">
        <w:rPr>
          <w:b/>
        </w:rPr>
        <w:t xml:space="preserve"> </w:t>
      </w:r>
    </w:p>
    <w:p w:rsidR="00615EB7" w:rsidRPr="003C2BC8" w:rsidRDefault="00615EB7">
      <w:pPr>
        <w:spacing w:line="360" w:lineRule="auto"/>
        <w:jc w:val="center"/>
        <w:rPr>
          <w:b/>
        </w:rPr>
      </w:pPr>
    </w:p>
    <w:p w:rsidR="00615EB7" w:rsidRDefault="00615EB7" w:rsidP="003C2BC8">
      <w:pPr>
        <w:pStyle w:val="Textoindependiente"/>
        <w:ind w:firstLine="851"/>
      </w:pPr>
      <w:r>
        <w:rPr>
          <w:b/>
          <w:bCs/>
        </w:rPr>
        <w:t>VISTO:</w:t>
      </w:r>
      <w:r>
        <w:t xml:space="preserve"> las nuevas actuaciones remitidas por el Poder Legislativo relacionadas con la reiteración del gasto deriv</w:t>
      </w:r>
      <w:r w:rsidR="00AD62F2">
        <w:t>ado de la Licitación Pública Nº</w:t>
      </w:r>
      <w:r>
        <w:t xml:space="preserve">2/2013 para la “Contratación de un servicio de limpieza y peones para los edificios sede del Poder Legislativo”; </w:t>
      </w:r>
    </w:p>
    <w:p w:rsidR="00615EB7" w:rsidRDefault="003C2BC8" w:rsidP="003C2BC8">
      <w:pPr>
        <w:pStyle w:val="Textoindependiente"/>
        <w:ind w:firstLine="851"/>
      </w:pPr>
      <w:r>
        <w:rPr>
          <w:b/>
          <w:bCs/>
        </w:rPr>
        <w:t>RE</w:t>
      </w:r>
      <w:r w:rsidR="00615EB7">
        <w:rPr>
          <w:b/>
          <w:bCs/>
        </w:rPr>
        <w:t>SULTANDO</w:t>
      </w:r>
      <w:r w:rsidR="00615EB7" w:rsidRPr="00EC36FB">
        <w:rPr>
          <w:b/>
        </w:rPr>
        <w:t>:</w:t>
      </w:r>
      <w:r w:rsidR="00615EB7">
        <w:t xml:space="preserve"> </w:t>
      </w:r>
      <w:r w:rsidR="00615EB7">
        <w:rPr>
          <w:b/>
          <w:bCs/>
        </w:rPr>
        <w:t>1)</w:t>
      </w:r>
      <w:r w:rsidR="00615EB7">
        <w:t xml:space="preserve"> que</w:t>
      </w:r>
      <w:r>
        <w:t>,</w:t>
      </w:r>
      <w:r w:rsidR="00615EB7">
        <w:t xml:space="preserve"> en Sesión de fecha 17 de julio de 2013, este Tribunal observó el gasto en virtud de que no se cumplió con la realización de la publicación del Llamado en la Página Web de Compras Estatales, tal como lo dispone el Artículo 50 del TOCAF;</w:t>
      </w:r>
    </w:p>
    <w:p w:rsidR="00615EB7" w:rsidRDefault="003C2BC8" w:rsidP="00EC36FB">
      <w:pPr>
        <w:spacing w:line="360" w:lineRule="auto"/>
        <w:ind w:firstLine="2694"/>
        <w:jc w:val="both"/>
      </w:pPr>
      <w:r>
        <w:rPr>
          <w:b/>
          <w:bCs/>
        </w:rPr>
        <w:t>2</w:t>
      </w:r>
      <w:r w:rsidR="00615EB7">
        <w:rPr>
          <w:b/>
          <w:bCs/>
        </w:rPr>
        <w:t>)</w:t>
      </w:r>
      <w:r w:rsidR="00615EB7">
        <w:t xml:space="preserve"> que</w:t>
      </w:r>
      <w:r>
        <w:t>,</w:t>
      </w:r>
      <w:r w:rsidR="00615EB7">
        <w:t xml:space="preserve"> en la oportunidad </w:t>
      </w:r>
      <w:r>
        <w:t>se re</w:t>
      </w:r>
      <w:r w:rsidR="00615EB7">
        <w:t xml:space="preserve">mite copia de Resolución Nº 32/13, de fecha 31 de julio de 2013, mediante la cual el Presidente de la Comisión Administrativa del Poder Legislativo reitera el gasto dispuesto por la Resolución de Presidencia Nº 25/13, de 7 de junio de 2013, que adjudica la Licitación Pública de referencia; </w:t>
      </w:r>
    </w:p>
    <w:p w:rsidR="00615EB7" w:rsidRDefault="00615EB7" w:rsidP="00EC36FB">
      <w:pPr>
        <w:spacing w:line="360" w:lineRule="auto"/>
        <w:ind w:firstLine="2694"/>
        <w:jc w:val="both"/>
      </w:pPr>
      <w:r>
        <w:rPr>
          <w:b/>
          <w:bCs/>
        </w:rPr>
        <w:t>3)</w:t>
      </w:r>
      <w:r>
        <w:t xml:space="preserve"> que el argumento esgrimido para reiterar el gasto es que el procedimiento licitatorio contó con la más amplia difusión a través del </w:t>
      </w:r>
      <w:r w:rsidR="003C2BC8">
        <w:t>“</w:t>
      </w:r>
      <w:r>
        <w:t>Diario Oficial</w:t>
      </w:r>
      <w:r w:rsidR="003C2BC8">
        <w:t>”</w:t>
      </w:r>
      <w:r>
        <w:t xml:space="preserve">, de la Página Web del Parlamento, en las Revistas especializadas </w:t>
      </w:r>
      <w:r w:rsidR="003C2BC8">
        <w:t>“</w:t>
      </w:r>
      <w:r>
        <w:t>Contacto</w:t>
      </w:r>
      <w:r w:rsidR="003C2BC8">
        <w:t>”</w:t>
      </w:r>
      <w:r>
        <w:t xml:space="preserve"> y </w:t>
      </w:r>
      <w:r w:rsidR="003C2BC8">
        <w:t>“</w:t>
      </w:r>
      <w:r>
        <w:t>Guía Total</w:t>
      </w:r>
      <w:r w:rsidR="003C2BC8">
        <w:t>”</w:t>
      </w:r>
      <w:r>
        <w:t xml:space="preserve"> y de la invitación a siete empresas del ramo, así como al organismo que nuclea a las empresas de limpieza;</w:t>
      </w:r>
    </w:p>
    <w:p w:rsidR="00615EB7" w:rsidRDefault="00615EB7" w:rsidP="00EC36FB">
      <w:pPr>
        <w:spacing w:line="360" w:lineRule="auto"/>
        <w:ind w:firstLine="851"/>
        <w:jc w:val="both"/>
      </w:pPr>
      <w:r>
        <w:rPr>
          <w:b/>
          <w:bCs/>
        </w:rPr>
        <w:t>CONSIDERANDO:</w:t>
      </w:r>
      <w:r>
        <w:t xml:space="preserve"> que se mantiene incambiada la razón por la cual se observó el gasto de referencia, no esgrimiéndose por parte de la Administración argumentos que ameriten su reconsideración y subsiguiente levantamiento;  </w:t>
      </w:r>
    </w:p>
    <w:p w:rsidR="00615EB7" w:rsidRDefault="00615EB7" w:rsidP="00EC36FB">
      <w:pPr>
        <w:spacing w:line="360" w:lineRule="auto"/>
        <w:ind w:firstLine="851"/>
        <w:jc w:val="both"/>
      </w:pPr>
      <w:r>
        <w:rPr>
          <w:b/>
          <w:bCs/>
        </w:rPr>
        <w:t>ATENTO</w:t>
      </w:r>
      <w:r w:rsidRPr="00EC36FB">
        <w:rPr>
          <w:b/>
        </w:rPr>
        <w:t>:</w:t>
      </w:r>
      <w:r>
        <w:t xml:space="preserve"> a lo precedentemente expuesto; </w:t>
      </w:r>
    </w:p>
    <w:p w:rsidR="00615EB7" w:rsidRDefault="00615EB7" w:rsidP="00EC36FB">
      <w:pPr>
        <w:pStyle w:val="Ttulo1"/>
        <w:rPr>
          <w:b w:val="0"/>
          <w:bCs w:val="0"/>
        </w:rPr>
      </w:pPr>
      <w:r>
        <w:lastRenderedPageBreak/>
        <w:t>EL TRIBUNAL ACUERDA</w:t>
      </w:r>
    </w:p>
    <w:p w:rsidR="00615EB7" w:rsidRDefault="00615EB7" w:rsidP="003C2BC8">
      <w:pPr>
        <w:spacing w:line="360" w:lineRule="auto"/>
        <w:jc w:val="both"/>
        <w:rPr>
          <w:lang w:val="es-UY"/>
        </w:rPr>
      </w:pPr>
      <w:r>
        <w:rPr>
          <w:b/>
          <w:bCs/>
        </w:rPr>
        <w:t>1</w:t>
      </w:r>
      <w:r w:rsidR="003C2BC8">
        <w:rPr>
          <w:b/>
          <w:bCs/>
        </w:rPr>
        <w:t>)</w:t>
      </w:r>
      <w:r>
        <w:t xml:space="preserve">  Mantener la observación formulada </w:t>
      </w:r>
      <w:r w:rsidR="00EC36FB">
        <w:rPr>
          <w:lang w:val="es-UY"/>
        </w:rPr>
        <w:t>con fecha 17 de julio de 2013;</w:t>
      </w:r>
    </w:p>
    <w:p w:rsidR="003C2BC8" w:rsidRDefault="00615EB7" w:rsidP="003C2BC8">
      <w:pPr>
        <w:spacing w:line="360" w:lineRule="auto"/>
        <w:jc w:val="both"/>
      </w:pPr>
      <w:r>
        <w:rPr>
          <w:b/>
          <w:bCs/>
        </w:rPr>
        <w:t>2</w:t>
      </w:r>
      <w:r w:rsidR="003C2BC8">
        <w:rPr>
          <w:b/>
          <w:bCs/>
        </w:rPr>
        <w:t>)</w:t>
      </w:r>
      <w:r>
        <w:t xml:space="preserve">  Oficiar a la </w:t>
      </w:r>
      <w:r w:rsidR="003C2BC8">
        <w:t>Contadora Auditora</w:t>
      </w:r>
      <w:r w:rsidR="00EC36FB">
        <w:t>;</w:t>
      </w:r>
    </w:p>
    <w:p w:rsidR="00615EB7" w:rsidRDefault="003C2BC8" w:rsidP="003C2BC8">
      <w:pPr>
        <w:spacing w:line="360" w:lineRule="auto"/>
        <w:jc w:val="both"/>
        <w:rPr>
          <w:sz w:val="20"/>
          <w:szCs w:val="20"/>
        </w:rPr>
      </w:pPr>
      <w:r w:rsidRPr="003C2BC8">
        <w:rPr>
          <w:b/>
        </w:rPr>
        <w:t>3)</w:t>
      </w:r>
      <w:r>
        <w:t xml:space="preserve">  </w:t>
      </w:r>
      <w:r w:rsidRPr="003C2BC8">
        <w:t>D</w:t>
      </w:r>
      <w:r>
        <w:t>ar cuenta a la Asamblea General.</w:t>
      </w:r>
    </w:p>
    <w:p w:rsidR="003C2BC8" w:rsidRDefault="003C2BC8" w:rsidP="003C2BC8">
      <w:pPr>
        <w:spacing w:line="360" w:lineRule="auto"/>
        <w:jc w:val="both"/>
      </w:pPr>
      <w:proofErr w:type="spellStart"/>
      <w:proofErr w:type="gramStart"/>
      <w:r>
        <w:t>mb</w:t>
      </w:r>
      <w:proofErr w:type="spellEnd"/>
      <w:proofErr w:type="gramEnd"/>
    </w:p>
    <w:sectPr w:rsidR="003C2BC8" w:rsidSect="00050EFC">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EB7" w:rsidRDefault="00615EB7">
      <w:pPr>
        <w:rPr>
          <w:rFonts w:ascii="Times New Roman" w:hAnsi="Times New Roman" w:cs="Times New Roman"/>
        </w:rPr>
      </w:pPr>
      <w:r>
        <w:rPr>
          <w:rFonts w:ascii="Times New Roman" w:hAnsi="Times New Roman" w:cs="Times New Roman"/>
        </w:rPr>
        <w:separator/>
      </w:r>
    </w:p>
  </w:endnote>
  <w:endnote w:type="continuationSeparator" w:id="0">
    <w:p w:rsidR="00615EB7" w:rsidRDefault="00615EB7">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EB7" w:rsidRDefault="00615EB7">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D62F2">
      <w:rPr>
        <w:rStyle w:val="Nmerodepgina"/>
        <w:noProof/>
      </w:rPr>
      <w:t>1</w:t>
    </w:r>
    <w:r>
      <w:rPr>
        <w:rStyle w:val="Nmerodepgina"/>
      </w:rPr>
      <w:fldChar w:fldCharType="end"/>
    </w:r>
  </w:p>
  <w:p w:rsidR="00615EB7" w:rsidRDefault="00615EB7">
    <w:pPr>
      <w:pStyle w:val="Piedep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EB7" w:rsidRDefault="00615EB7">
      <w:pPr>
        <w:rPr>
          <w:rFonts w:ascii="Times New Roman" w:hAnsi="Times New Roman" w:cs="Times New Roman"/>
        </w:rPr>
      </w:pPr>
      <w:r>
        <w:rPr>
          <w:rFonts w:ascii="Times New Roman" w:hAnsi="Times New Roman" w:cs="Times New Roman"/>
        </w:rPr>
        <w:separator/>
      </w:r>
    </w:p>
  </w:footnote>
  <w:footnote w:type="continuationSeparator" w:id="0">
    <w:p w:rsidR="00615EB7" w:rsidRDefault="00615EB7">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D6236"/>
    <w:multiLevelType w:val="hybridMultilevel"/>
    <w:tmpl w:val="F25C6FD6"/>
    <w:lvl w:ilvl="0" w:tplc="0C0A0001">
      <w:start w:val="1"/>
      <w:numFmt w:val="bullet"/>
      <w:lvlText w:val=""/>
      <w:lvlJc w:val="left"/>
      <w:pPr>
        <w:tabs>
          <w:tab w:val="num" w:pos="360"/>
        </w:tabs>
        <w:ind w:left="360" w:hanging="360"/>
      </w:pPr>
      <w:rPr>
        <w:rFonts w:ascii="Symbol" w:hAnsi="Symbol" w:hint="default"/>
      </w:rPr>
    </w:lvl>
    <w:lvl w:ilvl="1" w:tplc="0C0A0003">
      <w:start w:val="1"/>
      <w:numFmt w:val="decimal"/>
      <w:lvlText w:val="%2."/>
      <w:lvlJc w:val="left"/>
      <w:pPr>
        <w:tabs>
          <w:tab w:val="num" w:pos="1440"/>
        </w:tabs>
        <w:ind w:left="1440" w:hanging="360"/>
      </w:pPr>
      <w:rPr>
        <w:rFonts w:ascii="Times New Roman" w:hAnsi="Times New Roman" w:cs="Times New Roman"/>
      </w:rPr>
    </w:lvl>
    <w:lvl w:ilvl="2" w:tplc="0C0A0005">
      <w:start w:val="1"/>
      <w:numFmt w:val="decimal"/>
      <w:lvlText w:val="%3."/>
      <w:lvlJc w:val="left"/>
      <w:pPr>
        <w:tabs>
          <w:tab w:val="num" w:pos="2160"/>
        </w:tabs>
        <w:ind w:left="2160" w:hanging="360"/>
      </w:pPr>
      <w:rPr>
        <w:rFonts w:ascii="Times New Roman" w:hAnsi="Times New Roman" w:cs="Times New Roman"/>
      </w:rPr>
    </w:lvl>
    <w:lvl w:ilvl="3" w:tplc="0C0A0001">
      <w:start w:val="1"/>
      <w:numFmt w:val="decimal"/>
      <w:lvlText w:val="%4."/>
      <w:lvlJc w:val="left"/>
      <w:pPr>
        <w:tabs>
          <w:tab w:val="num" w:pos="2880"/>
        </w:tabs>
        <w:ind w:left="2880" w:hanging="360"/>
      </w:pPr>
      <w:rPr>
        <w:rFonts w:ascii="Times New Roman" w:hAnsi="Times New Roman" w:cs="Times New Roman"/>
      </w:rPr>
    </w:lvl>
    <w:lvl w:ilvl="4" w:tplc="0C0A0003">
      <w:start w:val="1"/>
      <w:numFmt w:val="decimal"/>
      <w:lvlText w:val="%5."/>
      <w:lvlJc w:val="left"/>
      <w:pPr>
        <w:tabs>
          <w:tab w:val="num" w:pos="3600"/>
        </w:tabs>
        <w:ind w:left="3600" w:hanging="360"/>
      </w:pPr>
      <w:rPr>
        <w:rFonts w:ascii="Times New Roman" w:hAnsi="Times New Roman" w:cs="Times New Roman"/>
      </w:rPr>
    </w:lvl>
    <w:lvl w:ilvl="5" w:tplc="0C0A0005">
      <w:start w:val="1"/>
      <w:numFmt w:val="decimal"/>
      <w:lvlText w:val="%6."/>
      <w:lvlJc w:val="left"/>
      <w:pPr>
        <w:tabs>
          <w:tab w:val="num" w:pos="4320"/>
        </w:tabs>
        <w:ind w:left="4320" w:hanging="360"/>
      </w:pPr>
      <w:rPr>
        <w:rFonts w:ascii="Times New Roman" w:hAnsi="Times New Roman" w:cs="Times New Roman"/>
      </w:rPr>
    </w:lvl>
    <w:lvl w:ilvl="6" w:tplc="0C0A0001">
      <w:start w:val="1"/>
      <w:numFmt w:val="decimal"/>
      <w:lvlText w:val="%7."/>
      <w:lvlJc w:val="left"/>
      <w:pPr>
        <w:tabs>
          <w:tab w:val="num" w:pos="5040"/>
        </w:tabs>
        <w:ind w:left="5040" w:hanging="360"/>
      </w:pPr>
      <w:rPr>
        <w:rFonts w:ascii="Times New Roman" w:hAnsi="Times New Roman" w:cs="Times New Roman"/>
      </w:rPr>
    </w:lvl>
    <w:lvl w:ilvl="7" w:tplc="0C0A0003">
      <w:start w:val="1"/>
      <w:numFmt w:val="decimal"/>
      <w:lvlText w:val="%8."/>
      <w:lvlJc w:val="left"/>
      <w:pPr>
        <w:tabs>
          <w:tab w:val="num" w:pos="5760"/>
        </w:tabs>
        <w:ind w:left="5760" w:hanging="360"/>
      </w:pPr>
      <w:rPr>
        <w:rFonts w:ascii="Times New Roman" w:hAnsi="Times New Roman" w:cs="Times New Roman"/>
      </w:rPr>
    </w:lvl>
    <w:lvl w:ilvl="8" w:tplc="0C0A0005">
      <w:start w:val="1"/>
      <w:numFmt w:val="decimal"/>
      <w:lvlText w:val="%9."/>
      <w:lvlJc w:val="left"/>
      <w:pPr>
        <w:tabs>
          <w:tab w:val="num" w:pos="6480"/>
        </w:tabs>
        <w:ind w:left="6480" w:hanging="360"/>
      </w:pPr>
      <w:rPr>
        <w:rFonts w:ascii="Times New Roman" w:hAnsi="Times New Roman" w:cs="Times New Roman"/>
      </w:rPr>
    </w:lvl>
  </w:abstractNum>
  <w:abstractNum w:abstractNumId="1">
    <w:nsid w:val="76DF2189"/>
    <w:multiLevelType w:val="hybridMultilevel"/>
    <w:tmpl w:val="9C34E038"/>
    <w:lvl w:ilvl="0" w:tplc="0C0A000F">
      <w:start w:val="1"/>
      <w:numFmt w:val="decimal"/>
      <w:lvlText w:val="%1."/>
      <w:lvlJc w:val="left"/>
      <w:pPr>
        <w:tabs>
          <w:tab w:val="num" w:pos="720"/>
        </w:tabs>
        <w:ind w:left="720" w:hanging="360"/>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EB7"/>
    <w:rsid w:val="00050EFC"/>
    <w:rsid w:val="003C2BC8"/>
    <w:rsid w:val="00615EB7"/>
    <w:rsid w:val="00AD62F2"/>
    <w:rsid w:val="00B8134D"/>
    <w:rsid w:val="00EC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uiPriority w:val="99"/>
    <w:qFormat/>
    <w:pPr>
      <w:keepNext/>
      <w:spacing w:line="360" w:lineRule="auto"/>
      <w:ind w:firstLine="708"/>
      <w:jc w:val="center"/>
      <w:outlineLvl w:val="0"/>
    </w:pPr>
    <w:rPr>
      <w:b/>
      <w:bCs/>
    </w:rPr>
  </w:style>
  <w:style w:type="paragraph" w:styleId="Ttulo2">
    <w:name w:val="heading 2"/>
    <w:basedOn w:val="Normal"/>
    <w:next w:val="Normal"/>
    <w:link w:val="Ttulo2Car"/>
    <w:uiPriority w:val="99"/>
    <w:qFormat/>
    <w:pPr>
      <w:keepNext/>
      <w:spacing w:line="360" w:lineRule="auto"/>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4"/>
      <w:szCs w:val="24"/>
      <w:lang w:eastAsia="es-ES"/>
    </w:rPr>
  </w:style>
  <w:style w:type="character" w:customStyle="1" w:styleId="Ttulo2Car">
    <w:name w:val="Título 2 Car"/>
    <w:basedOn w:val="Fuentedeprrafopredeter"/>
    <w:link w:val="Ttulo2"/>
    <w:uiPriority w:val="9"/>
    <w:semiHidden/>
    <w:rsid w:val="00615EB7"/>
    <w:rPr>
      <w:rFonts w:asciiTheme="majorHAnsi" w:eastAsiaTheme="majorEastAsia" w:hAnsiTheme="majorHAnsi" w:cstheme="majorBidi"/>
      <w:b/>
      <w:bCs/>
      <w:i/>
      <w:iCs/>
      <w:sz w:val="28"/>
      <w:szCs w:val="28"/>
      <w:lang w:val="es-ES" w:eastAsia="es-ES"/>
    </w:rPr>
  </w:style>
  <w:style w:type="paragraph" w:styleId="Textoindependiente">
    <w:name w:val="Body Text"/>
    <w:basedOn w:val="Normal"/>
    <w:link w:val="TextoindependienteCar"/>
    <w:uiPriority w:val="99"/>
    <w:pPr>
      <w:spacing w:line="360" w:lineRule="auto"/>
      <w:jc w:val="both"/>
    </w:pPr>
  </w:style>
  <w:style w:type="character" w:customStyle="1" w:styleId="TextoindependienteCar">
    <w:name w:val="Texto independiente Car"/>
    <w:basedOn w:val="Fuentedeprrafopredeter"/>
    <w:link w:val="Textoindependiente"/>
    <w:uiPriority w:val="99"/>
    <w:rPr>
      <w:rFonts w:ascii="Arial" w:hAnsi="Arial" w:cs="Arial"/>
      <w:sz w:val="24"/>
      <w:szCs w:val="24"/>
      <w:lang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Arial" w:hAnsi="Arial" w:cs="Arial"/>
      <w:sz w:val="24"/>
      <w:szCs w:val="24"/>
      <w:lang w:eastAsia="es-ES"/>
    </w:rPr>
  </w:style>
  <w:style w:type="character" w:styleId="Nmerodepgina">
    <w:name w:val="page number"/>
    <w:basedOn w:val="Fuentedeprrafopredeter"/>
    <w:uiPriority w:val="99"/>
    <w:rPr>
      <w:rFonts w:ascii="Times New Roman" w:hAnsi="Times New Roman" w:cs="Times New Roman"/>
    </w:rPr>
  </w:style>
  <w:style w:type="paragraph" w:styleId="Sangradetextonormal">
    <w:name w:val="Body Text Indent"/>
    <w:basedOn w:val="Normal"/>
    <w:link w:val="SangradetextonormalCar"/>
    <w:uiPriority w:val="99"/>
    <w:pPr>
      <w:spacing w:line="360" w:lineRule="auto"/>
      <w:ind w:left="360"/>
      <w:jc w:val="both"/>
    </w:pPr>
    <w:rPr>
      <w:i/>
      <w:iCs/>
    </w:rPr>
  </w:style>
  <w:style w:type="character" w:customStyle="1" w:styleId="SangradetextonormalCar">
    <w:name w:val="Sangría de texto normal Car"/>
    <w:basedOn w:val="Fuentedeprrafopredeter"/>
    <w:link w:val="Sangradetextonormal"/>
    <w:uiPriority w:val="99"/>
    <w:rPr>
      <w:rFonts w:ascii="Arial" w:hAnsi="Arial" w:cs="Arial"/>
      <w:i/>
      <w:iCs/>
      <w:sz w:val="24"/>
      <w:szCs w:val="24"/>
      <w:lang w:eastAsia="es-ES"/>
    </w:rPr>
  </w:style>
  <w:style w:type="paragraph" w:styleId="Textoindependiente2">
    <w:name w:val="Body Text 2"/>
    <w:basedOn w:val="Normal"/>
    <w:link w:val="Textoindependiente2Car"/>
    <w:uiPriority w:val="99"/>
    <w:pPr>
      <w:spacing w:line="360" w:lineRule="auto"/>
      <w:jc w:val="center"/>
    </w:pPr>
    <w:rPr>
      <w:b/>
      <w:bCs/>
      <w:i/>
      <w:iCs/>
      <w:u w:val="single"/>
    </w:rPr>
  </w:style>
  <w:style w:type="character" w:customStyle="1" w:styleId="Textoindependiente2Car">
    <w:name w:val="Texto independiente 2 Car"/>
    <w:basedOn w:val="Fuentedeprrafopredeter"/>
    <w:link w:val="Textoindependiente2"/>
    <w:uiPriority w:val="99"/>
    <w:rPr>
      <w:rFonts w:ascii="Arial" w:hAnsi="Arial" w:cs="Arial"/>
      <w:b/>
      <w:bCs/>
      <w:i/>
      <w:iCs/>
      <w:sz w:val="24"/>
      <w:szCs w:val="24"/>
      <w:u w:val="single"/>
      <w:lang w:eastAsia="es-ES"/>
    </w:rPr>
  </w:style>
  <w:style w:type="paragraph" w:styleId="Sangra2detindependiente">
    <w:name w:val="Body Text Indent 2"/>
    <w:basedOn w:val="Normal"/>
    <w:link w:val="Sangra2detindependienteCar"/>
    <w:uiPriority w:val="99"/>
    <w:pPr>
      <w:spacing w:line="360" w:lineRule="auto"/>
      <w:ind w:left="360"/>
      <w:jc w:val="both"/>
    </w:pPr>
  </w:style>
  <w:style w:type="character" w:customStyle="1" w:styleId="Sangra2detindependienteCar">
    <w:name w:val="Sangría 2 de t. independiente Car"/>
    <w:basedOn w:val="Fuentedeprrafopredeter"/>
    <w:link w:val="Sangra2detindependiente"/>
    <w:uiPriority w:val="99"/>
    <w:rPr>
      <w:rFonts w:ascii="Arial" w:hAnsi="Arial" w:cs="Arial"/>
      <w:sz w:val="24"/>
      <w:szCs w:val="24"/>
      <w:lang w:eastAsia="es-ES"/>
    </w:rPr>
  </w:style>
  <w:style w:type="paragraph" w:styleId="Ttulo">
    <w:name w:val="Title"/>
    <w:basedOn w:val="Normal"/>
    <w:link w:val="TtuloCar"/>
    <w:uiPriority w:val="99"/>
    <w:qFormat/>
    <w:pPr>
      <w:spacing w:line="360" w:lineRule="auto"/>
      <w:jc w:val="center"/>
    </w:pPr>
    <w:rPr>
      <w:b/>
      <w:bCs/>
      <w:u w:val="single"/>
      <w:lang w:val="es-UY"/>
    </w:rPr>
  </w:style>
  <w:style w:type="character" w:customStyle="1" w:styleId="TtuloCar">
    <w:name w:val="Título Car"/>
    <w:basedOn w:val="Fuentedeprrafopredeter"/>
    <w:link w:val="Ttulo"/>
    <w:uiPriority w:val="99"/>
    <w:rPr>
      <w:rFonts w:ascii="Arial" w:hAnsi="Arial" w:cs="Arial"/>
      <w:b/>
      <w:bCs/>
      <w:sz w:val="24"/>
      <w:szCs w:val="24"/>
      <w:u w:val="single"/>
      <w:lang w:val="es-UY" w:eastAsia="es-ES"/>
    </w:rPr>
  </w:style>
  <w:style w:type="paragraph" w:styleId="Prrafodelista">
    <w:name w:val="List Paragraph"/>
    <w:basedOn w:val="Normal"/>
    <w:uiPriority w:val="99"/>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uiPriority w:val="99"/>
    <w:qFormat/>
    <w:pPr>
      <w:keepNext/>
      <w:spacing w:line="360" w:lineRule="auto"/>
      <w:ind w:firstLine="708"/>
      <w:jc w:val="center"/>
      <w:outlineLvl w:val="0"/>
    </w:pPr>
    <w:rPr>
      <w:b/>
      <w:bCs/>
    </w:rPr>
  </w:style>
  <w:style w:type="paragraph" w:styleId="Ttulo2">
    <w:name w:val="heading 2"/>
    <w:basedOn w:val="Normal"/>
    <w:next w:val="Normal"/>
    <w:link w:val="Ttulo2Car"/>
    <w:uiPriority w:val="99"/>
    <w:qFormat/>
    <w:pPr>
      <w:keepNext/>
      <w:spacing w:line="360" w:lineRule="auto"/>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4"/>
      <w:szCs w:val="24"/>
      <w:lang w:eastAsia="es-ES"/>
    </w:rPr>
  </w:style>
  <w:style w:type="character" w:customStyle="1" w:styleId="Ttulo2Car">
    <w:name w:val="Título 2 Car"/>
    <w:basedOn w:val="Fuentedeprrafopredeter"/>
    <w:link w:val="Ttulo2"/>
    <w:uiPriority w:val="9"/>
    <w:semiHidden/>
    <w:rsid w:val="00615EB7"/>
    <w:rPr>
      <w:rFonts w:asciiTheme="majorHAnsi" w:eastAsiaTheme="majorEastAsia" w:hAnsiTheme="majorHAnsi" w:cstheme="majorBidi"/>
      <w:b/>
      <w:bCs/>
      <w:i/>
      <w:iCs/>
      <w:sz w:val="28"/>
      <w:szCs w:val="28"/>
      <w:lang w:val="es-ES" w:eastAsia="es-ES"/>
    </w:rPr>
  </w:style>
  <w:style w:type="paragraph" w:styleId="Textoindependiente">
    <w:name w:val="Body Text"/>
    <w:basedOn w:val="Normal"/>
    <w:link w:val="TextoindependienteCar"/>
    <w:uiPriority w:val="99"/>
    <w:pPr>
      <w:spacing w:line="360" w:lineRule="auto"/>
      <w:jc w:val="both"/>
    </w:pPr>
  </w:style>
  <w:style w:type="character" w:customStyle="1" w:styleId="TextoindependienteCar">
    <w:name w:val="Texto independiente Car"/>
    <w:basedOn w:val="Fuentedeprrafopredeter"/>
    <w:link w:val="Textoindependiente"/>
    <w:uiPriority w:val="99"/>
    <w:rPr>
      <w:rFonts w:ascii="Arial" w:hAnsi="Arial" w:cs="Arial"/>
      <w:sz w:val="24"/>
      <w:szCs w:val="24"/>
      <w:lang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Arial" w:hAnsi="Arial" w:cs="Arial"/>
      <w:sz w:val="24"/>
      <w:szCs w:val="24"/>
      <w:lang w:eastAsia="es-ES"/>
    </w:rPr>
  </w:style>
  <w:style w:type="character" w:styleId="Nmerodepgina">
    <w:name w:val="page number"/>
    <w:basedOn w:val="Fuentedeprrafopredeter"/>
    <w:uiPriority w:val="99"/>
    <w:rPr>
      <w:rFonts w:ascii="Times New Roman" w:hAnsi="Times New Roman" w:cs="Times New Roman"/>
    </w:rPr>
  </w:style>
  <w:style w:type="paragraph" w:styleId="Sangradetextonormal">
    <w:name w:val="Body Text Indent"/>
    <w:basedOn w:val="Normal"/>
    <w:link w:val="SangradetextonormalCar"/>
    <w:uiPriority w:val="99"/>
    <w:pPr>
      <w:spacing w:line="360" w:lineRule="auto"/>
      <w:ind w:left="360"/>
      <w:jc w:val="both"/>
    </w:pPr>
    <w:rPr>
      <w:i/>
      <w:iCs/>
    </w:rPr>
  </w:style>
  <w:style w:type="character" w:customStyle="1" w:styleId="SangradetextonormalCar">
    <w:name w:val="Sangría de texto normal Car"/>
    <w:basedOn w:val="Fuentedeprrafopredeter"/>
    <w:link w:val="Sangradetextonormal"/>
    <w:uiPriority w:val="99"/>
    <w:rPr>
      <w:rFonts w:ascii="Arial" w:hAnsi="Arial" w:cs="Arial"/>
      <w:i/>
      <w:iCs/>
      <w:sz w:val="24"/>
      <w:szCs w:val="24"/>
      <w:lang w:eastAsia="es-ES"/>
    </w:rPr>
  </w:style>
  <w:style w:type="paragraph" w:styleId="Textoindependiente2">
    <w:name w:val="Body Text 2"/>
    <w:basedOn w:val="Normal"/>
    <w:link w:val="Textoindependiente2Car"/>
    <w:uiPriority w:val="99"/>
    <w:pPr>
      <w:spacing w:line="360" w:lineRule="auto"/>
      <w:jc w:val="center"/>
    </w:pPr>
    <w:rPr>
      <w:b/>
      <w:bCs/>
      <w:i/>
      <w:iCs/>
      <w:u w:val="single"/>
    </w:rPr>
  </w:style>
  <w:style w:type="character" w:customStyle="1" w:styleId="Textoindependiente2Car">
    <w:name w:val="Texto independiente 2 Car"/>
    <w:basedOn w:val="Fuentedeprrafopredeter"/>
    <w:link w:val="Textoindependiente2"/>
    <w:uiPriority w:val="99"/>
    <w:rPr>
      <w:rFonts w:ascii="Arial" w:hAnsi="Arial" w:cs="Arial"/>
      <w:b/>
      <w:bCs/>
      <w:i/>
      <w:iCs/>
      <w:sz w:val="24"/>
      <w:szCs w:val="24"/>
      <w:u w:val="single"/>
      <w:lang w:eastAsia="es-ES"/>
    </w:rPr>
  </w:style>
  <w:style w:type="paragraph" w:styleId="Sangra2detindependiente">
    <w:name w:val="Body Text Indent 2"/>
    <w:basedOn w:val="Normal"/>
    <w:link w:val="Sangra2detindependienteCar"/>
    <w:uiPriority w:val="99"/>
    <w:pPr>
      <w:spacing w:line="360" w:lineRule="auto"/>
      <w:ind w:left="360"/>
      <w:jc w:val="both"/>
    </w:pPr>
  </w:style>
  <w:style w:type="character" w:customStyle="1" w:styleId="Sangra2detindependienteCar">
    <w:name w:val="Sangría 2 de t. independiente Car"/>
    <w:basedOn w:val="Fuentedeprrafopredeter"/>
    <w:link w:val="Sangra2detindependiente"/>
    <w:uiPriority w:val="99"/>
    <w:rPr>
      <w:rFonts w:ascii="Arial" w:hAnsi="Arial" w:cs="Arial"/>
      <w:sz w:val="24"/>
      <w:szCs w:val="24"/>
      <w:lang w:eastAsia="es-ES"/>
    </w:rPr>
  </w:style>
  <w:style w:type="paragraph" w:styleId="Ttulo">
    <w:name w:val="Title"/>
    <w:basedOn w:val="Normal"/>
    <w:link w:val="TtuloCar"/>
    <w:uiPriority w:val="99"/>
    <w:qFormat/>
    <w:pPr>
      <w:spacing w:line="360" w:lineRule="auto"/>
      <w:jc w:val="center"/>
    </w:pPr>
    <w:rPr>
      <w:b/>
      <w:bCs/>
      <w:u w:val="single"/>
      <w:lang w:val="es-UY"/>
    </w:rPr>
  </w:style>
  <w:style w:type="character" w:customStyle="1" w:styleId="TtuloCar">
    <w:name w:val="Título Car"/>
    <w:basedOn w:val="Fuentedeprrafopredeter"/>
    <w:link w:val="Ttulo"/>
    <w:uiPriority w:val="99"/>
    <w:rPr>
      <w:rFonts w:ascii="Arial" w:hAnsi="Arial" w:cs="Arial"/>
      <w:b/>
      <w:bCs/>
      <w:sz w:val="24"/>
      <w:szCs w:val="24"/>
      <w:u w:val="single"/>
      <w:lang w:val="es-UY" w:eastAsia="es-ES"/>
    </w:rPr>
  </w:style>
  <w:style w:type="paragraph" w:styleId="Prrafodelista">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288</Words>
  <Characters>1460</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2013-17-1-0003650</dc:title>
  <dc:subject/>
  <dc:creator>MARIZA GONZALEZ PADILLA</dc:creator>
  <cp:keywords/>
  <dc:description/>
  <cp:lastModifiedBy> </cp:lastModifiedBy>
  <cp:revision>5</cp:revision>
  <cp:lastPrinted>2013-08-30T16:34:00Z</cp:lastPrinted>
  <dcterms:created xsi:type="dcterms:W3CDTF">2013-08-30T16:33:00Z</dcterms:created>
  <dcterms:modified xsi:type="dcterms:W3CDTF">2013-09-13T17:07:00Z</dcterms:modified>
</cp:coreProperties>
</file>