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8A" w:rsidRDefault="00C56A8A">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56A8A" w:rsidRDefault="00C56A8A">
      <w:pPr>
        <w:tabs>
          <w:tab w:val="left" w:pos="-720"/>
        </w:tabs>
        <w:suppressAutoHyphens/>
        <w:jc w:val="center"/>
        <w:rPr>
          <w:rFonts w:ascii="Helvetica" w:hAnsi="Helvetica"/>
          <w:b/>
          <w:lang w:val="es-ES_tradnl"/>
        </w:rPr>
      </w:pPr>
    </w:p>
    <w:p w:rsidR="00C56A8A" w:rsidRDefault="00C56A8A">
      <w:pPr>
        <w:tabs>
          <w:tab w:val="center" w:pos="4253"/>
        </w:tabs>
        <w:suppressAutoHyphens/>
        <w:jc w:val="center"/>
        <w:rPr>
          <w:rFonts w:ascii="Helvetica" w:hAnsi="Helvetica"/>
          <w:b/>
          <w:lang w:val="es-ES_tradnl"/>
        </w:rPr>
      </w:pPr>
      <w:r>
        <w:rPr>
          <w:rFonts w:ascii="Helvetica" w:hAnsi="Helvetica"/>
          <w:b/>
          <w:lang w:val="es-ES_tradnl"/>
        </w:rPr>
        <w:t>TRIBUNAL DE CUENTAS</w:t>
      </w:r>
    </w:p>
    <w:p w:rsidR="00C56A8A" w:rsidRDefault="00C56A8A">
      <w:pPr>
        <w:tabs>
          <w:tab w:val="left" w:pos="-720"/>
        </w:tabs>
        <w:suppressAutoHyphens/>
        <w:jc w:val="center"/>
        <w:rPr>
          <w:rFonts w:ascii="Helvetica" w:hAnsi="Helvetica"/>
          <w:b/>
          <w:lang w:val="es-ES_tradnl"/>
        </w:rPr>
      </w:pPr>
    </w:p>
    <w:p w:rsidR="00C56A8A" w:rsidRDefault="00C56A8A">
      <w:pPr>
        <w:tabs>
          <w:tab w:val="center" w:pos="4253"/>
        </w:tabs>
        <w:suppressAutoHyphens/>
        <w:jc w:val="center"/>
        <w:rPr>
          <w:rFonts w:ascii="Helvetica" w:hAnsi="Helvetica"/>
          <w:b/>
          <w:lang w:val="es-ES_tradnl"/>
        </w:rPr>
      </w:pPr>
      <w:r>
        <w:rPr>
          <w:rFonts w:ascii="Helvetica" w:hAnsi="Helvetica"/>
          <w:b/>
          <w:lang w:val="es-ES_tradnl"/>
        </w:rPr>
        <w:t>EN SESION DE FECHA  21 DE AGOSTO DE  2013</w:t>
      </w:r>
    </w:p>
    <w:p w:rsidR="00C56A8A" w:rsidRDefault="00C56A8A">
      <w:pPr>
        <w:tabs>
          <w:tab w:val="center" w:pos="4253"/>
        </w:tabs>
        <w:suppressAutoHyphens/>
        <w:jc w:val="center"/>
        <w:rPr>
          <w:rFonts w:ascii="Helvetica" w:hAnsi="Helvetica"/>
          <w:b/>
          <w:lang w:val="es-ES_tradnl"/>
        </w:rPr>
      </w:pPr>
    </w:p>
    <w:p w:rsidR="00C56A8A" w:rsidRPr="00C56A8A" w:rsidRDefault="00C56A8A">
      <w:pPr>
        <w:tabs>
          <w:tab w:val="center" w:pos="4253"/>
        </w:tabs>
        <w:suppressAutoHyphens/>
        <w:jc w:val="center"/>
        <w:rPr>
          <w:rFonts w:ascii="Helvetica" w:hAnsi="Helvetica"/>
          <w:b/>
          <w:lang w:val="es-UY"/>
        </w:rPr>
      </w:pPr>
      <w:r w:rsidRPr="00C56A8A">
        <w:rPr>
          <w:rFonts w:ascii="Helvetica" w:hAnsi="Helvetica"/>
          <w:b/>
          <w:lang w:val="es-UY"/>
        </w:rPr>
        <w:t xml:space="preserve">(E. E. Nº 2013-17-1-0003875, </w:t>
      </w:r>
      <w:proofErr w:type="spellStart"/>
      <w:r w:rsidRPr="00C56A8A">
        <w:rPr>
          <w:rFonts w:ascii="Helvetica" w:hAnsi="Helvetica"/>
          <w:b/>
          <w:lang w:val="es-UY"/>
        </w:rPr>
        <w:t>Ent</w:t>
      </w:r>
      <w:proofErr w:type="spellEnd"/>
      <w:r w:rsidRPr="00C56A8A">
        <w:rPr>
          <w:rFonts w:ascii="Helvetica" w:hAnsi="Helvetica"/>
          <w:b/>
          <w:lang w:val="es-UY"/>
        </w:rPr>
        <w:t>. N° 4327/13.)</w:t>
      </w:r>
    </w:p>
    <w:p w:rsidR="00C56A8A" w:rsidRPr="00C56A8A" w:rsidRDefault="00C56A8A">
      <w:pPr>
        <w:rPr>
          <w:lang w:val="es-UY"/>
        </w:rPr>
      </w:pPr>
    </w:p>
    <w:p w:rsidR="00EF7108" w:rsidRDefault="00EF7108" w:rsidP="00EF7108"/>
    <w:p w:rsidR="00EF7108" w:rsidRDefault="00EF7108" w:rsidP="00C56A8A">
      <w:pPr>
        <w:spacing w:line="360" w:lineRule="auto"/>
        <w:ind w:firstLine="708"/>
        <w:jc w:val="both"/>
      </w:pPr>
      <w:r>
        <w:rPr>
          <w:b/>
        </w:rPr>
        <w:t xml:space="preserve">VISTO: </w:t>
      </w:r>
      <w:r>
        <w:t>estas actuaciones remitidas por el Ministerio de Transporte y Obras Públicas - Dirección Nacional de Vialidad, relacionados con el Convenio suscrito por dicha Secretaría de Estado y la Corporación Nacional para el Desarrollo, con fecha 05.10.01, para la ejecución de obras y proyectos por el sistema de Concesión de Obra Pública;</w:t>
      </w:r>
    </w:p>
    <w:p w:rsidR="00D310CE" w:rsidRDefault="00EF7108" w:rsidP="00C56A8A">
      <w:pPr>
        <w:spacing w:line="360" w:lineRule="auto"/>
        <w:ind w:firstLine="708"/>
        <w:jc w:val="both"/>
      </w:pPr>
      <w:r>
        <w:rPr>
          <w:b/>
        </w:rPr>
        <w:t>RESULTANDO: 1)</w:t>
      </w:r>
      <w:r w:rsidR="00D310CE">
        <w:t xml:space="preserve"> que el convenio marco suscripto el 5 de octubre de 2001 entre el MTOP y CND tiene por objeto dar y recibir, respectivamente, en régimen de concesión, los estudios, proyectos, construcción, mantenimiento, operación y explotación de las obras públicas de infraestructura señaladas en el </w:t>
      </w:r>
      <w:r w:rsidR="003121C0">
        <w:t>A</w:t>
      </w:r>
      <w:r w:rsidR="00D310CE">
        <w:t xml:space="preserve">nexo I del referido convenio, contratando y ejecutando de común acuerdo, convocatorias, llamados públicos, pedidos de precio, actos, cooperación científica, técnica, </w:t>
      </w:r>
      <w:proofErr w:type="spellStart"/>
      <w:r w:rsidR="00D310CE">
        <w:t>semitécnica</w:t>
      </w:r>
      <w:proofErr w:type="spellEnd"/>
      <w:r w:rsidR="00D310CE">
        <w:t xml:space="preserve"> y especializada necesarios a esos efectos (Cláusula Tercera);                      </w:t>
      </w:r>
    </w:p>
    <w:p w:rsidR="00D310CE" w:rsidRDefault="00C56A8A" w:rsidP="00C56A8A">
      <w:pPr>
        <w:pStyle w:val="Textoindependiente"/>
        <w:ind w:firstLine="2552"/>
      </w:pPr>
      <w:r>
        <w:rPr>
          <w:b/>
          <w:bCs w:val="0"/>
        </w:rPr>
        <w:t xml:space="preserve"> </w:t>
      </w:r>
      <w:r w:rsidR="00D310CE">
        <w:rPr>
          <w:b/>
          <w:bCs w:val="0"/>
        </w:rPr>
        <w:t>2)</w:t>
      </w:r>
      <w:r w:rsidR="00D310CE">
        <w:t xml:space="preserve"> que este </w:t>
      </w:r>
      <w:r>
        <w:t>Tribunal</w:t>
      </w:r>
      <w:r w:rsidR="00D310CE">
        <w:t xml:space="preserve">, en </w:t>
      </w:r>
      <w:r>
        <w:t>S</w:t>
      </w:r>
      <w:r w:rsidR="00D310CE">
        <w:t>esión de fecha 31/10/01, acordó no formular objeciones a dicho convenio y señaló que los gastos que debiera afrontar el Ministerio de Transporte y Obras Públicas debían ser sometidos a consideración del Tribunal de Cuentas a efectos de su intervención;</w:t>
      </w:r>
    </w:p>
    <w:p w:rsidR="00D310CE" w:rsidRDefault="00C56A8A" w:rsidP="00C56A8A">
      <w:pPr>
        <w:pStyle w:val="Textoindependiente"/>
        <w:tabs>
          <w:tab w:val="left" w:pos="1680"/>
        </w:tabs>
        <w:ind w:firstLine="2552"/>
      </w:pPr>
      <w:r>
        <w:rPr>
          <w:b/>
          <w:bCs w:val="0"/>
        </w:rPr>
        <w:t xml:space="preserve"> </w:t>
      </w:r>
      <w:r w:rsidR="00D310CE">
        <w:rPr>
          <w:b/>
          <w:bCs w:val="0"/>
        </w:rPr>
        <w:t xml:space="preserve">3) </w:t>
      </w:r>
      <w:r w:rsidR="00D310CE">
        <w:t xml:space="preserve">que de acuerdo </w:t>
      </w:r>
      <w:r>
        <w:t xml:space="preserve">con </w:t>
      </w:r>
      <w:r w:rsidR="00D310CE">
        <w:t xml:space="preserve">la Resolución del Poder Ejecutivo Nº 483/003, de fecha 9/4/03, en base a lo previsto en los arts. 28 y 29 de Ley 17.555, se aprobó la cesión de </w:t>
      </w:r>
      <w:smartTag w:uri="urn:schemas-microsoft-com:office:smarttags" w:element="PersonName">
        <w:smartTagPr>
          <w:attr w:name="ProductID" w:val="la CND"/>
        </w:smartTagPr>
        <w:r w:rsidR="00D310CE">
          <w:t>la CND</w:t>
        </w:r>
      </w:smartTag>
      <w:r w:rsidR="00D310CE">
        <w:t xml:space="preserve"> a </w:t>
      </w:r>
      <w:smartTag w:uri="urn:schemas-microsoft-com:office:smarttags" w:element="PersonName">
        <w:smartTagPr>
          <w:attr w:name="ProductID" w:val="la Corporación Vial"/>
        </w:smartTagPr>
        <w:r w:rsidR="00D310CE">
          <w:t>la Corporación Vial</w:t>
        </w:r>
      </w:smartTag>
      <w:r w:rsidR="00D310CE">
        <w:t xml:space="preserve"> del Uruguay S.A., respecto de su posición como concesionaria en el convenio de fecha 5 de octubre de 2001;</w:t>
      </w:r>
    </w:p>
    <w:p w:rsidR="00D310CE" w:rsidRDefault="005E196C" w:rsidP="005E196C">
      <w:pPr>
        <w:pStyle w:val="Textoindependiente"/>
        <w:ind w:firstLine="2552"/>
      </w:pPr>
      <w:r>
        <w:rPr>
          <w:b/>
        </w:rPr>
        <w:lastRenderedPageBreak/>
        <w:t xml:space="preserve"> </w:t>
      </w:r>
      <w:r w:rsidR="00D310CE" w:rsidRPr="0031480E">
        <w:rPr>
          <w:b/>
        </w:rPr>
        <w:t>4)</w:t>
      </w:r>
      <w:r w:rsidR="00D310CE">
        <w:t xml:space="preserve"> que el 9/2/06, el MTOP y la  CND convinieron-ad- </w:t>
      </w:r>
      <w:proofErr w:type="spellStart"/>
      <w:r w:rsidR="00D310CE">
        <w:t>referendum</w:t>
      </w:r>
      <w:proofErr w:type="spellEnd"/>
      <w:r w:rsidR="00D310CE">
        <w:t xml:space="preserve"> y con la conformidad de la Corporación Vial del Uruguay S.A., la modificación y ampliación propuesta del Anexo I del convenio referido;</w:t>
      </w:r>
    </w:p>
    <w:p w:rsidR="00D310CE" w:rsidRDefault="005E196C" w:rsidP="005E196C">
      <w:pPr>
        <w:pStyle w:val="Textoindependiente"/>
        <w:ind w:firstLine="2552"/>
      </w:pPr>
      <w:r>
        <w:rPr>
          <w:b/>
          <w:bCs w:val="0"/>
        </w:rPr>
        <w:t xml:space="preserve"> </w:t>
      </w:r>
      <w:r w:rsidR="00D310CE">
        <w:rPr>
          <w:b/>
          <w:bCs w:val="0"/>
        </w:rPr>
        <w:t>5)</w:t>
      </w:r>
      <w:r w:rsidR="00D310CE">
        <w:t xml:space="preserve"> que el Tribunal de Cuentas, en Sesión de 26/4/06, acordó no formular observaciones a las modificaciones del Convenio;</w:t>
      </w:r>
    </w:p>
    <w:p w:rsidR="00D310CE" w:rsidRDefault="005E196C" w:rsidP="005E196C">
      <w:pPr>
        <w:pStyle w:val="Sangradetextonormal"/>
        <w:ind w:firstLine="2552"/>
      </w:pPr>
      <w:r>
        <w:rPr>
          <w:b/>
          <w:bCs/>
        </w:rPr>
        <w:t xml:space="preserve"> </w:t>
      </w:r>
      <w:r w:rsidR="00D310CE">
        <w:rPr>
          <w:b/>
          <w:bCs/>
        </w:rPr>
        <w:t>6)</w:t>
      </w:r>
      <w:r w:rsidR="00D310CE">
        <w:t xml:space="preserve"> que luego que el MTOP remitiera al Tribunal de Cuentas una nueva modificación del Anexo I, por Resolución de este Tribunal de fecha 12/11/08, se resolvió no formular observaciones a la misma, frente a lo cual el Poder Ejecutivo por Resolución  de fecha 1/12/08 aprobó la modificación indicada;</w:t>
      </w:r>
    </w:p>
    <w:p w:rsidR="00EF7108" w:rsidRPr="00B32AFB" w:rsidRDefault="005E196C" w:rsidP="005E196C">
      <w:pPr>
        <w:pStyle w:val="Sangradetextonormal"/>
        <w:ind w:firstLine="2552"/>
        <w:rPr>
          <w:rFonts w:cs="Arial"/>
        </w:rPr>
      </w:pPr>
      <w:r>
        <w:rPr>
          <w:b/>
          <w:bCs/>
        </w:rPr>
        <w:t xml:space="preserve"> </w:t>
      </w:r>
      <w:r w:rsidR="00D310CE">
        <w:rPr>
          <w:b/>
          <w:bCs/>
        </w:rPr>
        <w:t>7</w:t>
      </w:r>
      <w:r w:rsidR="00EF7108">
        <w:rPr>
          <w:b/>
          <w:bCs/>
        </w:rPr>
        <w:t>)</w:t>
      </w:r>
      <w:r w:rsidR="00077D48">
        <w:rPr>
          <w:b/>
          <w:bCs/>
        </w:rPr>
        <w:t xml:space="preserve"> </w:t>
      </w:r>
      <w:r w:rsidR="00EF7108">
        <w:t>que en esta instancia el MTOP informa que</w:t>
      </w:r>
      <w:r w:rsidR="00EF7108" w:rsidRPr="00B32AFB">
        <w:rPr>
          <w:rFonts w:cs="Arial"/>
        </w:rPr>
        <w:t xml:space="preserve">,  ante la necesidad de ejecutar en el plazo </w:t>
      </w:r>
      <w:r w:rsidR="006D49B6" w:rsidRPr="00B32AFB">
        <w:rPr>
          <w:rFonts w:cs="Arial"/>
        </w:rPr>
        <w:t>más</w:t>
      </w:r>
      <w:r w:rsidR="00EF7108" w:rsidRPr="00B32AFB">
        <w:rPr>
          <w:rFonts w:cs="Arial"/>
        </w:rPr>
        <w:t xml:space="preserve"> corto posible una obra de seguridad vial en Ruta 1, el intercambiador de Rutas 1 y 2 (Rosario),</w:t>
      </w:r>
      <w:r w:rsidR="00EF7108" w:rsidRPr="00EF7108">
        <w:t xml:space="preserve"> </w:t>
      </w:r>
      <w:r w:rsidR="00EF7108">
        <w:t xml:space="preserve">resulta necesario disponer, en el marco de lo dispuesto en la cláusula 28.9 del Anexo I del </w:t>
      </w:r>
      <w:r w:rsidR="00EF7108" w:rsidRPr="005E196C">
        <w:rPr>
          <w:spacing w:val="-10"/>
        </w:rPr>
        <w:t>contrato de concesión, un</w:t>
      </w:r>
      <w:r w:rsidR="00EF7108" w:rsidRPr="005E196C">
        <w:rPr>
          <w:rFonts w:cs="Arial"/>
          <w:spacing w:val="-10"/>
        </w:rPr>
        <w:t xml:space="preserve"> incremento del subsidio por la suma de U$S</w:t>
      </w:r>
      <w:r w:rsidR="00EF7108" w:rsidRPr="00B32AFB">
        <w:rPr>
          <w:rFonts w:cs="Arial"/>
        </w:rPr>
        <w:t xml:space="preserve"> 7:300.000 para el presente ejercicio, de forma de hacer posible la concreción de la obra referida</w:t>
      </w:r>
      <w:r>
        <w:rPr>
          <w:rFonts w:cs="Arial"/>
        </w:rPr>
        <w:t>;</w:t>
      </w:r>
    </w:p>
    <w:p w:rsidR="00EF7108" w:rsidRPr="005E196C" w:rsidRDefault="00EF7108" w:rsidP="005E196C">
      <w:pPr>
        <w:spacing w:line="360" w:lineRule="auto"/>
        <w:ind w:firstLine="708"/>
        <w:jc w:val="both"/>
      </w:pPr>
      <w:r>
        <w:rPr>
          <w:b/>
        </w:rPr>
        <w:t xml:space="preserve">CONSIDERANDO: 1) </w:t>
      </w:r>
      <w:r>
        <w:t>que la cláusula 28.9 del Anexo I del contrato de concesión celebrado oportunamente entre el MTOP y la CND, el cual no mereciera observaciones por parte de este Tribunal</w:t>
      </w:r>
      <w:r w:rsidR="003121C0">
        <w:t>,</w:t>
      </w:r>
      <w:r>
        <w:t xml:space="preserve">  establece que </w:t>
      </w:r>
      <w:r w:rsidRPr="005E196C">
        <w:rPr>
          <w:iCs/>
        </w:rPr>
        <w:t>“De común acuerdo entre el Concedente y el Concesionario se podrá aumentar los montos de subsidio y de gasto comprometido siempre que se respete la ecuación económico-financiera de la concesión”</w:t>
      </w:r>
      <w:r w:rsidRPr="005E196C">
        <w:t>;</w:t>
      </w:r>
    </w:p>
    <w:p w:rsidR="00EF7108" w:rsidRDefault="005E196C" w:rsidP="005E196C">
      <w:pPr>
        <w:spacing w:line="360" w:lineRule="auto"/>
        <w:ind w:firstLine="2835"/>
        <w:jc w:val="both"/>
      </w:pPr>
      <w:r>
        <w:rPr>
          <w:b/>
          <w:bCs/>
        </w:rPr>
        <w:t xml:space="preserve"> </w:t>
      </w:r>
      <w:r w:rsidR="00EF7108">
        <w:rPr>
          <w:b/>
          <w:bCs/>
        </w:rPr>
        <w:t>2)</w:t>
      </w:r>
      <w:r w:rsidR="00EF7108">
        <w:t xml:space="preserve"> que en la especie, el presente aumento específico del subsidio no implica una alteración de la ecuación económico financiera del contrato, por lo que, en tanto exista acuerdo de partes al respecto, debe concluirse que el mismo resulta ajustado a derecho;</w:t>
      </w:r>
    </w:p>
    <w:p w:rsidR="00EF7108" w:rsidRPr="005E196C" w:rsidRDefault="00EF7108" w:rsidP="005E196C">
      <w:pPr>
        <w:tabs>
          <w:tab w:val="left" w:pos="2040"/>
        </w:tabs>
        <w:spacing w:line="360" w:lineRule="auto"/>
        <w:jc w:val="both"/>
        <w:rPr>
          <w:b/>
        </w:rPr>
      </w:pPr>
      <w:r>
        <w:tab/>
      </w:r>
      <w:r w:rsidRPr="005E196C">
        <w:rPr>
          <w:b/>
        </w:rPr>
        <w:t>EL TRIBUNAL ACUERDA</w:t>
      </w:r>
      <w:r w:rsidR="005E196C">
        <w:rPr>
          <w:b/>
        </w:rPr>
        <w:t xml:space="preserve"> </w:t>
      </w:r>
    </w:p>
    <w:p w:rsidR="00EF7108" w:rsidRDefault="005E196C" w:rsidP="005E196C">
      <w:pPr>
        <w:spacing w:line="360" w:lineRule="auto"/>
        <w:ind w:left="284" w:hanging="284"/>
        <w:jc w:val="both"/>
      </w:pPr>
      <w:r w:rsidRPr="005E196C">
        <w:rPr>
          <w:b/>
        </w:rPr>
        <w:t>1)</w:t>
      </w:r>
      <w:r>
        <w:t xml:space="preserve"> </w:t>
      </w:r>
      <w:r w:rsidR="003121C0">
        <w:t>C</w:t>
      </w:r>
      <w:r w:rsidR="00EF7108">
        <w:t xml:space="preserve">uando el </w:t>
      </w:r>
      <w:r>
        <w:t>O</w:t>
      </w:r>
      <w:r w:rsidR="00EF7108">
        <w:t xml:space="preserve">rdenador competente disponga el gasto en la forma propuesta, </w:t>
      </w:r>
      <w:proofErr w:type="spellStart"/>
      <w:r w:rsidR="00EF7108">
        <w:t>cométese</w:t>
      </w:r>
      <w:proofErr w:type="spellEnd"/>
      <w:r w:rsidR="00EF7108">
        <w:t xml:space="preserve"> a</w:t>
      </w:r>
      <w:r w:rsidR="00D807F8">
        <w:t xml:space="preserve"> </w:t>
      </w:r>
      <w:r w:rsidR="00EF7108">
        <w:t>l</w:t>
      </w:r>
      <w:r w:rsidR="00D807F8">
        <w:t>a</w:t>
      </w:r>
      <w:r w:rsidR="00EF7108">
        <w:t xml:space="preserve"> Contador</w:t>
      </w:r>
      <w:r w:rsidR="00D807F8">
        <w:t>a</w:t>
      </w:r>
      <w:r w:rsidR="00EF7108">
        <w:t xml:space="preserve"> Auditor</w:t>
      </w:r>
      <w:r w:rsidR="00D807F8">
        <w:t>a destacada</w:t>
      </w:r>
      <w:r w:rsidR="00EF7108">
        <w:t xml:space="preserve"> ante el Ministerio de </w:t>
      </w:r>
      <w:r w:rsidR="00EF7108">
        <w:lastRenderedPageBreak/>
        <w:t>Transporte y Obras Públicas, la intervención del gasto</w:t>
      </w:r>
      <w:r w:rsidR="003121C0" w:rsidRPr="003121C0">
        <w:rPr>
          <w:rFonts w:cs="Arial"/>
        </w:rPr>
        <w:t xml:space="preserve"> </w:t>
      </w:r>
      <w:r w:rsidR="003121C0">
        <w:rPr>
          <w:rFonts w:cs="Arial"/>
        </w:rPr>
        <w:t xml:space="preserve">derivado del </w:t>
      </w:r>
      <w:r w:rsidR="003121C0" w:rsidRPr="00B32AFB">
        <w:rPr>
          <w:rFonts w:cs="Arial"/>
        </w:rPr>
        <w:t xml:space="preserve">incremento del subsidio por la suma de U$S 7:300.000 para el presente </w:t>
      </w:r>
      <w:r w:rsidR="00D807F8">
        <w:rPr>
          <w:rFonts w:cs="Arial"/>
        </w:rPr>
        <w:t>E</w:t>
      </w:r>
      <w:r w:rsidR="003121C0" w:rsidRPr="00B32AFB">
        <w:rPr>
          <w:rFonts w:cs="Arial"/>
        </w:rPr>
        <w:t>jercicio</w:t>
      </w:r>
      <w:r w:rsidR="00EF7108">
        <w:t>, previo control de su imputación con cargo al grupo adecuado con disponibilidad suficiente y la verificación de que la Resolución definitiva concuerde con las condiciones de la contratación sometidas a este Tribunal (Art</w:t>
      </w:r>
      <w:r>
        <w:t>ículo</w:t>
      </w:r>
      <w:r w:rsidR="00EF7108">
        <w:t xml:space="preserve"> 8 de la Ordenanza Nº 27 de 22/5/58 en la redacción sustitutiva dispuesta por la Ordenanza s/n del Tribunal de Cuentas del 16/6/10;</w:t>
      </w:r>
    </w:p>
    <w:p w:rsidR="00EF7108" w:rsidRDefault="005E196C" w:rsidP="005E196C">
      <w:pPr>
        <w:spacing w:line="360" w:lineRule="auto"/>
        <w:jc w:val="both"/>
      </w:pPr>
      <w:r w:rsidRPr="005E196C">
        <w:rPr>
          <w:b/>
        </w:rPr>
        <w:t>2)</w:t>
      </w:r>
      <w:r>
        <w:t xml:space="preserve"> </w:t>
      </w:r>
      <w:r w:rsidR="00EF7108">
        <w:t>Comunicar a</w:t>
      </w:r>
      <w:r w:rsidR="00D807F8">
        <w:t xml:space="preserve"> </w:t>
      </w:r>
      <w:r w:rsidR="00EF7108">
        <w:t>l</w:t>
      </w:r>
      <w:r w:rsidR="00D807F8">
        <w:t>a</w:t>
      </w:r>
      <w:r w:rsidR="00EF7108">
        <w:t xml:space="preserve"> Contador</w:t>
      </w:r>
      <w:r w:rsidR="00D807F8">
        <w:t>a</w:t>
      </w:r>
      <w:r w:rsidR="00EF7108">
        <w:t xml:space="preserve"> Auditor</w:t>
      </w:r>
      <w:r w:rsidR="00D807F8">
        <w:t>a</w:t>
      </w:r>
      <w:bookmarkStart w:id="0" w:name="_GoBack"/>
      <w:bookmarkEnd w:id="0"/>
      <w:r w:rsidR="00EF7108">
        <w:t>; y</w:t>
      </w:r>
    </w:p>
    <w:p w:rsidR="00EF7108" w:rsidRDefault="005E196C" w:rsidP="005E196C">
      <w:pPr>
        <w:spacing w:line="360" w:lineRule="auto"/>
        <w:jc w:val="both"/>
      </w:pPr>
      <w:r w:rsidRPr="005E196C">
        <w:rPr>
          <w:b/>
        </w:rPr>
        <w:t>3)</w:t>
      </w:r>
      <w:r>
        <w:rPr>
          <w:b/>
        </w:rPr>
        <w:t xml:space="preserve"> </w:t>
      </w:r>
      <w:r w:rsidR="00EF7108">
        <w:t>Devolver las actuaciones</w:t>
      </w:r>
      <w:r>
        <w:t>.</w:t>
      </w:r>
    </w:p>
    <w:p w:rsidR="00EF7108" w:rsidRDefault="00EF7108" w:rsidP="00EF7108">
      <w:pPr>
        <w:spacing w:line="360" w:lineRule="auto"/>
        <w:ind w:left="360"/>
        <w:jc w:val="both"/>
      </w:pPr>
    </w:p>
    <w:p w:rsidR="00EF7108" w:rsidRDefault="00EF7108" w:rsidP="005E196C">
      <w:pPr>
        <w:tabs>
          <w:tab w:val="left" w:pos="5509"/>
        </w:tabs>
        <w:spacing w:line="360" w:lineRule="auto"/>
      </w:pPr>
      <w:r>
        <w:t xml:space="preserve"> </w:t>
      </w:r>
      <w:r>
        <w:tab/>
      </w:r>
    </w:p>
    <w:p w:rsidR="005E196C" w:rsidRDefault="005E196C" w:rsidP="005E196C">
      <w:pPr>
        <w:tabs>
          <w:tab w:val="left" w:pos="5509"/>
        </w:tabs>
        <w:spacing w:line="360" w:lineRule="auto"/>
      </w:pPr>
    </w:p>
    <w:p w:rsidR="005E196C" w:rsidRDefault="005E196C" w:rsidP="005E196C">
      <w:pPr>
        <w:tabs>
          <w:tab w:val="left" w:pos="5509"/>
        </w:tabs>
        <w:spacing w:line="360" w:lineRule="auto"/>
      </w:pPr>
    </w:p>
    <w:p w:rsidR="005E196C" w:rsidRDefault="005E196C" w:rsidP="005E196C">
      <w:pPr>
        <w:tabs>
          <w:tab w:val="left" w:pos="5509"/>
        </w:tabs>
        <w:spacing w:line="360" w:lineRule="auto"/>
      </w:pPr>
    </w:p>
    <w:p w:rsidR="005E196C" w:rsidRDefault="005E196C" w:rsidP="005E196C">
      <w:pPr>
        <w:tabs>
          <w:tab w:val="left" w:pos="5509"/>
        </w:tabs>
        <w:spacing w:line="360" w:lineRule="auto"/>
      </w:pPr>
      <w:proofErr w:type="spellStart"/>
      <w:proofErr w:type="gramStart"/>
      <w:r>
        <w:t>cr</w:t>
      </w:r>
      <w:proofErr w:type="spellEnd"/>
      <w:proofErr w:type="gramEnd"/>
    </w:p>
    <w:sectPr w:rsidR="005E196C" w:rsidSect="000B30A5">
      <w:pgSz w:w="11906" w:h="16838" w:code="9"/>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6E42"/>
    <w:multiLevelType w:val="hybridMultilevel"/>
    <w:tmpl w:val="A2B20B0A"/>
    <w:lvl w:ilvl="0" w:tplc="C4CA14CE">
      <w:start w:val="1"/>
      <w:numFmt w:val="decimal"/>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1">
    <w:nsid w:val="494C2D23"/>
    <w:multiLevelType w:val="hybridMultilevel"/>
    <w:tmpl w:val="AB28B5A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08"/>
    <w:rsid w:val="00077D48"/>
    <w:rsid w:val="000B30A5"/>
    <w:rsid w:val="001B15FD"/>
    <w:rsid w:val="003121C0"/>
    <w:rsid w:val="0031480E"/>
    <w:rsid w:val="005E196C"/>
    <w:rsid w:val="006D49B6"/>
    <w:rsid w:val="00C56A8A"/>
    <w:rsid w:val="00D310CE"/>
    <w:rsid w:val="00D807F8"/>
    <w:rsid w:val="00EF7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108"/>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F7108"/>
    <w:pPr>
      <w:keepNext/>
      <w:spacing w:line="360" w:lineRule="auto"/>
      <w:jc w:val="both"/>
      <w:outlineLvl w:val="0"/>
    </w:pPr>
    <w:rPr>
      <w:b/>
      <w:bCs/>
    </w:rPr>
  </w:style>
  <w:style w:type="paragraph" w:styleId="Ttulo2">
    <w:name w:val="heading 2"/>
    <w:basedOn w:val="Normal"/>
    <w:next w:val="Normal"/>
    <w:link w:val="Ttulo2Car"/>
    <w:qFormat/>
    <w:rsid w:val="00EF7108"/>
    <w:pPr>
      <w:keepNext/>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7108"/>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EF7108"/>
    <w:rPr>
      <w:rFonts w:ascii="Arial" w:eastAsia="Times New Roman" w:hAnsi="Arial" w:cs="Times New Roman"/>
      <w:b/>
      <w:bCs/>
      <w:sz w:val="24"/>
      <w:szCs w:val="24"/>
      <w:lang w:eastAsia="es-ES"/>
    </w:rPr>
  </w:style>
  <w:style w:type="paragraph" w:styleId="Sangradetextonormal">
    <w:name w:val="Body Text Indent"/>
    <w:basedOn w:val="Normal"/>
    <w:link w:val="SangradetextonormalCar"/>
    <w:semiHidden/>
    <w:rsid w:val="00EF7108"/>
    <w:pPr>
      <w:spacing w:line="360" w:lineRule="auto"/>
      <w:ind w:firstLine="708"/>
      <w:jc w:val="both"/>
    </w:pPr>
  </w:style>
  <w:style w:type="character" w:customStyle="1" w:styleId="SangradetextonormalCar">
    <w:name w:val="Sangría de texto normal Car"/>
    <w:basedOn w:val="Fuentedeprrafopredeter"/>
    <w:link w:val="Sangradetextonormal"/>
    <w:semiHidden/>
    <w:rsid w:val="00EF7108"/>
    <w:rPr>
      <w:rFonts w:ascii="Arial" w:eastAsia="Times New Roman" w:hAnsi="Arial" w:cs="Times New Roman"/>
      <w:sz w:val="24"/>
      <w:szCs w:val="24"/>
      <w:lang w:eastAsia="es-ES"/>
    </w:rPr>
  </w:style>
  <w:style w:type="paragraph" w:styleId="Textoindependiente">
    <w:name w:val="Body Text"/>
    <w:basedOn w:val="Normal"/>
    <w:link w:val="TextoindependienteCar"/>
    <w:semiHidden/>
    <w:rsid w:val="00EF7108"/>
    <w:pPr>
      <w:spacing w:line="360" w:lineRule="auto"/>
      <w:jc w:val="both"/>
    </w:pPr>
    <w:rPr>
      <w:bCs/>
    </w:rPr>
  </w:style>
  <w:style w:type="character" w:customStyle="1" w:styleId="TextoindependienteCar">
    <w:name w:val="Texto independiente Car"/>
    <w:basedOn w:val="Fuentedeprrafopredeter"/>
    <w:link w:val="Textoindependiente"/>
    <w:semiHidden/>
    <w:rsid w:val="00EF7108"/>
    <w:rPr>
      <w:rFonts w:ascii="Arial" w:eastAsia="Times New Roman" w:hAnsi="Arial" w:cs="Times New Roman"/>
      <w:bCs/>
      <w:sz w:val="24"/>
      <w:szCs w:val="24"/>
      <w:lang w:eastAsia="es-ES"/>
    </w:rPr>
  </w:style>
  <w:style w:type="paragraph" w:styleId="Piedepgina">
    <w:name w:val="footer"/>
    <w:basedOn w:val="Normal"/>
    <w:link w:val="PiedepginaCar"/>
    <w:semiHidden/>
    <w:rsid w:val="00EF7108"/>
    <w:pPr>
      <w:tabs>
        <w:tab w:val="center" w:pos="4419"/>
        <w:tab w:val="right" w:pos="8838"/>
      </w:tabs>
    </w:pPr>
  </w:style>
  <w:style w:type="character" w:customStyle="1" w:styleId="PiedepginaCar">
    <w:name w:val="Pie de página Car"/>
    <w:basedOn w:val="Fuentedeprrafopredeter"/>
    <w:link w:val="Piedepgina"/>
    <w:semiHidden/>
    <w:rsid w:val="00EF7108"/>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108"/>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F7108"/>
    <w:pPr>
      <w:keepNext/>
      <w:spacing w:line="360" w:lineRule="auto"/>
      <w:jc w:val="both"/>
      <w:outlineLvl w:val="0"/>
    </w:pPr>
    <w:rPr>
      <w:b/>
      <w:bCs/>
    </w:rPr>
  </w:style>
  <w:style w:type="paragraph" w:styleId="Ttulo2">
    <w:name w:val="heading 2"/>
    <w:basedOn w:val="Normal"/>
    <w:next w:val="Normal"/>
    <w:link w:val="Ttulo2Car"/>
    <w:qFormat/>
    <w:rsid w:val="00EF7108"/>
    <w:pPr>
      <w:keepNext/>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7108"/>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EF7108"/>
    <w:rPr>
      <w:rFonts w:ascii="Arial" w:eastAsia="Times New Roman" w:hAnsi="Arial" w:cs="Times New Roman"/>
      <w:b/>
      <w:bCs/>
      <w:sz w:val="24"/>
      <w:szCs w:val="24"/>
      <w:lang w:eastAsia="es-ES"/>
    </w:rPr>
  </w:style>
  <w:style w:type="paragraph" w:styleId="Sangradetextonormal">
    <w:name w:val="Body Text Indent"/>
    <w:basedOn w:val="Normal"/>
    <w:link w:val="SangradetextonormalCar"/>
    <w:semiHidden/>
    <w:rsid w:val="00EF7108"/>
    <w:pPr>
      <w:spacing w:line="360" w:lineRule="auto"/>
      <w:ind w:firstLine="708"/>
      <w:jc w:val="both"/>
    </w:pPr>
  </w:style>
  <w:style w:type="character" w:customStyle="1" w:styleId="SangradetextonormalCar">
    <w:name w:val="Sangría de texto normal Car"/>
    <w:basedOn w:val="Fuentedeprrafopredeter"/>
    <w:link w:val="Sangradetextonormal"/>
    <w:semiHidden/>
    <w:rsid w:val="00EF7108"/>
    <w:rPr>
      <w:rFonts w:ascii="Arial" w:eastAsia="Times New Roman" w:hAnsi="Arial" w:cs="Times New Roman"/>
      <w:sz w:val="24"/>
      <w:szCs w:val="24"/>
      <w:lang w:eastAsia="es-ES"/>
    </w:rPr>
  </w:style>
  <w:style w:type="paragraph" w:styleId="Textoindependiente">
    <w:name w:val="Body Text"/>
    <w:basedOn w:val="Normal"/>
    <w:link w:val="TextoindependienteCar"/>
    <w:semiHidden/>
    <w:rsid w:val="00EF7108"/>
    <w:pPr>
      <w:spacing w:line="360" w:lineRule="auto"/>
      <w:jc w:val="both"/>
    </w:pPr>
    <w:rPr>
      <w:bCs/>
    </w:rPr>
  </w:style>
  <w:style w:type="character" w:customStyle="1" w:styleId="TextoindependienteCar">
    <w:name w:val="Texto independiente Car"/>
    <w:basedOn w:val="Fuentedeprrafopredeter"/>
    <w:link w:val="Textoindependiente"/>
    <w:semiHidden/>
    <w:rsid w:val="00EF7108"/>
    <w:rPr>
      <w:rFonts w:ascii="Arial" w:eastAsia="Times New Roman" w:hAnsi="Arial" w:cs="Times New Roman"/>
      <w:bCs/>
      <w:sz w:val="24"/>
      <w:szCs w:val="24"/>
      <w:lang w:eastAsia="es-ES"/>
    </w:rPr>
  </w:style>
  <w:style w:type="paragraph" w:styleId="Piedepgina">
    <w:name w:val="footer"/>
    <w:basedOn w:val="Normal"/>
    <w:link w:val="PiedepginaCar"/>
    <w:semiHidden/>
    <w:rsid w:val="00EF7108"/>
    <w:pPr>
      <w:tabs>
        <w:tab w:val="center" w:pos="4419"/>
        <w:tab w:val="right" w:pos="8838"/>
      </w:tabs>
    </w:pPr>
  </w:style>
  <w:style w:type="character" w:customStyle="1" w:styleId="PiedepginaCar">
    <w:name w:val="Pie de página Car"/>
    <w:basedOn w:val="Fuentedeprrafopredeter"/>
    <w:link w:val="Piedepgina"/>
    <w:semiHidden/>
    <w:rsid w:val="00EF7108"/>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MUCCINELLI</dc:creator>
  <cp:keywords/>
  <dc:description/>
  <cp:lastModifiedBy>Miriam Cristina Rivero</cp:lastModifiedBy>
  <cp:revision>2</cp:revision>
  <cp:lastPrinted>2013-08-22T16:19:00Z</cp:lastPrinted>
  <dcterms:created xsi:type="dcterms:W3CDTF">2013-08-22T16:19:00Z</dcterms:created>
  <dcterms:modified xsi:type="dcterms:W3CDTF">2013-08-22T16:19:00Z</dcterms:modified>
</cp:coreProperties>
</file>