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A6" w:rsidRDefault="004008A6">
      <w:pPr>
        <w:tabs>
          <w:tab w:val="center" w:pos="4253"/>
        </w:tabs>
        <w:suppressAutoHyphens/>
        <w:jc w:val="center"/>
        <w:rPr>
          <w:rFonts w:ascii="Helvetica" w:hAnsi="Helvetica"/>
          <w:b/>
        </w:rPr>
      </w:pPr>
      <w:bookmarkStart w:id="0" w:name="_GoBack"/>
      <w:bookmarkEnd w:id="0"/>
      <w:r>
        <w:rPr>
          <w:rFonts w:ascii="Helvetica" w:hAnsi="Helvetica"/>
          <w:b/>
        </w:rPr>
        <w:t>RESOLUCION ADOPTADA POR EL</w:t>
      </w:r>
    </w:p>
    <w:p w:rsidR="004008A6" w:rsidRDefault="004008A6">
      <w:pPr>
        <w:tabs>
          <w:tab w:val="left" w:pos="-720"/>
        </w:tabs>
        <w:suppressAutoHyphens/>
        <w:jc w:val="center"/>
        <w:rPr>
          <w:rFonts w:ascii="Helvetica" w:hAnsi="Helvetica"/>
          <w:b/>
        </w:rPr>
      </w:pPr>
    </w:p>
    <w:p w:rsidR="004008A6" w:rsidRDefault="004008A6">
      <w:pPr>
        <w:tabs>
          <w:tab w:val="center" w:pos="4253"/>
        </w:tabs>
        <w:suppressAutoHyphens/>
        <w:jc w:val="center"/>
        <w:rPr>
          <w:rFonts w:ascii="Helvetica" w:hAnsi="Helvetica"/>
          <w:b/>
        </w:rPr>
      </w:pPr>
      <w:r>
        <w:rPr>
          <w:rFonts w:ascii="Helvetica" w:hAnsi="Helvetica"/>
          <w:b/>
        </w:rPr>
        <w:t>TRIBUNAL DE CUENTAS</w:t>
      </w:r>
    </w:p>
    <w:p w:rsidR="004008A6" w:rsidRDefault="004008A6">
      <w:pPr>
        <w:tabs>
          <w:tab w:val="left" w:pos="-720"/>
        </w:tabs>
        <w:suppressAutoHyphens/>
        <w:jc w:val="center"/>
        <w:rPr>
          <w:rFonts w:ascii="Helvetica" w:hAnsi="Helvetica"/>
          <w:b/>
        </w:rPr>
      </w:pPr>
    </w:p>
    <w:p w:rsidR="004008A6" w:rsidRDefault="004008A6">
      <w:pPr>
        <w:tabs>
          <w:tab w:val="center" w:pos="4253"/>
        </w:tabs>
        <w:suppressAutoHyphens/>
        <w:jc w:val="center"/>
        <w:rPr>
          <w:rFonts w:ascii="Helvetica" w:hAnsi="Helvetica"/>
          <w:b/>
        </w:rPr>
      </w:pPr>
      <w:r>
        <w:rPr>
          <w:rFonts w:ascii="Helvetica" w:hAnsi="Helvetica"/>
          <w:b/>
        </w:rPr>
        <w:t>EN SESION DE FECHA 24 DE JULIO DE 2013</w:t>
      </w:r>
    </w:p>
    <w:p w:rsidR="004008A6" w:rsidRDefault="004008A6">
      <w:pPr>
        <w:tabs>
          <w:tab w:val="center" w:pos="4253"/>
        </w:tabs>
        <w:suppressAutoHyphens/>
        <w:jc w:val="center"/>
        <w:rPr>
          <w:rFonts w:ascii="Helvetica" w:hAnsi="Helvetica"/>
          <w:b/>
        </w:rPr>
      </w:pPr>
    </w:p>
    <w:p w:rsidR="004008A6" w:rsidRDefault="004008A6">
      <w:pPr>
        <w:tabs>
          <w:tab w:val="center" w:pos="4253"/>
        </w:tabs>
        <w:suppressAutoHyphens/>
        <w:jc w:val="center"/>
        <w:rPr>
          <w:rFonts w:ascii="Helvetica" w:hAnsi="Helvetica"/>
          <w:b/>
        </w:rPr>
      </w:pPr>
      <w:r>
        <w:rPr>
          <w:rFonts w:ascii="Helvetica" w:hAnsi="Helvetica"/>
          <w:b/>
        </w:rPr>
        <w:t xml:space="preserve">(E. E. Nº 2013-17-1-0001843 </w:t>
      </w:r>
      <w:proofErr w:type="spellStart"/>
      <w:r>
        <w:rPr>
          <w:rFonts w:ascii="Helvetica" w:hAnsi="Helvetica"/>
          <w:b/>
        </w:rPr>
        <w:t>Ent</w:t>
      </w:r>
      <w:proofErr w:type="spellEnd"/>
      <w:r>
        <w:rPr>
          <w:rFonts w:ascii="Helvetica" w:hAnsi="Helvetica"/>
          <w:b/>
        </w:rPr>
        <w:t>. Nº 1627/13)</w:t>
      </w:r>
    </w:p>
    <w:p w:rsidR="00AC1BC8" w:rsidRDefault="00AC1BC8">
      <w:pPr>
        <w:rPr>
          <w:rFonts w:ascii="Bookman Old Style" w:hAnsi="Bookman Old Style"/>
        </w:rPr>
      </w:pPr>
    </w:p>
    <w:p w:rsidR="004008A6" w:rsidRDefault="004008A6">
      <w:pPr>
        <w:rPr>
          <w:rFonts w:ascii="Bookman Old Style" w:hAnsi="Bookman Old Style"/>
        </w:rPr>
      </w:pPr>
    </w:p>
    <w:p w:rsidR="003E1AB0" w:rsidRDefault="00C2125B" w:rsidP="0079565F">
      <w:pPr>
        <w:spacing w:line="360" w:lineRule="auto"/>
        <w:ind w:firstLine="851"/>
      </w:pPr>
      <w:r>
        <w:rPr>
          <w:b/>
        </w:rPr>
        <w:t>“</w:t>
      </w:r>
      <w:r w:rsidR="003E1AB0">
        <w:rPr>
          <w:b/>
        </w:rPr>
        <w:t>VISTO</w:t>
      </w:r>
      <w:r w:rsidR="003E1AB0" w:rsidRPr="003E1AB0">
        <w:rPr>
          <w:b/>
        </w:rPr>
        <w:t>:</w:t>
      </w:r>
      <w:r w:rsidR="003E1AB0">
        <w:t xml:space="preserve"> que este Tribunal ha examinado el Estado de Situación Patrimonial al 31 de diciembre de 2012 y los correspondientes Estado de Aumentos y Disminuciones, Estado de Usos y Fuentes de Fondos y Estado de Ejecución Presupuestal por el ejercicio finalizado en esa fecha, con sus Notas y anexos que los acompañan, formulados por la Caja Notarial de Seguridad Social;</w:t>
      </w:r>
    </w:p>
    <w:p w:rsidR="003E1AB0" w:rsidRDefault="003E1AB0" w:rsidP="0079565F">
      <w:pPr>
        <w:spacing w:line="360" w:lineRule="auto"/>
        <w:ind w:firstLine="851"/>
      </w:pPr>
      <w:r>
        <w:rPr>
          <w:b/>
        </w:rPr>
        <w:t>RESULTANDO</w:t>
      </w:r>
      <w:r w:rsidRPr="00C2125B">
        <w:rPr>
          <w:b/>
        </w:rPr>
        <w:t>:</w:t>
      </w:r>
      <w:r>
        <w:t xml:space="preserve"> que el examen practicado fue realizado de acuerdo con los Principios Fundamentales de Auditoría (ISSAI 100, 200, 300 y 400) y las Directrices de Auditoría Financiera (ISSAI 1000 a 2999) de la Organización Internacional de Entidades Fiscalizadoras Superiores (INTOSAI);</w:t>
      </w:r>
    </w:p>
    <w:p w:rsidR="003E1AB0" w:rsidRDefault="003E1AB0" w:rsidP="0079565F">
      <w:pPr>
        <w:spacing w:line="360" w:lineRule="auto"/>
        <w:ind w:firstLine="851"/>
      </w:pPr>
      <w:r>
        <w:rPr>
          <w:b/>
        </w:rPr>
        <w:t>CONSIDERANDO</w:t>
      </w:r>
      <w:r w:rsidRPr="00C2125B">
        <w:rPr>
          <w:b/>
        </w:rPr>
        <w:t>:</w:t>
      </w:r>
      <w:r>
        <w:t xml:space="preserve"> que las conclusiones y evidencias obtenidas son las que se expresan en el Informe de Auditoría, que incluye Dictamen e Informe a la Administración;</w:t>
      </w:r>
    </w:p>
    <w:p w:rsidR="003E1AB0" w:rsidRDefault="003E1AB0" w:rsidP="0079565F">
      <w:pPr>
        <w:spacing w:line="360" w:lineRule="auto"/>
        <w:ind w:firstLine="851"/>
      </w:pPr>
      <w:r>
        <w:rPr>
          <w:b/>
        </w:rPr>
        <w:t>ATENTO</w:t>
      </w:r>
      <w:r w:rsidRPr="003E1AB0">
        <w:rPr>
          <w:b/>
        </w:rPr>
        <w:t>:</w:t>
      </w:r>
      <w:r>
        <w:t xml:space="preserve"> a lo establecido en los Artículos 159 y 177 del TOCAF;</w:t>
      </w:r>
    </w:p>
    <w:p w:rsidR="003E1AB0" w:rsidRDefault="003E1AB0" w:rsidP="003E1AB0">
      <w:pPr>
        <w:pStyle w:val="Ttulo1"/>
        <w:numPr>
          <w:ilvl w:val="0"/>
          <w:numId w:val="0"/>
        </w:numPr>
        <w:tabs>
          <w:tab w:val="clear" w:pos="432"/>
        </w:tabs>
        <w:spacing w:line="360" w:lineRule="auto"/>
      </w:pPr>
      <w:r>
        <w:t>EL TRIBUNAL ACUERDA</w:t>
      </w:r>
    </w:p>
    <w:p w:rsidR="003E1AB0" w:rsidRDefault="003E1AB0" w:rsidP="003E1AB0">
      <w:pPr>
        <w:numPr>
          <w:ilvl w:val="0"/>
          <w:numId w:val="2"/>
        </w:numPr>
        <w:tabs>
          <w:tab w:val="left" w:pos="870"/>
        </w:tabs>
        <w:spacing w:line="360" w:lineRule="auto"/>
        <w:ind w:left="284" w:hanging="284"/>
      </w:pPr>
      <w:r>
        <w:t>Expedirse en los términos del Informe de Auditoría que se adjunta;</w:t>
      </w:r>
    </w:p>
    <w:p w:rsidR="003E1AB0" w:rsidRDefault="003E1AB0" w:rsidP="003E1AB0">
      <w:pPr>
        <w:numPr>
          <w:ilvl w:val="0"/>
          <w:numId w:val="2"/>
        </w:numPr>
        <w:tabs>
          <w:tab w:val="left" w:pos="870"/>
        </w:tabs>
        <w:spacing w:line="360" w:lineRule="auto"/>
        <w:ind w:left="284" w:hanging="284"/>
      </w:pPr>
      <w:r>
        <w:t>Comunicar esta Resolución a la Caja Notarial de Seguridad Social; y</w:t>
      </w:r>
    </w:p>
    <w:p w:rsidR="003E1AB0" w:rsidRDefault="003E1AB0" w:rsidP="003E1AB0">
      <w:pPr>
        <w:numPr>
          <w:ilvl w:val="0"/>
          <w:numId w:val="2"/>
        </w:numPr>
        <w:tabs>
          <w:tab w:val="left" w:pos="870"/>
        </w:tabs>
        <w:spacing w:line="360" w:lineRule="auto"/>
        <w:ind w:left="284" w:hanging="284"/>
      </w:pPr>
      <w:r>
        <w:t>Dar cuenta a la Asamblea General</w:t>
      </w:r>
      <w:r w:rsidR="000B737A">
        <w:t>.</w:t>
      </w:r>
      <w:r w:rsidR="00C2125B">
        <w:t>”</w:t>
      </w:r>
    </w:p>
    <w:p w:rsidR="00C2125B" w:rsidRDefault="00C2125B" w:rsidP="003E1AB0">
      <w:pPr>
        <w:tabs>
          <w:tab w:val="left" w:pos="870"/>
        </w:tabs>
        <w:spacing w:line="360" w:lineRule="auto"/>
      </w:pPr>
    </w:p>
    <w:p w:rsidR="00C2125B" w:rsidRDefault="00C2125B" w:rsidP="003E1AB0">
      <w:pPr>
        <w:tabs>
          <w:tab w:val="left" w:pos="870"/>
        </w:tabs>
        <w:spacing w:line="360" w:lineRule="auto"/>
      </w:pPr>
    </w:p>
    <w:p w:rsidR="00C2125B" w:rsidRDefault="00C2125B" w:rsidP="003E1AB0">
      <w:pPr>
        <w:tabs>
          <w:tab w:val="left" w:pos="870"/>
        </w:tabs>
        <w:spacing w:line="360" w:lineRule="auto"/>
      </w:pPr>
    </w:p>
    <w:p w:rsidR="00C2125B" w:rsidRDefault="00C2125B" w:rsidP="003E1AB0">
      <w:pPr>
        <w:tabs>
          <w:tab w:val="left" w:pos="870"/>
        </w:tabs>
        <w:spacing w:line="360" w:lineRule="auto"/>
      </w:pPr>
    </w:p>
    <w:p w:rsidR="00C2125B" w:rsidRDefault="00C2125B" w:rsidP="003E1AB0">
      <w:pPr>
        <w:tabs>
          <w:tab w:val="left" w:pos="870"/>
        </w:tabs>
        <w:spacing w:line="360" w:lineRule="auto"/>
      </w:pPr>
    </w:p>
    <w:p w:rsidR="00C2125B" w:rsidRDefault="00C2125B" w:rsidP="003E1AB0">
      <w:pPr>
        <w:tabs>
          <w:tab w:val="left" w:pos="870"/>
        </w:tabs>
        <w:spacing w:line="360" w:lineRule="auto"/>
      </w:pPr>
    </w:p>
    <w:p w:rsidR="00C2125B" w:rsidRDefault="00C2125B" w:rsidP="00C2125B">
      <w:pPr>
        <w:jc w:val="center"/>
        <w:rPr>
          <w:b/>
          <w:bCs/>
        </w:rPr>
      </w:pPr>
      <w:r>
        <w:rPr>
          <w:b/>
          <w:bCs/>
        </w:rPr>
        <w:lastRenderedPageBreak/>
        <w:t>DICTAMEN</w:t>
      </w:r>
    </w:p>
    <w:p w:rsidR="00C2125B" w:rsidRDefault="00C2125B" w:rsidP="00C2125B"/>
    <w:p w:rsidR="00C2125B" w:rsidRDefault="00C2125B" w:rsidP="00C2125B">
      <w:pPr>
        <w:spacing w:line="360" w:lineRule="auto"/>
      </w:pPr>
      <w:r>
        <w:tab/>
        <w:t>El Tribunal de Cuentas ha examinado los estados financieros de la Caja  Notarial de Seguridad Social que comprenden el Estado de Situación Patrimonial al 31 de diciembre de 2012, el Estado de Aumentos y Disminuciones  y el Estado de Usos y Fuentes de Fondos por el período comprendido entre el 1° de enero y el 31 de diciembre de 2012, los Anexos y las notas que los acompañan y el Estado de Ejecución Presupuestal.</w:t>
      </w:r>
    </w:p>
    <w:p w:rsidR="00C2125B" w:rsidRDefault="00C2125B" w:rsidP="00C2125B">
      <w:pPr>
        <w:spacing w:line="360" w:lineRule="auto"/>
        <w:ind w:firstLine="708"/>
        <w:rPr>
          <w:bCs/>
        </w:rPr>
      </w:pPr>
      <w:r>
        <w:rPr>
          <w:bCs/>
        </w:rPr>
        <w:t xml:space="preserve">El Tribunal de Cuentas también ha examinado el cumplimiento por parte </w:t>
      </w:r>
      <w:r>
        <w:t>de la Caja  Notarial de Seguridad Social</w:t>
      </w:r>
      <w:r>
        <w:rPr>
          <w:bCs/>
        </w:rPr>
        <w:t xml:space="preserve"> de las disposiciones legales vigentes relacionadas con los estados financieros objeto de examen.</w:t>
      </w:r>
    </w:p>
    <w:p w:rsidR="00C2125B" w:rsidRDefault="00C2125B" w:rsidP="00C2125B">
      <w:pPr>
        <w:pStyle w:val="Textoindependiente2"/>
        <w:spacing w:line="360" w:lineRule="auto"/>
        <w:rPr>
          <w:bCs w:val="0"/>
        </w:rPr>
      </w:pPr>
      <w:r>
        <w:rPr>
          <w:bCs w:val="0"/>
        </w:rPr>
        <w:t>Responsabilidad de la Dirección por los estados financieros</w:t>
      </w:r>
    </w:p>
    <w:p w:rsidR="00C2125B" w:rsidRDefault="00C2125B" w:rsidP="00C2125B">
      <w:pPr>
        <w:spacing w:line="360" w:lineRule="auto"/>
      </w:pPr>
      <w:r>
        <w:t xml:space="preserve">             La </w:t>
      </w:r>
      <w:r>
        <w:rPr>
          <w:bCs/>
        </w:rPr>
        <w:t>Caja Notarial de Seguridad Social</w:t>
      </w:r>
      <w:r>
        <w:rPr>
          <w:iCs/>
        </w:rPr>
        <w:t xml:space="preserve"> </w:t>
      </w:r>
      <w:r>
        <w:t>es responsable por la preparación y la razonable presentación de estos estados financieros de acuerdo con los criterios establecidos en</w:t>
      </w:r>
      <w:r>
        <w:rPr>
          <w:i/>
        </w:rPr>
        <w:t xml:space="preserve"> </w:t>
      </w:r>
      <w:r>
        <w:rPr>
          <w:iCs/>
        </w:rPr>
        <w:t>las Ordenanzas 81 y 82 y normas legales vigentes</w:t>
      </w:r>
      <w:r>
        <w:rPr>
          <w:i/>
        </w:rPr>
        <w:t xml:space="preserve">. </w:t>
      </w:r>
      <w: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2125B" w:rsidRDefault="00C2125B" w:rsidP="00C2125B">
      <w:pPr>
        <w:spacing w:line="360" w:lineRule="auto"/>
        <w:rPr>
          <w:b/>
        </w:rPr>
      </w:pPr>
      <w:r>
        <w:rPr>
          <w:b/>
        </w:rPr>
        <w:t>Responsabilidad del auditor</w:t>
      </w:r>
    </w:p>
    <w:p w:rsidR="00C2125B" w:rsidRDefault="00C2125B" w:rsidP="00C2125B">
      <w:pPr>
        <w:spacing w:line="360" w:lineRule="auto"/>
      </w:pPr>
      <w:r>
        <w:t xml:space="preserve">               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  </w:t>
      </w:r>
    </w:p>
    <w:p w:rsidR="00C2125B" w:rsidRDefault="00C2125B" w:rsidP="00C2125B">
      <w:pPr>
        <w:spacing w:line="360" w:lineRule="auto"/>
      </w:pPr>
      <w:r>
        <w:lastRenderedPageBreak/>
        <w:t xml:space="preserve">            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C2125B" w:rsidRDefault="00C2125B" w:rsidP="00C2125B">
      <w:pPr>
        <w:spacing w:line="360" w:lineRule="auto"/>
      </w:pPr>
      <w:r>
        <w:t xml:space="preserve">              Se considera que la evidencia de auditoría obtenida brinda una base suficiente y apropiada para sustentar la opinión.</w:t>
      </w:r>
    </w:p>
    <w:p w:rsidR="00C2125B" w:rsidRDefault="00C2125B" w:rsidP="00C2125B">
      <w:pPr>
        <w:spacing w:line="360" w:lineRule="auto"/>
        <w:rPr>
          <w:b/>
        </w:rPr>
      </w:pPr>
    </w:p>
    <w:p w:rsidR="00C2125B" w:rsidRDefault="00C2125B" w:rsidP="00C2125B">
      <w:pPr>
        <w:spacing w:line="360" w:lineRule="auto"/>
        <w:rPr>
          <w:b/>
        </w:rPr>
      </w:pPr>
      <w:r>
        <w:rPr>
          <w:b/>
        </w:rPr>
        <w:t>Opinión</w:t>
      </w:r>
    </w:p>
    <w:p w:rsidR="00C2125B" w:rsidRDefault="00C2125B" w:rsidP="00C2125B">
      <w:pPr>
        <w:pStyle w:val="Textoindependiente21"/>
        <w:spacing w:line="360" w:lineRule="auto"/>
        <w:ind w:firstLine="0"/>
      </w:pPr>
      <w:r>
        <w:t xml:space="preserve">              En opinión del Tribunal de Cuentas, los estados financieros referidos precedentemente presentan razonablemente, en todos sus aspectos importantes, la situación patrimonial de la </w:t>
      </w:r>
      <w:r>
        <w:rPr>
          <w:iCs/>
        </w:rPr>
        <w:t xml:space="preserve">Caja Notarial de Seguridad Social </w:t>
      </w:r>
      <w:r>
        <w:rPr>
          <w:i/>
        </w:rPr>
        <w:t xml:space="preserve"> </w:t>
      </w:r>
      <w:r>
        <w:t>al 31 de diciembre de 2012, los resultados de sus operaciones y, los flujos de efectivo y la ejecución presupuestal correspondientes al ejercicio anual terminado en esa fecha, de acuerdo con las Ordenanzas 81 y 82 del Tribunal de Cuentas y la normativa vigente en materia de ejecución presupuestal.</w:t>
      </w:r>
    </w:p>
    <w:p w:rsidR="00C2125B" w:rsidRDefault="00C2125B" w:rsidP="00C2125B">
      <w:pPr>
        <w:pStyle w:val="Textoindependiente21"/>
        <w:spacing w:line="360" w:lineRule="auto"/>
        <w:ind w:firstLine="0"/>
      </w:pPr>
      <w:r>
        <w:t xml:space="preserve">              Con relación a las disposiciones legales y reglamentarias vigentes relacionadas con los estados financieros que fueron objeto de examen en el transcurso de la auditoría, se expresa que no se han constatado incumplimientos.</w:t>
      </w:r>
    </w:p>
    <w:p w:rsidR="00C2125B" w:rsidRDefault="00C2125B" w:rsidP="00C2125B">
      <w:pPr>
        <w:spacing w:line="360" w:lineRule="auto"/>
        <w:jc w:val="right"/>
        <w:rPr>
          <w:i/>
        </w:rPr>
      </w:pPr>
      <w:r>
        <w:t>Montevideo, 26 de junio de 2013.</w:t>
      </w:r>
    </w:p>
    <w:p w:rsidR="00C2125B" w:rsidRDefault="00C2125B" w:rsidP="00C2125B"/>
    <w:p w:rsidR="00C2125B" w:rsidRDefault="00C2125B" w:rsidP="00C2125B">
      <w:pPr>
        <w:spacing w:line="360" w:lineRule="auto"/>
        <w:jc w:val="center"/>
        <w:rPr>
          <w:b/>
        </w:rPr>
      </w:pPr>
      <w:r>
        <w:rPr>
          <w:b/>
        </w:rPr>
        <w:lastRenderedPageBreak/>
        <w:t>INFORME A LA ADMINISTRACION</w:t>
      </w:r>
    </w:p>
    <w:p w:rsidR="000C1D51" w:rsidRDefault="000C1D51" w:rsidP="00C2125B">
      <w:pPr>
        <w:spacing w:line="360" w:lineRule="auto"/>
        <w:jc w:val="center"/>
      </w:pPr>
    </w:p>
    <w:p w:rsidR="00C2125B" w:rsidRDefault="00C2125B" w:rsidP="00C2125B">
      <w:pPr>
        <w:spacing w:line="360" w:lineRule="auto"/>
      </w:pPr>
      <w:r>
        <w:tab/>
        <w:t>El Tribunal de Cuentas ha examinado los estados financieros de la Caja Notarial de Seguridad Social correspondientes al ejercicio finalizado el 31 de diciembre de 2012 y ha emitido su correspondiente Dictamen.</w:t>
      </w:r>
    </w:p>
    <w:p w:rsidR="00C2125B" w:rsidRDefault="00C2125B" w:rsidP="00C2125B">
      <w:pPr>
        <w:spacing w:line="360" w:lineRule="auto"/>
      </w:pPr>
      <w:r>
        <w:tab/>
      </w:r>
      <w:r>
        <w:tab/>
      </w:r>
      <w:r>
        <w:tab/>
      </w:r>
    </w:p>
    <w:p w:rsidR="00C2125B" w:rsidRDefault="00C2125B" w:rsidP="00C2125B">
      <w:pPr>
        <w:spacing w:line="360" w:lineRule="auto"/>
        <w:rPr>
          <w:b/>
        </w:rPr>
      </w:pPr>
      <w:r>
        <w:rPr>
          <w:b/>
        </w:rPr>
        <w:t>2.1) Presentación de los Estados Contables</w:t>
      </w:r>
    </w:p>
    <w:p w:rsidR="00C2125B" w:rsidRDefault="00C2125B" w:rsidP="00C2125B">
      <w:pPr>
        <w:spacing w:line="360" w:lineRule="auto"/>
      </w:pPr>
      <w:r>
        <w:t xml:space="preserve">           Los estados financieros de la Caja Notarial de Seguridad Social,  y el Balance de Ejecución Presupuestal del ejercicio finalizado el 31 de diciembre de 2012, fueron aprobados por Resolución del Directorio de fecha 19 de marzo de 2013 según Acta Nº 2978.</w:t>
      </w:r>
    </w:p>
    <w:p w:rsidR="00C2125B" w:rsidRDefault="00C2125B" w:rsidP="00C2125B">
      <w:pPr>
        <w:spacing w:line="360" w:lineRule="auto"/>
      </w:pPr>
      <w:r>
        <w:t xml:space="preserve">           La C.N.S.S presenta como estados financieros por el ejercicio finalizado el 31 de diciembre de 2012, el Estado de Situación Patrimonial, el Estado de Aumentos y Disminuciones, el Estado de Usos y Fuentes de Fondos, el Estado de Evolución Patrimonial y el cuadro de Revaluación y Amortización de Bienes de Uso, Intangibles e Inversiones en Inmuebles </w:t>
      </w:r>
      <w:proofErr w:type="spellStart"/>
      <w:r>
        <w:t>reexpresados</w:t>
      </w:r>
      <w:proofErr w:type="spellEnd"/>
      <w:r>
        <w:t xml:space="preserve"> en moneda de cierre, acompañados de Notas a los estados financieros y el Estado de Ejecución Presupuestal. Asimismo, la Caja Notarial de Seguridad Social presentó el Presupuesto 2012 con fecha 29</w:t>
      </w:r>
      <w:r>
        <w:rPr>
          <w:b/>
          <w:bCs/>
        </w:rPr>
        <w:t xml:space="preserve"> </w:t>
      </w:r>
      <w:r>
        <w:t>de diciembre de 2011, en cumplimiento de lo establecido en el Artículo 159 Literal c) del TOCAF.</w:t>
      </w:r>
    </w:p>
    <w:p w:rsidR="00C2125B" w:rsidRDefault="00C2125B" w:rsidP="00C2125B">
      <w:pPr>
        <w:spacing w:line="360" w:lineRule="auto"/>
        <w:ind w:firstLine="510"/>
      </w:pPr>
      <w:r>
        <w:t xml:space="preserve">   El Numeral 20) de la Ordenanza 81 establece que las Cajas Paraestatales de Seguridad Social deberán incluir en las notas que acompañan a los estados contables, un estudio de la situación actuarial y financiera de la Institución así como las bases de su elaboración, el que no deberá tener una antigüedad mayor a cinco años. Por su parte, la Ordenanza 82 establece una serie de requisitos de información actuarial aplicables a las Cajas Paraestatales de Seguridad Social y al Banco de Previsión Social. La Nota 11 a los Estados Contables presenta la mencionada información, habiendo sido realizada la proyección respectiva en abril del 2011. La información que se presenta en el </w:t>
      </w:r>
      <w:r>
        <w:lastRenderedPageBreak/>
        <w:t>presente ejercicio, corresponde a la actualización efectuada en el año 2012, de la mencionada proyección.</w:t>
      </w:r>
    </w:p>
    <w:p w:rsidR="00C2125B" w:rsidRDefault="00C2125B" w:rsidP="00C2125B">
      <w:pPr>
        <w:spacing w:line="360" w:lineRule="auto"/>
      </w:pPr>
      <w:r>
        <w:t xml:space="preserve">       </w:t>
      </w:r>
    </w:p>
    <w:p w:rsidR="00C2125B" w:rsidRDefault="00C2125B" w:rsidP="00C2125B">
      <w:pPr>
        <w:spacing w:line="360" w:lineRule="auto"/>
        <w:rPr>
          <w:b/>
        </w:rPr>
      </w:pPr>
      <w:r>
        <w:rPr>
          <w:b/>
        </w:rPr>
        <w:t>Criterio para el recon</w:t>
      </w:r>
      <w:r w:rsidR="00EB2CBA">
        <w:rPr>
          <w:b/>
        </w:rPr>
        <w:t>ocimiento de ingresos y egresos</w:t>
      </w:r>
    </w:p>
    <w:p w:rsidR="00C2125B" w:rsidRDefault="00C2125B" w:rsidP="00EB2CBA">
      <w:pPr>
        <w:spacing w:line="360" w:lineRule="auto"/>
        <w:ind w:firstLine="709"/>
      </w:pPr>
      <w:r>
        <w:t>La Caja Notarial reconoce como ingresos del ejercicio la totalidad de los aportes patronales y personales efectuados por el colectivo amparado y como egresos el resultado de las liquidaciones de pasividades efectuadas con cargo al ejercicio, criterio éste aceptado por la Ordenanza 82 del Tribunal de Cuentas.</w:t>
      </w:r>
    </w:p>
    <w:p w:rsidR="00C2125B" w:rsidRDefault="00C2125B" w:rsidP="00C2125B">
      <w:pPr>
        <w:spacing w:line="360" w:lineRule="auto"/>
      </w:pPr>
    </w:p>
    <w:p w:rsidR="00C2125B" w:rsidRDefault="00C2125B" w:rsidP="00C2125B">
      <w:pPr>
        <w:spacing w:line="360" w:lineRule="auto"/>
        <w:rPr>
          <w:b/>
        </w:rPr>
      </w:pPr>
      <w:r>
        <w:rPr>
          <w:b/>
        </w:rPr>
        <w:t>2.2)   Evaluación</w:t>
      </w:r>
      <w:r w:rsidR="00EB2CBA">
        <w:rPr>
          <w:b/>
        </w:rPr>
        <w:t xml:space="preserve"> del Sistema de Control Interno</w:t>
      </w:r>
    </w:p>
    <w:p w:rsidR="00C2125B" w:rsidRDefault="00C2125B" w:rsidP="00EB2CBA">
      <w:pPr>
        <w:pStyle w:val="Textoindependiente21"/>
        <w:spacing w:line="360" w:lineRule="auto"/>
        <w:ind w:firstLine="709"/>
      </w:pPr>
      <w:r>
        <w:t xml:space="preserve">Se ha evaluado el sistema de control interno diseñado e implementado por la Caja Notarial de Seguridad Social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 </w:t>
      </w:r>
    </w:p>
    <w:p w:rsidR="00C2125B" w:rsidRDefault="00C2125B" w:rsidP="00EB2CBA">
      <w:pPr>
        <w:pStyle w:val="Textoindependiente21"/>
        <w:spacing w:line="360" w:lineRule="auto"/>
        <w:ind w:firstLine="709"/>
      </w:pPr>
      <w:r>
        <w:t xml:space="preserve">Dicha evaluación permitió concluir, que el sistema de control interno </w:t>
      </w:r>
      <w:proofErr w:type="gramStart"/>
      <w:r>
        <w:t>instrumentado</w:t>
      </w:r>
      <w:proofErr w:type="gramEnd"/>
      <w:r>
        <w:t xml:space="preserve"> por la Institución es adecuado. </w:t>
      </w:r>
    </w:p>
    <w:p w:rsidR="00C2125B" w:rsidRDefault="00C2125B" w:rsidP="00C2125B">
      <w:pPr>
        <w:spacing w:line="360" w:lineRule="auto"/>
        <w:jc w:val="right"/>
        <w:rPr>
          <w:sz w:val="20"/>
        </w:rPr>
      </w:pPr>
      <w:r>
        <w:t>Montevideo, 26 de junio de 2013.</w:t>
      </w:r>
    </w:p>
    <w:p w:rsidR="00C2125B" w:rsidRDefault="000C1D51" w:rsidP="000C1D51">
      <w:proofErr w:type="spellStart"/>
      <w:proofErr w:type="gramStart"/>
      <w:r>
        <w:t>aa</w:t>
      </w:r>
      <w:proofErr w:type="spellEnd"/>
      <w:proofErr w:type="gramEnd"/>
    </w:p>
    <w:sectPr w:rsidR="00C2125B" w:rsidSect="004008A6">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37824E0"/>
    <w:lvl w:ilvl="0">
      <w:start w:val="1"/>
      <w:numFmt w:val="decimal"/>
      <w:pStyle w:val="Ttulo1"/>
      <w:lvlText w:val="%1"/>
      <w:legacy w:legacy="1" w:legacySpace="120" w:legacyIndent="432"/>
      <w:lvlJc w:val="left"/>
      <w:pPr>
        <w:ind w:left="432" w:hanging="432"/>
      </w:pPr>
    </w:lvl>
    <w:lvl w:ilvl="1">
      <w:start w:val="1"/>
      <w:numFmt w:val="decimal"/>
      <w:pStyle w:val="Ttulo2"/>
      <w:lvlText w:val="%1.%2"/>
      <w:legacy w:legacy="1" w:legacySpace="120" w:legacyIndent="576"/>
      <w:lvlJc w:val="left"/>
      <w:pPr>
        <w:ind w:left="576" w:hanging="576"/>
      </w:pPr>
    </w:lvl>
    <w:lvl w:ilvl="2">
      <w:start w:val="1"/>
      <w:numFmt w:val="none"/>
      <w:pStyle w:val="Ttulo3"/>
      <w:lvlText w:val="2.4.1"/>
      <w:legacy w:legacy="1" w:legacySpace="120" w:legacyIndent="720"/>
      <w:lvlJc w:val="left"/>
      <w:pPr>
        <w:ind w:left="720" w:hanging="720"/>
      </w:pPr>
    </w:lvl>
    <w:lvl w:ilvl="3">
      <w:start w:val="1"/>
      <w:numFmt w:val="decimal"/>
      <w:pStyle w:val="Ttulo4"/>
      <w:lvlText w:val=".%4"/>
      <w:legacy w:legacy="1" w:legacySpace="120" w:legacyIndent="864"/>
      <w:lvlJc w:val="left"/>
      <w:pPr>
        <w:ind w:left="864" w:hanging="864"/>
      </w:pPr>
    </w:lvl>
    <w:lvl w:ilvl="4">
      <w:start w:val="1"/>
      <w:numFmt w:val="none"/>
      <w:pStyle w:val="Ttulo5"/>
      <w:lvlText w:val="2.4.2"/>
      <w:legacy w:legacy="1" w:legacySpace="120" w:legacyIndent="1008"/>
      <w:lvlJc w:val="left"/>
      <w:pPr>
        <w:ind w:left="1008" w:hanging="1008"/>
      </w:pPr>
    </w:lvl>
    <w:lvl w:ilvl="5">
      <w:start w:val="1"/>
      <w:numFmt w:val="decimal"/>
      <w:pStyle w:val="Ttulo6"/>
      <w:lvlText w:val=".%6"/>
      <w:legacy w:legacy="1" w:legacySpace="120" w:legacyIndent="1152"/>
      <w:lvlJc w:val="left"/>
      <w:pPr>
        <w:ind w:left="1152" w:hanging="1152"/>
      </w:pPr>
    </w:lvl>
    <w:lvl w:ilvl="6">
      <w:start w:val="1"/>
      <w:numFmt w:val="decimal"/>
      <w:pStyle w:val="Ttulo7"/>
      <w:lvlText w:val=".%6.%7"/>
      <w:legacy w:legacy="1" w:legacySpace="120" w:legacyIndent="1296"/>
      <w:lvlJc w:val="left"/>
      <w:pPr>
        <w:ind w:left="1296" w:hanging="1296"/>
      </w:pPr>
    </w:lvl>
    <w:lvl w:ilvl="7">
      <w:start w:val="1"/>
      <w:numFmt w:val="decimal"/>
      <w:pStyle w:val="Ttulo8"/>
      <w:lvlText w:val=".%6.%7.%8"/>
      <w:legacy w:legacy="1" w:legacySpace="120" w:legacyIndent="1440"/>
      <w:lvlJc w:val="left"/>
      <w:pPr>
        <w:ind w:left="1440" w:hanging="1440"/>
      </w:pPr>
    </w:lvl>
    <w:lvl w:ilvl="8">
      <w:start w:val="1"/>
      <w:numFmt w:val="decimal"/>
      <w:pStyle w:val="Ttulo9"/>
      <w:lvlText w:val=".%6.%7.%8.%9"/>
      <w:legacy w:legacy="1" w:legacySpace="120" w:legacyIndent="1584"/>
      <w:lvlJc w:val="left"/>
      <w:pPr>
        <w:ind w:left="1584" w:hanging="1584"/>
      </w:pPr>
    </w:lvl>
  </w:abstractNum>
  <w:abstractNum w:abstractNumId="1">
    <w:nsid w:val="0F987AF8"/>
    <w:multiLevelType w:val="multilevel"/>
    <w:tmpl w:val="48B8470C"/>
    <w:lvl w:ilvl="0">
      <w:start w:val="1"/>
      <w:numFmt w:val="decimal"/>
      <w:lvlText w:val="%1)"/>
      <w:lvlJc w:val="left"/>
      <w:pPr>
        <w:ind w:left="510" w:hanging="510"/>
      </w:pPr>
      <w:rPr>
        <w:rFonts w:hint="default"/>
        <w:b/>
        <w:i w:val="0"/>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2">
    <w:nsid w:val="57B464AA"/>
    <w:multiLevelType w:val="multilevel"/>
    <w:tmpl w:val="9878DF7A"/>
    <w:lvl w:ilvl="0">
      <w:start w:val="1"/>
      <w:numFmt w:val="decimal"/>
      <w:lvlText w:val="%1)"/>
      <w:legacy w:legacy="1" w:legacySpace="120" w:legacyIndent="510"/>
      <w:lvlJc w:val="left"/>
      <w:pPr>
        <w:ind w:left="510" w:hanging="510"/>
      </w:p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B0"/>
    <w:rsid w:val="000B737A"/>
    <w:rsid w:val="000C1D51"/>
    <w:rsid w:val="003E1AB0"/>
    <w:rsid w:val="004008A6"/>
    <w:rsid w:val="00453BF9"/>
    <w:rsid w:val="005D2AB3"/>
    <w:rsid w:val="007023D3"/>
    <w:rsid w:val="00766068"/>
    <w:rsid w:val="0079565F"/>
    <w:rsid w:val="008A442F"/>
    <w:rsid w:val="00AC1BC8"/>
    <w:rsid w:val="00B66C83"/>
    <w:rsid w:val="00C2125B"/>
    <w:rsid w:val="00C905BF"/>
    <w:rsid w:val="00D20F1F"/>
    <w:rsid w:val="00EB2CBA"/>
    <w:rsid w:val="00FC3A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B0"/>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3E1AB0"/>
    <w:pPr>
      <w:keepNext/>
      <w:numPr>
        <w:numId w:val="1"/>
      </w:numPr>
      <w:tabs>
        <w:tab w:val="left" w:pos="432"/>
      </w:tabs>
      <w:jc w:val="center"/>
      <w:outlineLvl w:val="0"/>
    </w:pPr>
    <w:rPr>
      <w:b/>
    </w:rPr>
  </w:style>
  <w:style w:type="paragraph" w:styleId="Ttulo2">
    <w:name w:val="heading 2"/>
    <w:basedOn w:val="Normal"/>
    <w:next w:val="Normal"/>
    <w:link w:val="Ttulo2Car"/>
    <w:qFormat/>
    <w:rsid w:val="003E1AB0"/>
    <w:pPr>
      <w:keepNext/>
      <w:numPr>
        <w:ilvl w:val="1"/>
        <w:numId w:val="1"/>
      </w:numPr>
      <w:tabs>
        <w:tab w:val="left" w:pos="576"/>
        <w:tab w:val="left" w:pos="780"/>
      </w:tabs>
      <w:outlineLvl w:val="1"/>
    </w:pPr>
    <w:rPr>
      <w:b/>
    </w:rPr>
  </w:style>
  <w:style w:type="paragraph" w:styleId="Ttulo3">
    <w:name w:val="heading 3"/>
    <w:basedOn w:val="Normal"/>
    <w:next w:val="Normal"/>
    <w:link w:val="Ttulo3Car"/>
    <w:qFormat/>
    <w:rsid w:val="003E1AB0"/>
    <w:pPr>
      <w:keepNext/>
      <w:numPr>
        <w:ilvl w:val="2"/>
        <w:numId w:val="1"/>
      </w:numPr>
      <w:tabs>
        <w:tab w:val="left" w:pos="720"/>
      </w:tabs>
      <w:outlineLvl w:val="2"/>
    </w:pPr>
    <w:rPr>
      <w:b/>
    </w:rPr>
  </w:style>
  <w:style w:type="paragraph" w:styleId="Ttulo4">
    <w:name w:val="heading 4"/>
    <w:basedOn w:val="Normal"/>
    <w:next w:val="Normal"/>
    <w:link w:val="Ttulo4Car"/>
    <w:qFormat/>
    <w:rsid w:val="003E1AB0"/>
    <w:pPr>
      <w:keepNext/>
      <w:numPr>
        <w:ilvl w:val="3"/>
        <w:numId w:val="1"/>
      </w:numPr>
      <w:tabs>
        <w:tab w:val="left" w:pos="864"/>
      </w:tabs>
      <w:jc w:val="right"/>
      <w:outlineLvl w:val="3"/>
    </w:pPr>
    <w:rPr>
      <w:b/>
      <w:lang w:val="es-ES"/>
    </w:rPr>
  </w:style>
  <w:style w:type="paragraph" w:styleId="Ttulo5">
    <w:name w:val="heading 5"/>
    <w:basedOn w:val="Normal"/>
    <w:next w:val="Normal"/>
    <w:link w:val="Ttulo5Car"/>
    <w:qFormat/>
    <w:rsid w:val="003E1AB0"/>
    <w:pPr>
      <w:keepNext/>
      <w:numPr>
        <w:ilvl w:val="4"/>
        <w:numId w:val="1"/>
      </w:numPr>
      <w:tabs>
        <w:tab w:val="left" w:pos="1008"/>
      </w:tabs>
      <w:outlineLvl w:val="4"/>
    </w:pPr>
    <w:rPr>
      <w:b/>
      <w:lang w:val="es-ES"/>
    </w:rPr>
  </w:style>
  <w:style w:type="paragraph" w:styleId="Ttulo6">
    <w:name w:val="heading 6"/>
    <w:basedOn w:val="Normal"/>
    <w:next w:val="Normal"/>
    <w:link w:val="Ttulo6Car"/>
    <w:qFormat/>
    <w:rsid w:val="003E1AB0"/>
    <w:pPr>
      <w:keepNext/>
      <w:numPr>
        <w:ilvl w:val="5"/>
        <w:numId w:val="1"/>
      </w:numPr>
      <w:tabs>
        <w:tab w:val="left" w:pos="1152"/>
      </w:tabs>
      <w:outlineLvl w:val="5"/>
    </w:pPr>
    <w:rPr>
      <w:b/>
    </w:rPr>
  </w:style>
  <w:style w:type="paragraph" w:styleId="Ttulo7">
    <w:name w:val="heading 7"/>
    <w:basedOn w:val="Normal"/>
    <w:next w:val="Normal"/>
    <w:link w:val="Ttulo7Car"/>
    <w:qFormat/>
    <w:rsid w:val="003E1AB0"/>
    <w:pPr>
      <w:numPr>
        <w:ilvl w:val="6"/>
        <w:numId w:val="1"/>
      </w:numPr>
      <w:tabs>
        <w:tab w:val="left" w:pos="1296"/>
      </w:tabs>
      <w:spacing w:before="240" w:after="60"/>
      <w:outlineLvl w:val="6"/>
    </w:pPr>
    <w:rPr>
      <w:rFonts w:ascii="Times New Roman" w:hAnsi="Times New Roman"/>
    </w:rPr>
  </w:style>
  <w:style w:type="paragraph" w:styleId="Ttulo8">
    <w:name w:val="heading 8"/>
    <w:basedOn w:val="Normal"/>
    <w:next w:val="Normal"/>
    <w:link w:val="Ttulo8Car"/>
    <w:qFormat/>
    <w:rsid w:val="003E1AB0"/>
    <w:pPr>
      <w:numPr>
        <w:ilvl w:val="7"/>
        <w:numId w:val="1"/>
      </w:numPr>
      <w:tabs>
        <w:tab w:val="left" w:pos="1440"/>
      </w:tabs>
      <w:spacing w:before="240" w:after="60"/>
      <w:outlineLvl w:val="7"/>
    </w:pPr>
    <w:rPr>
      <w:rFonts w:ascii="Times New Roman" w:hAnsi="Times New Roman"/>
      <w:i/>
    </w:rPr>
  </w:style>
  <w:style w:type="paragraph" w:styleId="Ttulo9">
    <w:name w:val="heading 9"/>
    <w:basedOn w:val="Normal"/>
    <w:next w:val="Normal"/>
    <w:link w:val="Ttulo9Car"/>
    <w:qFormat/>
    <w:rsid w:val="003E1AB0"/>
    <w:pPr>
      <w:numPr>
        <w:ilvl w:val="8"/>
        <w:numId w:val="1"/>
      </w:numPr>
      <w:tabs>
        <w:tab w:val="left" w:pos="1584"/>
      </w:tabs>
      <w:spacing w:before="240" w:after="60"/>
      <w:outlineLvl w:val="8"/>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1AB0"/>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3E1AB0"/>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rsid w:val="003E1AB0"/>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3E1AB0"/>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3E1AB0"/>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3E1AB0"/>
    <w:rPr>
      <w:rFonts w:ascii="Arial" w:eastAsia="Times New Roman" w:hAnsi="Arial" w:cs="Times New Roman"/>
      <w:b/>
      <w:sz w:val="24"/>
      <w:szCs w:val="20"/>
      <w:lang w:val="es-ES_tradnl" w:eastAsia="es-ES"/>
    </w:rPr>
  </w:style>
  <w:style w:type="character" w:customStyle="1" w:styleId="Ttulo7Car">
    <w:name w:val="Título 7 Car"/>
    <w:basedOn w:val="Fuentedeprrafopredeter"/>
    <w:link w:val="Ttulo7"/>
    <w:rsid w:val="003E1AB0"/>
    <w:rPr>
      <w:rFonts w:ascii="Times New Roman" w:eastAsia="Times New Roman" w:hAnsi="Times New Roman" w:cs="Times New Roman"/>
      <w:sz w:val="24"/>
      <w:szCs w:val="20"/>
      <w:lang w:val="es-ES_tradnl" w:eastAsia="es-ES"/>
    </w:rPr>
  </w:style>
  <w:style w:type="character" w:customStyle="1" w:styleId="Ttulo8Car">
    <w:name w:val="Título 8 Car"/>
    <w:basedOn w:val="Fuentedeprrafopredeter"/>
    <w:link w:val="Ttulo8"/>
    <w:rsid w:val="003E1AB0"/>
    <w:rPr>
      <w:rFonts w:ascii="Times New Roman" w:eastAsia="Times New Roman" w:hAnsi="Times New Roman" w:cs="Times New Roman"/>
      <w:i/>
      <w:sz w:val="24"/>
      <w:szCs w:val="20"/>
      <w:lang w:val="es-ES_tradnl" w:eastAsia="es-ES"/>
    </w:rPr>
  </w:style>
  <w:style w:type="character" w:customStyle="1" w:styleId="Ttulo9Car">
    <w:name w:val="Título 9 Car"/>
    <w:basedOn w:val="Fuentedeprrafopredeter"/>
    <w:link w:val="Ttulo9"/>
    <w:rsid w:val="003E1AB0"/>
    <w:rPr>
      <w:rFonts w:ascii="Arial" w:eastAsia="Times New Roman" w:hAnsi="Arial" w:cs="Times New Roman"/>
      <w:szCs w:val="20"/>
      <w:lang w:val="es-ES_tradnl" w:eastAsia="es-ES"/>
    </w:rPr>
  </w:style>
  <w:style w:type="paragraph" w:styleId="Piedepgina">
    <w:name w:val="footer"/>
    <w:basedOn w:val="Normal"/>
    <w:link w:val="PiedepginaCar"/>
    <w:semiHidden/>
    <w:rsid w:val="003E1AB0"/>
    <w:pPr>
      <w:tabs>
        <w:tab w:val="center" w:pos="4419"/>
        <w:tab w:val="right" w:pos="8838"/>
      </w:tabs>
    </w:pPr>
  </w:style>
  <w:style w:type="character" w:customStyle="1" w:styleId="PiedepginaCar">
    <w:name w:val="Pie de página Car"/>
    <w:basedOn w:val="Fuentedeprrafopredeter"/>
    <w:link w:val="Piedepgina"/>
    <w:semiHidden/>
    <w:rsid w:val="003E1AB0"/>
    <w:rPr>
      <w:rFonts w:ascii="Arial" w:eastAsia="Times New Roman" w:hAnsi="Arial" w:cs="Times New Roman"/>
      <w:sz w:val="24"/>
      <w:szCs w:val="20"/>
      <w:lang w:val="es-ES_tradnl" w:eastAsia="es-ES"/>
    </w:rPr>
  </w:style>
  <w:style w:type="paragraph" w:customStyle="1" w:styleId="Textoindependiente21">
    <w:name w:val="Texto independiente 21"/>
    <w:basedOn w:val="Normal"/>
    <w:rsid w:val="00C2125B"/>
    <w:pPr>
      <w:ind w:firstLine="1560"/>
    </w:pPr>
  </w:style>
  <w:style w:type="paragraph" w:styleId="Textoindependiente2">
    <w:name w:val="Body Text 2"/>
    <w:basedOn w:val="Normal"/>
    <w:link w:val="Textoindependiente2Car"/>
    <w:semiHidden/>
    <w:rsid w:val="00C2125B"/>
    <w:rPr>
      <w:b/>
      <w:bCs/>
    </w:rPr>
  </w:style>
  <w:style w:type="character" w:customStyle="1" w:styleId="Textoindependiente2Car">
    <w:name w:val="Texto independiente 2 Car"/>
    <w:basedOn w:val="Fuentedeprrafopredeter"/>
    <w:link w:val="Textoindependiente2"/>
    <w:semiHidden/>
    <w:rsid w:val="00C2125B"/>
    <w:rPr>
      <w:rFonts w:ascii="Arial" w:eastAsia="Times New Roman" w:hAnsi="Arial" w:cs="Times New Roman"/>
      <w:b/>
      <w:bCs/>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B0"/>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3E1AB0"/>
    <w:pPr>
      <w:keepNext/>
      <w:numPr>
        <w:numId w:val="1"/>
      </w:numPr>
      <w:tabs>
        <w:tab w:val="left" w:pos="432"/>
      </w:tabs>
      <w:jc w:val="center"/>
      <w:outlineLvl w:val="0"/>
    </w:pPr>
    <w:rPr>
      <w:b/>
    </w:rPr>
  </w:style>
  <w:style w:type="paragraph" w:styleId="Ttulo2">
    <w:name w:val="heading 2"/>
    <w:basedOn w:val="Normal"/>
    <w:next w:val="Normal"/>
    <w:link w:val="Ttulo2Car"/>
    <w:qFormat/>
    <w:rsid w:val="003E1AB0"/>
    <w:pPr>
      <w:keepNext/>
      <w:numPr>
        <w:ilvl w:val="1"/>
        <w:numId w:val="1"/>
      </w:numPr>
      <w:tabs>
        <w:tab w:val="left" w:pos="576"/>
        <w:tab w:val="left" w:pos="780"/>
      </w:tabs>
      <w:outlineLvl w:val="1"/>
    </w:pPr>
    <w:rPr>
      <w:b/>
    </w:rPr>
  </w:style>
  <w:style w:type="paragraph" w:styleId="Ttulo3">
    <w:name w:val="heading 3"/>
    <w:basedOn w:val="Normal"/>
    <w:next w:val="Normal"/>
    <w:link w:val="Ttulo3Car"/>
    <w:qFormat/>
    <w:rsid w:val="003E1AB0"/>
    <w:pPr>
      <w:keepNext/>
      <w:numPr>
        <w:ilvl w:val="2"/>
        <w:numId w:val="1"/>
      </w:numPr>
      <w:tabs>
        <w:tab w:val="left" w:pos="720"/>
      </w:tabs>
      <w:outlineLvl w:val="2"/>
    </w:pPr>
    <w:rPr>
      <w:b/>
    </w:rPr>
  </w:style>
  <w:style w:type="paragraph" w:styleId="Ttulo4">
    <w:name w:val="heading 4"/>
    <w:basedOn w:val="Normal"/>
    <w:next w:val="Normal"/>
    <w:link w:val="Ttulo4Car"/>
    <w:qFormat/>
    <w:rsid w:val="003E1AB0"/>
    <w:pPr>
      <w:keepNext/>
      <w:numPr>
        <w:ilvl w:val="3"/>
        <w:numId w:val="1"/>
      </w:numPr>
      <w:tabs>
        <w:tab w:val="left" w:pos="864"/>
      </w:tabs>
      <w:jc w:val="right"/>
      <w:outlineLvl w:val="3"/>
    </w:pPr>
    <w:rPr>
      <w:b/>
      <w:lang w:val="es-ES"/>
    </w:rPr>
  </w:style>
  <w:style w:type="paragraph" w:styleId="Ttulo5">
    <w:name w:val="heading 5"/>
    <w:basedOn w:val="Normal"/>
    <w:next w:val="Normal"/>
    <w:link w:val="Ttulo5Car"/>
    <w:qFormat/>
    <w:rsid w:val="003E1AB0"/>
    <w:pPr>
      <w:keepNext/>
      <w:numPr>
        <w:ilvl w:val="4"/>
        <w:numId w:val="1"/>
      </w:numPr>
      <w:tabs>
        <w:tab w:val="left" w:pos="1008"/>
      </w:tabs>
      <w:outlineLvl w:val="4"/>
    </w:pPr>
    <w:rPr>
      <w:b/>
      <w:lang w:val="es-ES"/>
    </w:rPr>
  </w:style>
  <w:style w:type="paragraph" w:styleId="Ttulo6">
    <w:name w:val="heading 6"/>
    <w:basedOn w:val="Normal"/>
    <w:next w:val="Normal"/>
    <w:link w:val="Ttulo6Car"/>
    <w:qFormat/>
    <w:rsid w:val="003E1AB0"/>
    <w:pPr>
      <w:keepNext/>
      <w:numPr>
        <w:ilvl w:val="5"/>
        <w:numId w:val="1"/>
      </w:numPr>
      <w:tabs>
        <w:tab w:val="left" w:pos="1152"/>
      </w:tabs>
      <w:outlineLvl w:val="5"/>
    </w:pPr>
    <w:rPr>
      <w:b/>
    </w:rPr>
  </w:style>
  <w:style w:type="paragraph" w:styleId="Ttulo7">
    <w:name w:val="heading 7"/>
    <w:basedOn w:val="Normal"/>
    <w:next w:val="Normal"/>
    <w:link w:val="Ttulo7Car"/>
    <w:qFormat/>
    <w:rsid w:val="003E1AB0"/>
    <w:pPr>
      <w:numPr>
        <w:ilvl w:val="6"/>
        <w:numId w:val="1"/>
      </w:numPr>
      <w:tabs>
        <w:tab w:val="left" w:pos="1296"/>
      </w:tabs>
      <w:spacing w:before="240" w:after="60"/>
      <w:outlineLvl w:val="6"/>
    </w:pPr>
    <w:rPr>
      <w:rFonts w:ascii="Times New Roman" w:hAnsi="Times New Roman"/>
    </w:rPr>
  </w:style>
  <w:style w:type="paragraph" w:styleId="Ttulo8">
    <w:name w:val="heading 8"/>
    <w:basedOn w:val="Normal"/>
    <w:next w:val="Normal"/>
    <w:link w:val="Ttulo8Car"/>
    <w:qFormat/>
    <w:rsid w:val="003E1AB0"/>
    <w:pPr>
      <w:numPr>
        <w:ilvl w:val="7"/>
        <w:numId w:val="1"/>
      </w:numPr>
      <w:tabs>
        <w:tab w:val="left" w:pos="1440"/>
      </w:tabs>
      <w:spacing w:before="240" w:after="60"/>
      <w:outlineLvl w:val="7"/>
    </w:pPr>
    <w:rPr>
      <w:rFonts w:ascii="Times New Roman" w:hAnsi="Times New Roman"/>
      <w:i/>
    </w:rPr>
  </w:style>
  <w:style w:type="paragraph" w:styleId="Ttulo9">
    <w:name w:val="heading 9"/>
    <w:basedOn w:val="Normal"/>
    <w:next w:val="Normal"/>
    <w:link w:val="Ttulo9Car"/>
    <w:qFormat/>
    <w:rsid w:val="003E1AB0"/>
    <w:pPr>
      <w:numPr>
        <w:ilvl w:val="8"/>
        <w:numId w:val="1"/>
      </w:numPr>
      <w:tabs>
        <w:tab w:val="left" w:pos="1584"/>
      </w:tabs>
      <w:spacing w:before="240" w:after="60"/>
      <w:outlineLvl w:val="8"/>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1AB0"/>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3E1AB0"/>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rsid w:val="003E1AB0"/>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3E1AB0"/>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3E1AB0"/>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3E1AB0"/>
    <w:rPr>
      <w:rFonts w:ascii="Arial" w:eastAsia="Times New Roman" w:hAnsi="Arial" w:cs="Times New Roman"/>
      <w:b/>
      <w:sz w:val="24"/>
      <w:szCs w:val="20"/>
      <w:lang w:val="es-ES_tradnl" w:eastAsia="es-ES"/>
    </w:rPr>
  </w:style>
  <w:style w:type="character" w:customStyle="1" w:styleId="Ttulo7Car">
    <w:name w:val="Título 7 Car"/>
    <w:basedOn w:val="Fuentedeprrafopredeter"/>
    <w:link w:val="Ttulo7"/>
    <w:rsid w:val="003E1AB0"/>
    <w:rPr>
      <w:rFonts w:ascii="Times New Roman" w:eastAsia="Times New Roman" w:hAnsi="Times New Roman" w:cs="Times New Roman"/>
      <w:sz w:val="24"/>
      <w:szCs w:val="20"/>
      <w:lang w:val="es-ES_tradnl" w:eastAsia="es-ES"/>
    </w:rPr>
  </w:style>
  <w:style w:type="character" w:customStyle="1" w:styleId="Ttulo8Car">
    <w:name w:val="Título 8 Car"/>
    <w:basedOn w:val="Fuentedeprrafopredeter"/>
    <w:link w:val="Ttulo8"/>
    <w:rsid w:val="003E1AB0"/>
    <w:rPr>
      <w:rFonts w:ascii="Times New Roman" w:eastAsia="Times New Roman" w:hAnsi="Times New Roman" w:cs="Times New Roman"/>
      <w:i/>
      <w:sz w:val="24"/>
      <w:szCs w:val="20"/>
      <w:lang w:val="es-ES_tradnl" w:eastAsia="es-ES"/>
    </w:rPr>
  </w:style>
  <w:style w:type="character" w:customStyle="1" w:styleId="Ttulo9Car">
    <w:name w:val="Título 9 Car"/>
    <w:basedOn w:val="Fuentedeprrafopredeter"/>
    <w:link w:val="Ttulo9"/>
    <w:rsid w:val="003E1AB0"/>
    <w:rPr>
      <w:rFonts w:ascii="Arial" w:eastAsia="Times New Roman" w:hAnsi="Arial" w:cs="Times New Roman"/>
      <w:szCs w:val="20"/>
      <w:lang w:val="es-ES_tradnl" w:eastAsia="es-ES"/>
    </w:rPr>
  </w:style>
  <w:style w:type="paragraph" w:styleId="Piedepgina">
    <w:name w:val="footer"/>
    <w:basedOn w:val="Normal"/>
    <w:link w:val="PiedepginaCar"/>
    <w:semiHidden/>
    <w:rsid w:val="003E1AB0"/>
    <w:pPr>
      <w:tabs>
        <w:tab w:val="center" w:pos="4419"/>
        <w:tab w:val="right" w:pos="8838"/>
      </w:tabs>
    </w:pPr>
  </w:style>
  <w:style w:type="character" w:customStyle="1" w:styleId="PiedepginaCar">
    <w:name w:val="Pie de página Car"/>
    <w:basedOn w:val="Fuentedeprrafopredeter"/>
    <w:link w:val="Piedepgina"/>
    <w:semiHidden/>
    <w:rsid w:val="003E1AB0"/>
    <w:rPr>
      <w:rFonts w:ascii="Arial" w:eastAsia="Times New Roman" w:hAnsi="Arial" w:cs="Times New Roman"/>
      <w:sz w:val="24"/>
      <w:szCs w:val="20"/>
      <w:lang w:val="es-ES_tradnl" w:eastAsia="es-ES"/>
    </w:rPr>
  </w:style>
  <w:style w:type="paragraph" w:customStyle="1" w:styleId="Textoindependiente21">
    <w:name w:val="Texto independiente 21"/>
    <w:basedOn w:val="Normal"/>
    <w:rsid w:val="00C2125B"/>
    <w:pPr>
      <w:ind w:firstLine="1560"/>
    </w:pPr>
  </w:style>
  <w:style w:type="paragraph" w:styleId="Textoindependiente2">
    <w:name w:val="Body Text 2"/>
    <w:basedOn w:val="Normal"/>
    <w:link w:val="Textoindependiente2Car"/>
    <w:semiHidden/>
    <w:rsid w:val="00C2125B"/>
    <w:rPr>
      <w:b/>
      <w:bCs/>
    </w:rPr>
  </w:style>
  <w:style w:type="character" w:customStyle="1" w:styleId="Textoindependiente2Car">
    <w:name w:val="Texto independiente 2 Car"/>
    <w:basedOn w:val="Fuentedeprrafopredeter"/>
    <w:link w:val="Textoindependiente2"/>
    <w:semiHidden/>
    <w:rsid w:val="00C2125B"/>
    <w:rPr>
      <w:rFonts w:ascii="Arial" w:eastAsia="Times New Roman" w:hAnsi="Arial" w:cs="Times New Roman"/>
      <w:b/>
      <w:bCs/>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Acosta</dc:creator>
  <cp:keywords/>
  <dc:description/>
  <cp:lastModifiedBy> </cp:lastModifiedBy>
  <cp:revision>5</cp:revision>
  <cp:lastPrinted>2013-07-25T13:10:00Z</cp:lastPrinted>
  <dcterms:created xsi:type="dcterms:W3CDTF">2013-07-25T13:10:00Z</dcterms:created>
  <dcterms:modified xsi:type="dcterms:W3CDTF">2013-08-15T18:26:00Z</dcterms:modified>
</cp:coreProperties>
</file>