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AC" w:rsidRDefault="003554AC" w:rsidP="004D36BF">
      <w:pPr>
        <w:tabs>
          <w:tab w:val="center" w:pos="4253"/>
        </w:tabs>
        <w:suppressAutoHyphens/>
        <w:spacing w:line="480" w:lineRule="auto"/>
        <w:jc w:val="center"/>
        <w:rPr>
          <w:rFonts w:ascii="Helvetica" w:hAnsi="Helvetica"/>
          <w:b/>
          <w:lang w:val="es-ES_tradnl"/>
        </w:rPr>
      </w:pPr>
      <w:bookmarkStart w:id="0" w:name="_GoBack"/>
      <w:bookmarkEnd w:id="0"/>
      <w:r>
        <w:rPr>
          <w:rFonts w:ascii="Helvetica" w:hAnsi="Helvetica"/>
          <w:b/>
          <w:lang w:val="es-ES_tradnl"/>
        </w:rPr>
        <w:t>RESOLUCION ADOPTADA POR EL</w:t>
      </w:r>
    </w:p>
    <w:p w:rsidR="003554AC" w:rsidRDefault="003554AC" w:rsidP="004D36BF">
      <w:pPr>
        <w:tabs>
          <w:tab w:val="center" w:pos="4253"/>
        </w:tabs>
        <w:suppressAutoHyphens/>
        <w:spacing w:line="480" w:lineRule="auto"/>
        <w:jc w:val="center"/>
        <w:rPr>
          <w:rFonts w:ascii="Helvetica" w:hAnsi="Helvetica"/>
          <w:b/>
          <w:lang w:val="es-ES_tradnl"/>
        </w:rPr>
      </w:pPr>
      <w:r>
        <w:rPr>
          <w:rFonts w:ascii="Helvetica" w:hAnsi="Helvetica"/>
          <w:b/>
          <w:lang w:val="es-ES_tradnl"/>
        </w:rPr>
        <w:t>TRIBUNAL DE CUENTAS</w:t>
      </w:r>
    </w:p>
    <w:p w:rsidR="003554AC" w:rsidRDefault="003554AC" w:rsidP="004D36BF">
      <w:pPr>
        <w:tabs>
          <w:tab w:val="center" w:pos="4253"/>
        </w:tabs>
        <w:suppressAutoHyphens/>
        <w:spacing w:line="480" w:lineRule="auto"/>
        <w:jc w:val="center"/>
        <w:rPr>
          <w:rFonts w:ascii="Helvetica" w:hAnsi="Helvetica"/>
          <w:b/>
          <w:lang w:val="es-ES_tradnl"/>
        </w:rPr>
      </w:pPr>
      <w:r>
        <w:rPr>
          <w:rFonts w:ascii="Helvetica" w:hAnsi="Helvetica"/>
          <w:b/>
          <w:lang w:val="es-ES_tradnl"/>
        </w:rPr>
        <w:t>EN SESION DE FECHA 17 DE JULIO DE 2013</w:t>
      </w:r>
    </w:p>
    <w:p w:rsidR="004D36BF" w:rsidRDefault="003554AC" w:rsidP="004D36BF">
      <w:pPr>
        <w:tabs>
          <w:tab w:val="center" w:pos="4253"/>
        </w:tabs>
        <w:suppressAutoHyphens/>
        <w:spacing w:line="480" w:lineRule="auto"/>
        <w:jc w:val="center"/>
        <w:rPr>
          <w:rFonts w:ascii="Helvetica" w:hAnsi="Helvetica"/>
          <w:b/>
          <w:lang w:val="es-ES_tradnl"/>
        </w:rPr>
      </w:pPr>
      <w:r>
        <w:rPr>
          <w:rFonts w:ascii="Helvetica" w:hAnsi="Helvetica"/>
          <w:b/>
          <w:lang w:val="es-ES_tradnl"/>
        </w:rPr>
        <w:t>(E. E. N°2013-17-1-000</w:t>
      </w:r>
      <w:r w:rsidR="004D36BF">
        <w:rPr>
          <w:rFonts w:ascii="Helvetica" w:hAnsi="Helvetica"/>
          <w:b/>
          <w:lang w:val="es-ES_tradnl"/>
        </w:rPr>
        <w:t>1894,</w:t>
      </w:r>
    </w:p>
    <w:p w:rsidR="003554AC" w:rsidRDefault="004D36BF" w:rsidP="004D36BF">
      <w:pPr>
        <w:tabs>
          <w:tab w:val="center" w:pos="4253"/>
        </w:tabs>
        <w:suppressAutoHyphens/>
        <w:spacing w:line="480" w:lineRule="auto"/>
        <w:jc w:val="center"/>
        <w:rPr>
          <w:rFonts w:ascii="Helvetica" w:hAnsi="Helvetica"/>
          <w:b/>
          <w:lang w:val="es-ES_tradnl"/>
        </w:rPr>
      </w:pPr>
      <w:proofErr w:type="spellStart"/>
      <w:r>
        <w:rPr>
          <w:rFonts w:ascii="Helvetica" w:hAnsi="Helvetica"/>
          <w:b/>
          <w:lang w:val="es-ES_tradnl"/>
        </w:rPr>
        <w:t>Ents</w:t>
      </w:r>
      <w:proofErr w:type="spellEnd"/>
      <w:r>
        <w:rPr>
          <w:rFonts w:ascii="Helvetica" w:hAnsi="Helvetica"/>
          <w:b/>
          <w:lang w:val="es-ES_tradnl"/>
        </w:rPr>
        <w:t>. N° 711/13, N° 1706/13 y N° 3150/13</w:t>
      </w:r>
      <w:r w:rsidR="003554AC">
        <w:rPr>
          <w:rFonts w:ascii="Helvetica" w:hAnsi="Helvetica"/>
          <w:b/>
          <w:lang w:val="es-ES_tradnl"/>
        </w:rPr>
        <w:t>)</w:t>
      </w:r>
    </w:p>
    <w:p w:rsidR="000F6004" w:rsidRDefault="00606F6F" w:rsidP="004D36BF">
      <w:pPr>
        <w:tabs>
          <w:tab w:val="left" w:pos="-720"/>
        </w:tabs>
        <w:suppressAutoHyphens/>
        <w:spacing w:line="360" w:lineRule="auto"/>
        <w:ind w:firstLine="851"/>
        <w:jc w:val="both"/>
        <w:rPr>
          <w:rFonts w:ascii="Arial" w:hAnsi="Arial" w:cs="Arial"/>
        </w:rPr>
      </w:pPr>
      <w:r>
        <w:rPr>
          <w:rFonts w:ascii="Arial" w:hAnsi="Arial" w:cs="Arial"/>
          <w:b/>
          <w:lang w:val="es-MX"/>
        </w:rPr>
        <w:t>“</w:t>
      </w:r>
      <w:r w:rsidR="000F6004">
        <w:rPr>
          <w:rFonts w:ascii="Arial" w:hAnsi="Arial" w:cs="Arial"/>
          <w:b/>
          <w:lang w:val="es-MX"/>
        </w:rPr>
        <w:t>VISTO:</w:t>
      </w:r>
      <w:r w:rsidR="000F6004">
        <w:rPr>
          <w:rFonts w:ascii="Arial" w:hAnsi="Arial" w:cs="Arial"/>
          <w:lang w:val="es-MX"/>
        </w:rPr>
        <w:t xml:space="preserve"> que este Tribunal ha examinado los estados financieros del Banco de la República Oriental del Uruguay (BROU) que comprenden el Estado de Situación Patrimonial </w:t>
      </w:r>
      <w:r w:rsidR="000F6004">
        <w:rPr>
          <w:rFonts w:ascii="Arial" w:hAnsi="Arial" w:cs="Arial"/>
        </w:rPr>
        <w:t xml:space="preserve">al 31/12/2012, los correspondientes Estados de Resultados, </w:t>
      </w:r>
      <w:r w:rsidR="000F6004">
        <w:rPr>
          <w:rFonts w:ascii="Arial" w:hAnsi="Arial" w:cs="Arial"/>
          <w:lang w:val="es-MX"/>
        </w:rPr>
        <w:t xml:space="preserve">de Flujos de Efectivo y de Evolución del Patrimonio por el </w:t>
      </w:r>
      <w:r w:rsidR="00151377">
        <w:rPr>
          <w:rFonts w:ascii="Arial" w:hAnsi="Arial" w:cs="Arial"/>
          <w:lang w:val="es-MX"/>
        </w:rPr>
        <w:t>Ejercicio</w:t>
      </w:r>
      <w:r w:rsidR="000F6004">
        <w:rPr>
          <w:rFonts w:ascii="Arial" w:hAnsi="Arial" w:cs="Arial"/>
          <w:lang w:val="es-MX"/>
        </w:rPr>
        <w:t xml:space="preserve"> anual finalizado en esa fecha y las Notas a los Estados Financieros, </w:t>
      </w:r>
      <w:r w:rsidR="000F6004">
        <w:rPr>
          <w:rFonts w:ascii="Arial" w:hAnsi="Arial" w:cs="Arial"/>
        </w:rPr>
        <w:t xml:space="preserve">el Estado de Situación Patrimonial Consolidado al 31/12/2012, el Estado de Resultados Consolidado por el </w:t>
      </w:r>
      <w:r w:rsidR="00151377">
        <w:rPr>
          <w:rFonts w:ascii="Arial" w:hAnsi="Arial" w:cs="Arial"/>
        </w:rPr>
        <w:t>Ejercicio</w:t>
      </w:r>
      <w:r w:rsidR="000F6004">
        <w:rPr>
          <w:rFonts w:ascii="Arial" w:hAnsi="Arial" w:cs="Arial"/>
        </w:rPr>
        <w:t xml:space="preserve"> finalizado en esa fecha y las notas complementarias a los estados consolidados;</w:t>
      </w:r>
    </w:p>
    <w:p w:rsidR="000F6004" w:rsidRPr="00151377" w:rsidRDefault="000F6004" w:rsidP="00151377">
      <w:pPr>
        <w:spacing w:line="360" w:lineRule="auto"/>
        <w:ind w:firstLine="851"/>
        <w:jc w:val="both"/>
        <w:rPr>
          <w:rFonts w:ascii="Arial" w:hAnsi="Arial" w:cs="Arial"/>
          <w:lang w:val="es-MX"/>
        </w:rPr>
      </w:pPr>
      <w:r>
        <w:rPr>
          <w:rFonts w:ascii="Arial" w:hAnsi="Arial" w:cs="Arial"/>
          <w:b/>
          <w:lang w:val="es-MX"/>
        </w:rPr>
        <w:t>RESULTANDO:</w:t>
      </w:r>
      <w:r>
        <w:rPr>
          <w:rFonts w:ascii="Arial" w:hAnsi="Arial" w:cs="Arial"/>
          <w:lang w:val="es-MX"/>
        </w:rPr>
        <w:t xml:space="preserve"> que el examen fue realizado de acuerdo con los Principios Fundamentales de Auditoría (ISSAI 100, 200, 300 y 400) y las Directrices de Auditoría Financiera (ISSAI 1000 a 2999) de la  Organización Internacional de Entidades Fiscalizadoras Superiores (INTOSAI);</w:t>
      </w:r>
    </w:p>
    <w:p w:rsidR="000F6004" w:rsidRDefault="000F6004" w:rsidP="00151377">
      <w:pPr>
        <w:spacing w:line="360" w:lineRule="auto"/>
        <w:ind w:firstLine="851"/>
        <w:jc w:val="both"/>
        <w:rPr>
          <w:rFonts w:ascii="Arial" w:hAnsi="Arial" w:cs="Arial"/>
          <w:lang w:val="es-MX"/>
        </w:rPr>
      </w:pPr>
      <w:r>
        <w:rPr>
          <w:rFonts w:ascii="Arial" w:hAnsi="Arial" w:cs="Arial"/>
          <w:b/>
          <w:spacing w:val="-8"/>
          <w:lang w:val="es-MX"/>
        </w:rPr>
        <w:t>CONSIDERANDO:</w:t>
      </w:r>
      <w:r>
        <w:rPr>
          <w:rFonts w:ascii="Arial" w:hAnsi="Arial" w:cs="Arial"/>
          <w:spacing w:val="-8"/>
          <w:lang w:val="es-MX"/>
        </w:rPr>
        <w:t xml:space="preserve"> </w:t>
      </w:r>
      <w:r w:rsidRPr="00151377">
        <w:rPr>
          <w:rFonts w:ascii="Arial" w:hAnsi="Arial" w:cs="Arial"/>
          <w:lang w:val="es-MX"/>
        </w:rPr>
        <w:t>que las conclusiones y evidencias obtenidas</w:t>
      </w:r>
      <w:r>
        <w:rPr>
          <w:rFonts w:ascii="Arial" w:hAnsi="Arial" w:cs="Arial"/>
          <w:spacing w:val="-8"/>
          <w:lang w:val="es-MX"/>
        </w:rPr>
        <w:t xml:space="preserve"> son las</w:t>
      </w:r>
      <w:r>
        <w:rPr>
          <w:rFonts w:ascii="Arial" w:hAnsi="Arial" w:cs="Arial"/>
          <w:lang w:val="es-MX"/>
        </w:rPr>
        <w:t xml:space="preserve"> que  se expresan en el Informe de Auditoría, que incluye Dictámenes e Informe a la Administración;</w:t>
      </w:r>
    </w:p>
    <w:p w:rsidR="000F6004" w:rsidRDefault="000F6004" w:rsidP="00151377">
      <w:pPr>
        <w:spacing w:line="360" w:lineRule="auto"/>
        <w:ind w:firstLine="851"/>
        <w:jc w:val="both"/>
        <w:rPr>
          <w:rFonts w:ascii="Arial" w:hAnsi="Arial" w:cs="Arial"/>
          <w:lang w:val="es-MX"/>
        </w:rPr>
      </w:pPr>
      <w:r>
        <w:rPr>
          <w:rFonts w:ascii="Arial" w:hAnsi="Arial" w:cs="Arial"/>
          <w:b/>
          <w:lang w:val="es-MX"/>
        </w:rPr>
        <w:t>ATENTO:</w:t>
      </w:r>
      <w:r>
        <w:rPr>
          <w:rFonts w:ascii="Arial" w:hAnsi="Arial" w:cs="Arial"/>
          <w:lang w:val="es-MX"/>
        </w:rPr>
        <w:t xml:space="preserve"> a lo dispuesto por los </w:t>
      </w:r>
      <w:r w:rsidR="00151377">
        <w:rPr>
          <w:rFonts w:ascii="Arial" w:hAnsi="Arial" w:cs="Arial"/>
          <w:lang w:val="es-MX"/>
        </w:rPr>
        <w:t>Artículo</w:t>
      </w:r>
      <w:r>
        <w:rPr>
          <w:rFonts w:ascii="Arial" w:hAnsi="Arial" w:cs="Arial"/>
          <w:lang w:val="es-MX"/>
        </w:rPr>
        <w:t>s 191 y 211 Literal C) de la Constitución de la República;</w:t>
      </w:r>
    </w:p>
    <w:p w:rsidR="000F6004" w:rsidRDefault="000F6004" w:rsidP="0089137F">
      <w:pPr>
        <w:pStyle w:val="Ttulo"/>
        <w:rPr>
          <w:lang w:val="es-MX"/>
        </w:rPr>
      </w:pPr>
      <w:r w:rsidRPr="0089137F">
        <w:rPr>
          <w:lang w:val="es-MX"/>
        </w:rPr>
        <w:t xml:space="preserve">EL TRIBUNAL ACUERDA </w:t>
      </w:r>
    </w:p>
    <w:p w:rsidR="000F6004" w:rsidRDefault="000F6004" w:rsidP="009B0769">
      <w:pPr>
        <w:numPr>
          <w:ilvl w:val="0"/>
          <w:numId w:val="3"/>
        </w:numPr>
        <w:spacing w:line="360" w:lineRule="auto"/>
        <w:jc w:val="both"/>
        <w:rPr>
          <w:rFonts w:ascii="Arial" w:hAnsi="Arial" w:cs="Arial"/>
          <w:lang w:val="es-MX"/>
        </w:rPr>
      </w:pPr>
      <w:r>
        <w:rPr>
          <w:rFonts w:ascii="Arial" w:hAnsi="Arial" w:cs="Arial"/>
          <w:lang w:val="es-MX"/>
        </w:rPr>
        <w:t>Emitir su Dictamen Constitucional respecto a los Estados citados precedentemente, en los términos del Informe de Auditoría que se adjunta;</w:t>
      </w:r>
    </w:p>
    <w:p w:rsidR="000F6004" w:rsidRDefault="000F6004" w:rsidP="009B0769">
      <w:pPr>
        <w:pStyle w:val="Sangradetextonormal"/>
        <w:numPr>
          <w:ilvl w:val="0"/>
          <w:numId w:val="3"/>
        </w:numPr>
        <w:tabs>
          <w:tab w:val="left" w:pos="2552"/>
        </w:tabs>
        <w:spacing w:after="0" w:line="360" w:lineRule="auto"/>
        <w:jc w:val="both"/>
        <w:rPr>
          <w:rFonts w:ascii="Arial" w:hAnsi="Arial" w:cs="Arial"/>
        </w:rPr>
      </w:pPr>
      <w:r>
        <w:rPr>
          <w:rFonts w:ascii="Arial" w:hAnsi="Arial" w:cs="Arial"/>
        </w:rPr>
        <w:t xml:space="preserve">A los efectos dispuestos por el </w:t>
      </w:r>
      <w:r w:rsidR="00151377">
        <w:rPr>
          <w:rFonts w:ascii="Arial" w:hAnsi="Arial" w:cs="Arial"/>
        </w:rPr>
        <w:t>Artículo</w:t>
      </w:r>
      <w:r>
        <w:rPr>
          <w:rFonts w:ascii="Arial" w:hAnsi="Arial" w:cs="Arial"/>
        </w:rPr>
        <w:t xml:space="preserve"> 191 de la Constitución de la República, el Organismo deberá publicar los Estados Financieros y los Dictámenes correspondientes incluidos en el Informe de Auditoría;</w:t>
      </w:r>
    </w:p>
    <w:p w:rsidR="000F6004" w:rsidRDefault="000F6004" w:rsidP="009B0769">
      <w:pPr>
        <w:numPr>
          <w:ilvl w:val="0"/>
          <w:numId w:val="3"/>
        </w:numPr>
        <w:spacing w:line="360" w:lineRule="auto"/>
        <w:jc w:val="both"/>
        <w:rPr>
          <w:rFonts w:ascii="Arial" w:hAnsi="Arial" w:cs="Arial"/>
          <w:lang w:val="es-MX"/>
        </w:rPr>
      </w:pPr>
      <w:r>
        <w:rPr>
          <w:rFonts w:ascii="Arial" w:hAnsi="Arial" w:cs="Arial"/>
          <w:lang w:val="es-MX"/>
        </w:rPr>
        <w:lastRenderedPageBreak/>
        <w:t xml:space="preserve">Comunicar la presente </w:t>
      </w:r>
      <w:r w:rsidR="00151377">
        <w:rPr>
          <w:rFonts w:ascii="Arial" w:hAnsi="Arial" w:cs="Arial"/>
          <w:lang w:val="es-MX"/>
        </w:rPr>
        <w:t>Resolución</w:t>
      </w:r>
      <w:r>
        <w:rPr>
          <w:rFonts w:ascii="Arial" w:hAnsi="Arial" w:cs="Arial"/>
          <w:lang w:val="es-MX"/>
        </w:rPr>
        <w:t xml:space="preserve"> al Poder Ejecutivo y al Organismo; y</w:t>
      </w:r>
    </w:p>
    <w:p w:rsidR="000F6004" w:rsidRDefault="000F6004" w:rsidP="000F6004">
      <w:pPr>
        <w:pStyle w:val="Sangradetextonormal"/>
        <w:numPr>
          <w:ilvl w:val="0"/>
          <w:numId w:val="3"/>
        </w:numPr>
        <w:tabs>
          <w:tab w:val="left" w:pos="2552"/>
        </w:tabs>
        <w:spacing w:after="0" w:line="360" w:lineRule="auto"/>
        <w:jc w:val="both"/>
        <w:rPr>
          <w:rFonts w:ascii="Arial" w:hAnsi="Arial" w:cs="Arial"/>
          <w:lang w:val="es-MX"/>
        </w:rPr>
      </w:pPr>
      <w:r>
        <w:rPr>
          <w:rFonts w:ascii="Arial" w:hAnsi="Arial" w:cs="Arial"/>
          <w:lang w:val="es-MX"/>
        </w:rPr>
        <w:t>Dar cuenta a la Asamblea General</w:t>
      </w:r>
      <w:r w:rsidR="009B0769">
        <w:rPr>
          <w:rFonts w:ascii="Arial" w:hAnsi="Arial" w:cs="Arial"/>
          <w:lang w:val="es-MX"/>
        </w:rPr>
        <w:t>”</w:t>
      </w:r>
      <w:r>
        <w:rPr>
          <w:rFonts w:ascii="Arial" w:hAnsi="Arial" w:cs="Arial"/>
          <w:lang w:val="es-MX"/>
        </w:rPr>
        <w:t>.</w:t>
      </w:r>
    </w:p>
    <w:p w:rsidR="00151377" w:rsidRDefault="00151377" w:rsidP="00151377">
      <w:pPr>
        <w:pStyle w:val="Sangradetextonormal"/>
        <w:tabs>
          <w:tab w:val="left" w:pos="2552"/>
        </w:tabs>
        <w:spacing w:after="0" w:line="360" w:lineRule="auto"/>
        <w:jc w:val="both"/>
        <w:rPr>
          <w:rFonts w:ascii="Arial" w:hAnsi="Arial" w:cs="Arial"/>
          <w:lang w:val="es-MX"/>
        </w:rPr>
      </w:pPr>
    </w:p>
    <w:p w:rsidR="00052215" w:rsidRDefault="00052215" w:rsidP="00151377">
      <w:pPr>
        <w:pStyle w:val="Sangradetextonormal"/>
        <w:tabs>
          <w:tab w:val="left" w:pos="2552"/>
        </w:tabs>
        <w:spacing w:after="0" w:line="360" w:lineRule="auto"/>
        <w:jc w:val="both"/>
        <w:rPr>
          <w:rFonts w:ascii="Arial" w:hAnsi="Arial" w:cs="Arial"/>
          <w:lang w:val="es-MX"/>
        </w:rPr>
      </w:pPr>
    </w:p>
    <w:p w:rsidR="00052215" w:rsidRDefault="00052215" w:rsidP="007C1700">
      <w:pPr>
        <w:jc w:val="right"/>
        <w:rPr>
          <w:rFonts w:ascii="Arial" w:hAnsi="Arial" w:cs="Arial"/>
        </w:rPr>
      </w:pPr>
    </w:p>
    <w:p w:rsidR="00052215" w:rsidRDefault="00052215" w:rsidP="007C1700">
      <w:pPr>
        <w:pStyle w:val="Ttulo5"/>
        <w:rPr>
          <w:rFonts w:ascii="Arial" w:hAnsi="Arial" w:cs="Arial"/>
          <w:u w:val="none"/>
        </w:rPr>
      </w:pPr>
      <w:r>
        <w:rPr>
          <w:rFonts w:ascii="Arial" w:hAnsi="Arial" w:cs="Arial"/>
          <w:u w:val="none"/>
        </w:rPr>
        <w:t xml:space="preserve">DICTAMEN </w:t>
      </w:r>
    </w:p>
    <w:p w:rsidR="00052215" w:rsidRDefault="00052215" w:rsidP="007C1700">
      <w:pPr>
        <w:rPr>
          <w:color w:val="FF0000"/>
        </w:rPr>
      </w:pPr>
    </w:p>
    <w:p w:rsidR="00052215" w:rsidRDefault="00052215" w:rsidP="007C1700">
      <w:pPr>
        <w:rPr>
          <w:color w:val="FF0000"/>
        </w:rPr>
      </w:pPr>
    </w:p>
    <w:p w:rsidR="00052215" w:rsidRDefault="00052215" w:rsidP="007C1700">
      <w:pPr>
        <w:pStyle w:val="Textoindependiente"/>
        <w:tabs>
          <w:tab w:val="clear" w:pos="2410"/>
        </w:tabs>
        <w:spacing w:line="360" w:lineRule="auto"/>
        <w:rPr>
          <w:rFonts w:ascii="Arial" w:hAnsi="Arial" w:cs="Arial"/>
        </w:rPr>
      </w:pPr>
      <w:r>
        <w:rPr>
          <w:rFonts w:ascii="Arial" w:hAnsi="Arial" w:cs="Arial"/>
          <w:b/>
          <w:bCs/>
        </w:rPr>
        <w:t>1</w:t>
      </w:r>
      <w:r>
        <w:rPr>
          <w:rFonts w:ascii="Arial" w:hAnsi="Arial" w:cs="Arial"/>
        </w:rPr>
        <w:t xml:space="preserve">. El Tribunal de Cuentas ha examinado los estados financieros del Banco de la República Oriental del Uruguay (BROU) que se adjuntan. Dichos estados financieros comprenden el Estado de Situación Patrimonial al 31/12/2012, los correspondientes Estados de Resultados, de Origen y Aplicación de Fondos y de Evolución del Patrimonio por el ejercicio anual finalizado en esa fecha, los Anexos y las notas de políticas contables significativas y otras notas explicativas a los estados financieros. </w:t>
      </w:r>
    </w:p>
    <w:p w:rsidR="00052215" w:rsidRDefault="00052215" w:rsidP="007C1700">
      <w:pPr>
        <w:pStyle w:val="Textoindependiente"/>
        <w:tabs>
          <w:tab w:val="clear" w:pos="2410"/>
          <w:tab w:val="left" w:pos="0"/>
        </w:tabs>
        <w:spacing w:line="360" w:lineRule="auto"/>
        <w:rPr>
          <w:rFonts w:ascii="Arial" w:hAnsi="Arial" w:cs="Arial"/>
        </w:rPr>
      </w:pPr>
      <w:r>
        <w:rPr>
          <w:rFonts w:ascii="Arial" w:hAnsi="Arial" w:cs="Arial"/>
        </w:rPr>
        <w:t>El Tribunal de Cuentas también ha auditado el cumplimiento por parte del BROU de las disposiciones legales vigentes relacionadas con los estados financieros objeto de examen.</w:t>
      </w:r>
    </w:p>
    <w:p w:rsidR="00052215" w:rsidRDefault="00052215" w:rsidP="007C1700">
      <w:pPr>
        <w:pStyle w:val="Textoindependiente"/>
        <w:tabs>
          <w:tab w:val="clear" w:pos="2410"/>
          <w:tab w:val="left" w:pos="0"/>
        </w:tabs>
        <w:spacing w:line="360" w:lineRule="auto"/>
        <w:rPr>
          <w:rFonts w:ascii="Arial" w:hAnsi="Arial" w:cs="Arial"/>
        </w:rPr>
      </w:pPr>
    </w:p>
    <w:p w:rsidR="00052215" w:rsidRDefault="00052215" w:rsidP="007C1700">
      <w:pPr>
        <w:spacing w:line="360" w:lineRule="auto"/>
        <w:jc w:val="both"/>
        <w:rPr>
          <w:rFonts w:ascii="Arial" w:hAnsi="Arial" w:cs="Arial"/>
          <w:b/>
          <w:bCs/>
        </w:rPr>
      </w:pPr>
      <w:r>
        <w:rPr>
          <w:rFonts w:ascii="Arial" w:hAnsi="Arial" w:cs="Arial"/>
          <w:b/>
          <w:bCs/>
        </w:rPr>
        <w:t>2. Responsabilidad de la Dirección por los estados financieros</w:t>
      </w:r>
    </w:p>
    <w:p w:rsidR="00052215" w:rsidRDefault="00052215" w:rsidP="007C1700">
      <w:pPr>
        <w:tabs>
          <w:tab w:val="left" w:pos="720"/>
        </w:tabs>
        <w:spacing w:line="360" w:lineRule="auto"/>
        <w:ind w:firstLine="851"/>
        <w:jc w:val="both"/>
        <w:rPr>
          <w:rFonts w:ascii="Arial" w:hAnsi="Arial" w:cs="Arial"/>
          <w:bCs/>
        </w:rPr>
      </w:pPr>
      <w:r>
        <w:rPr>
          <w:rFonts w:ascii="Arial" w:hAnsi="Arial" w:cs="Arial"/>
          <w:bCs/>
        </w:rPr>
        <w:t xml:space="preserve">La Dirección del BROU es responsable por la preparación y la razonable presentación de estos estados financieros de acuerdo con normas contables y los criterios de valuación y clasificación de riesgos crediticios dictados por el Banco Central del Uruguay (BCU) y con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 </w:t>
      </w:r>
    </w:p>
    <w:p w:rsidR="00052215" w:rsidRDefault="00052215" w:rsidP="007C1700">
      <w:pPr>
        <w:tabs>
          <w:tab w:val="left" w:pos="720"/>
        </w:tabs>
        <w:spacing w:line="360" w:lineRule="auto"/>
        <w:jc w:val="both"/>
        <w:rPr>
          <w:rFonts w:ascii="Arial" w:hAnsi="Arial" w:cs="Arial"/>
          <w:bCs/>
        </w:rPr>
      </w:pPr>
    </w:p>
    <w:p w:rsidR="00052215" w:rsidRDefault="00052215" w:rsidP="007C1700">
      <w:pPr>
        <w:spacing w:line="360" w:lineRule="auto"/>
        <w:jc w:val="both"/>
        <w:rPr>
          <w:rFonts w:ascii="Arial" w:hAnsi="Arial" w:cs="Arial"/>
          <w:b/>
          <w:bCs/>
        </w:rPr>
      </w:pPr>
      <w:r>
        <w:rPr>
          <w:rFonts w:ascii="Arial" w:hAnsi="Arial" w:cs="Arial"/>
          <w:b/>
          <w:bCs/>
        </w:rPr>
        <w:lastRenderedPageBreak/>
        <w:t>3. Responsabilidad del auditor</w:t>
      </w:r>
    </w:p>
    <w:p w:rsidR="00052215" w:rsidRDefault="00052215" w:rsidP="007C1700">
      <w:pPr>
        <w:spacing w:after="260" w:line="360" w:lineRule="auto"/>
        <w:ind w:firstLine="851"/>
        <w:jc w:val="both"/>
        <w:rPr>
          <w:rFonts w:ascii="Arial" w:hAnsi="Arial" w:cs="Arial"/>
        </w:rPr>
      </w:pPr>
      <w:r>
        <w:rPr>
          <w:rFonts w:ascii="Arial" w:hAnsi="Arial" w:cs="Arial"/>
        </w:rPr>
        <w:t xml:space="preserve">La responsabilidad del Tribunal de Cuentas es expresar una opinión sobre dichos estados financieros basada en la auditoría realizada. Esta auditoría fue practicada de acuerdo con 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 </w:t>
      </w:r>
    </w:p>
    <w:p w:rsidR="00052215" w:rsidRDefault="00052215" w:rsidP="007C1700">
      <w:pPr>
        <w:spacing w:after="260" w:line="360" w:lineRule="auto"/>
        <w:jc w:val="both"/>
        <w:rPr>
          <w:rFonts w:ascii="Arial" w:hAnsi="Arial" w:cs="Arial"/>
        </w:rPr>
      </w:pPr>
      <w:r>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052215" w:rsidRDefault="00052215" w:rsidP="007C1700">
      <w:pPr>
        <w:pStyle w:val="Textoindependiente"/>
        <w:spacing w:line="360" w:lineRule="auto"/>
        <w:rPr>
          <w:rFonts w:ascii="Arial" w:hAnsi="Arial" w:cs="Arial"/>
        </w:rPr>
      </w:pPr>
      <w:r>
        <w:rPr>
          <w:rFonts w:ascii="Arial" w:hAnsi="Arial" w:cs="Arial"/>
        </w:rPr>
        <w:t>Se considera que la evidencia de auditoría obtenida brinda una base suficiente y apropiada para sustentar la opinión.</w:t>
      </w:r>
    </w:p>
    <w:p w:rsidR="00052215" w:rsidRDefault="00052215" w:rsidP="007C1700">
      <w:pPr>
        <w:tabs>
          <w:tab w:val="left" w:pos="720"/>
        </w:tabs>
        <w:spacing w:line="360" w:lineRule="auto"/>
        <w:jc w:val="both"/>
        <w:rPr>
          <w:rFonts w:ascii="Arial" w:hAnsi="Arial" w:cs="Arial"/>
          <w:bCs/>
        </w:rPr>
      </w:pPr>
    </w:p>
    <w:p w:rsidR="00052215" w:rsidRDefault="00052215" w:rsidP="007C1700">
      <w:pPr>
        <w:spacing w:line="360" w:lineRule="auto"/>
        <w:jc w:val="both"/>
        <w:rPr>
          <w:rFonts w:ascii="Arial" w:hAnsi="Arial" w:cs="Arial"/>
          <w:b/>
          <w:bCs/>
        </w:rPr>
      </w:pPr>
      <w:r>
        <w:rPr>
          <w:rFonts w:ascii="Arial" w:hAnsi="Arial" w:cs="Arial"/>
          <w:b/>
          <w:bCs/>
        </w:rPr>
        <w:t>4. Opinión</w:t>
      </w:r>
    </w:p>
    <w:p w:rsidR="00052215" w:rsidRDefault="00052215" w:rsidP="007C1700">
      <w:pPr>
        <w:spacing w:line="360" w:lineRule="auto"/>
        <w:ind w:firstLine="851"/>
        <w:jc w:val="both"/>
        <w:rPr>
          <w:rFonts w:ascii="Arial" w:hAnsi="Arial" w:cs="Arial"/>
        </w:rPr>
      </w:pPr>
      <w:r>
        <w:rPr>
          <w:rFonts w:ascii="Arial" w:hAnsi="Arial" w:cs="Arial"/>
          <w:bCs/>
        </w:rPr>
        <w:t xml:space="preserve">En opinión del Tribunal de Cuentas, los estados financieros referidos precedentemente presentan razonablemente, en todos sus aspectos </w:t>
      </w:r>
      <w:r>
        <w:rPr>
          <w:rFonts w:ascii="Arial" w:hAnsi="Arial" w:cs="Arial"/>
          <w:bCs/>
        </w:rPr>
        <w:lastRenderedPageBreak/>
        <w:t>importantes, la situación</w:t>
      </w:r>
      <w:r>
        <w:rPr>
          <w:rFonts w:ascii="Arial" w:hAnsi="Arial" w:cs="Arial"/>
        </w:rPr>
        <w:t xml:space="preserve"> patrimonial del BROU al 31/12/2012, los resultados de sus operaciones y los flujos de efectivo correspondientes al ejercicio anual terminado en esa fecha, de acuerdo con las normas contables dictadas por el Banco Central del Uruguay (BCU) y con lo establecido en la Ordenanza 81 del Tribunal de Cuentas.</w:t>
      </w:r>
    </w:p>
    <w:p w:rsidR="00052215" w:rsidRDefault="00052215" w:rsidP="007C1700">
      <w:pPr>
        <w:tabs>
          <w:tab w:val="left" w:pos="709"/>
        </w:tabs>
        <w:spacing w:line="360" w:lineRule="auto"/>
        <w:jc w:val="both"/>
        <w:rPr>
          <w:rFonts w:ascii="Arial" w:hAnsi="Arial" w:cs="Arial"/>
        </w:rPr>
      </w:pPr>
    </w:p>
    <w:p w:rsidR="00052215" w:rsidRDefault="00052215" w:rsidP="007C1700">
      <w:pPr>
        <w:tabs>
          <w:tab w:val="left" w:pos="709"/>
        </w:tabs>
        <w:spacing w:line="360" w:lineRule="auto"/>
        <w:jc w:val="both"/>
        <w:rPr>
          <w:rFonts w:ascii="Arial" w:hAnsi="Arial" w:cs="Arial"/>
        </w:rPr>
      </w:pPr>
      <w:r>
        <w:rPr>
          <w:rFonts w:ascii="Arial" w:hAnsi="Arial" w:cs="Arial"/>
        </w:rPr>
        <w:t>Con relación a las disposiciones legales y reglamentarias vigentes relacionadas con los estados financieros que fueron objeto de examen en el transcurso de la auditoría, se expresa que no se han constatado incumplimientos.</w:t>
      </w:r>
    </w:p>
    <w:p w:rsidR="00052215" w:rsidRDefault="00052215" w:rsidP="007C1700">
      <w:pPr>
        <w:jc w:val="right"/>
        <w:rPr>
          <w:rFonts w:ascii="Arial" w:hAnsi="Arial" w:cs="Arial"/>
        </w:rPr>
      </w:pPr>
      <w:r>
        <w:rPr>
          <w:rFonts w:ascii="Arial" w:hAnsi="Arial" w:cs="Arial"/>
        </w:rPr>
        <w:t>Montevideo, 22 de julio de 2013</w:t>
      </w:r>
    </w:p>
    <w:p w:rsidR="00052215" w:rsidRDefault="00052215" w:rsidP="007C1700">
      <w:pPr>
        <w:jc w:val="right"/>
        <w:rPr>
          <w:rFonts w:ascii="Arial" w:hAnsi="Arial" w:cs="Arial"/>
        </w:rPr>
      </w:pPr>
    </w:p>
    <w:p w:rsidR="00052215" w:rsidRDefault="00052215" w:rsidP="007C1700">
      <w:pPr>
        <w:jc w:val="right"/>
        <w:rPr>
          <w:rFonts w:ascii="Arial" w:hAnsi="Arial" w:cs="Arial"/>
        </w:rPr>
      </w:pPr>
    </w:p>
    <w:p w:rsidR="00052215" w:rsidRDefault="00052215" w:rsidP="007C1700">
      <w:pPr>
        <w:jc w:val="right"/>
        <w:rPr>
          <w:rFonts w:ascii="Arial" w:hAnsi="Arial" w:cs="Arial"/>
        </w:rPr>
      </w:pPr>
    </w:p>
    <w:p w:rsidR="004D36BF" w:rsidRDefault="004D36BF" w:rsidP="0007613E">
      <w:pPr>
        <w:pStyle w:val="Ttulo5"/>
        <w:rPr>
          <w:rFonts w:ascii="Arial" w:hAnsi="Arial" w:cs="Arial"/>
          <w:b w:val="0"/>
          <w:szCs w:val="24"/>
          <w:u w:val="none"/>
        </w:rPr>
      </w:pPr>
    </w:p>
    <w:p w:rsidR="004D36BF" w:rsidRDefault="004D36BF" w:rsidP="0007613E">
      <w:pPr>
        <w:pStyle w:val="Ttulo5"/>
        <w:rPr>
          <w:rFonts w:ascii="Arial" w:hAnsi="Arial" w:cs="Arial"/>
          <w:iCs/>
          <w:u w:val="none"/>
        </w:rPr>
      </w:pPr>
      <w:r>
        <w:rPr>
          <w:rFonts w:ascii="Arial" w:hAnsi="Arial" w:cs="Arial"/>
          <w:iCs/>
          <w:u w:val="none"/>
        </w:rPr>
        <w:t xml:space="preserve">DICTAMEN </w:t>
      </w:r>
    </w:p>
    <w:p w:rsidR="004D36BF" w:rsidRDefault="004D36BF" w:rsidP="0007613E"/>
    <w:p w:rsidR="004D36BF" w:rsidRDefault="004D36BF" w:rsidP="0007613E">
      <w:pPr>
        <w:jc w:val="center"/>
        <w:rPr>
          <w:rFonts w:ascii="Arial" w:hAnsi="Arial" w:cs="Arial"/>
        </w:rPr>
      </w:pPr>
    </w:p>
    <w:p w:rsidR="004D36BF" w:rsidRDefault="004D36BF" w:rsidP="0007613E">
      <w:pPr>
        <w:spacing w:after="260" w:line="360" w:lineRule="auto"/>
        <w:jc w:val="both"/>
        <w:rPr>
          <w:rFonts w:ascii="Arial" w:hAnsi="Arial" w:cs="Arial"/>
        </w:rPr>
      </w:pPr>
      <w:r>
        <w:rPr>
          <w:rFonts w:ascii="Arial" w:hAnsi="Arial" w:cs="Arial"/>
          <w:b/>
          <w:bCs/>
        </w:rPr>
        <w:t>1</w:t>
      </w:r>
      <w:r>
        <w:rPr>
          <w:rFonts w:ascii="Arial" w:hAnsi="Arial" w:cs="Arial"/>
        </w:rPr>
        <w:t>. El Tribunal de Cuentas ha examinado los estados contables consolidados con sucursales en el exterior, subsidiarias y fideicomisos del Banco de la República Oriental del Uruguay (BROU) que se adjuntan. Dichos estados comprenden el Estado de Situación Patrimonial Consolidado al 31/12/2012, el correspondiente Estado de Resultados Consolidado por el Ejercicio anual finalizado en esa fecha, los Anexos y las notas de políticas contables significativas y otras notas explicativas.</w:t>
      </w:r>
      <w:r>
        <w:rPr>
          <w:rFonts w:ascii="Arial" w:hAnsi="Arial" w:cs="Arial"/>
          <w:color w:val="FF0000"/>
        </w:rPr>
        <w:t xml:space="preserve"> </w:t>
      </w:r>
    </w:p>
    <w:p w:rsidR="004D36BF" w:rsidRDefault="004D36BF" w:rsidP="0007613E">
      <w:pPr>
        <w:pStyle w:val="Textoindependiente"/>
        <w:tabs>
          <w:tab w:val="clear" w:pos="2410"/>
        </w:tabs>
        <w:spacing w:after="260" w:line="360" w:lineRule="auto"/>
        <w:rPr>
          <w:rFonts w:ascii="Arial" w:hAnsi="Arial" w:cs="Arial"/>
        </w:rPr>
      </w:pPr>
      <w:r>
        <w:rPr>
          <w:rFonts w:ascii="Arial" w:hAnsi="Arial" w:cs="Arial"/>
        </w:rPr>
        <w:t>El Tribunal de Cuentas también ha auditado el cumplimiento por parte del BROU de las disposiciones legales vigentes relacionadas con los estados financieros objeto de examen.</w:t>
      </w:r>
    </w:p>
    <w:p w:rsidR="004D36BF" w:rsidRDefault="004D36BF" w:rsidP="0007613E">
      <w:pPr>
        <w:spacing w:line="360" w:lineRule="auto"/>
        <w:jc w:val="both"/>
        <w:rPr>
          <w:rFonts w:ascii="Arial" w:hAnsi="Arial" w:cs="Arial"/>
          <w:b/>
        </w:rPr>
      </w:pPr>
      <w:r>
        <w:rPr>
          <w:rFonts w:ascii="Arial" w:hAnsi="Arial" w:cs="Arial"/>
          <w:b/>
        </w:rPr>
        <w:t>2. Responsabilidad de la Dirección por los estados financieros</w:t>
      </w:r>
    </w:p>
    <w:p w:rsidR="004D36BF" w:rsidRDefault="004D36BF" w:rsidP="0007613E">
      <w:pPr>
        <w:spacing w:after="260" w:line="360" w:lineRule="auto"/>
        <w:ind w:firstLine="851"/>
        <w:jc w:val="both"/>
        <w:rPr>
          <w:rFonts w:ascii="Arial" w:hAnsi="Arial" w:cs="Arial"/>
        </w:rPr>
      </w:pPr>
      <w:r>
        <w:rPr>
          <w:rFonts w:ascii="Arial" w:hAnsi="Arial" w:cs="Arial"/>
        </w:rPr>
        <w:t>La Dirección del BROU es responsable por la preparación y la razonable presentación de estos estados financieros de acuerdo con</w:t>
      </w:r>
      <w:r>
        <w:rPr>
          <w:rFonts w:ascii="Arial" w:hAnsi="Arial" w:cs="Arial"/>
          <w:bCs/>
        </w:rPr>
        <w:t xml:space="preserve"> normas contables y los criterios de valuación y clasificación de riesgos crediticios </w:t>
      </w:r>
      <w:r>
        <w:rPr>
          <w:rFonts w:ascii="Arial" w:hAnsi="Arial" w:cs="Arial"/>
          <w:bCs/>
        </w:rPr>
        <w:lastRenderedPageBreak/>
        <w:t>dictados por el Banco Central del Uruguay (BCU) y con la Ordenanza Nº 81 del Tribunal de Cuentas.</w:t>
      </w:r>
      <w:r>
        <w:rPr>
          <w:rFonts w:ascii="Arial" w:hAnsi="Arial" w:cs="Arial"/>
          <w:bCs/>
          <w:color w:val="FF0000"/>
        </w:rPr>
        <w:t xml:space="preserve"> </w:t>
      </w:r>
      <w:r>
        <w:rPr>
          <w:rFonts w:ascii="Arial" w:hAnsi="Arial"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4D36BF" w:rsidRDefault="004D36BF" w:rsidP="0007613E">
      <w:pPr>
        <w:spacing w:line="360" w:lineRule="auto"/>
        <w:jc w:val="both"/>
        <w:rPr>
          <w:rFonts w:ascii="Arial" w:hAnsi="Arial" w:cs="Arial"/>
          <w:b/>
        </w:rPr>
      </w:pPr>
      <w:r>
        <w:rPr>
          <w:rFonts w:ascii="Arial" w:hAnsi="Arial" w:cs="Arial"/>
          <w:b/>
        </w:rPr>
        <w:t>3. Responsabilidad del auditor</w:t>
      </w:r>
    </w:p>
    <w:p w:rsidR="004D36BF" w:rsidRDefault="004D36BF" w:rsidP="0007613E">
      <w:pPr>
        <w:spacing w:after="260" w:line="360" w:lineRule="auto"/>
        <w:ind w:firstLine="851"/>
        <w:jc w:val="both"/>
        <w:rPr>
          <w:rFonts w:ascii="Arial" w:hAnsi="Arial" w:cs="Arial"/>
        </w:rPr>
      </w:pPr>
      <w:r>
        <w:rPr>
          <w:rFonts w:ascii="Arial" w:hAnsi="Arial" w:cs="Arial"/>
        </w:rPr>
        <w:t>La responsabilidad del Tribunal de Cuentas es expresar una opinión sobre dichos estados financieros basada en la auditoría realizada. Esta auditoría fue practicada de acuerdo con</w:t>
      </w:r>
      <w:r>
        <w:rPr>
          <w:rFonts w:ascii="Arial" w:hAnsi="Arial" w:cs="Arial"/>
          <w:color w:val="FF0000"/>
        </w:rPr>
        <w:t xml:space="preserve"> </w:t>
      </w:r>
      <w:r>
        <w:rPr>
          <w:rFonts w:ascii="Arial" w:hAnsi="Arial" w:cs="Arial"/>
        </w:rPr>
        <w:t xml:space="preserve">Principios Fundamentales de Auditoría (ISSAI  100, 200, 300 y 400) y las Directrices de Auditoría Financiera (ISSAI 1000 a 2999) de la Organización Internacional de Entidades Fiscalizadoras Superiores (INTOSAI). Estas normas requieren que se cumpla con requisitos éticos, se planifique y se realice la auditoría para obtener seguridad razonable acerca de si los estados financieros están libres de errores significativos. </w:t>
      </w:r>
    </w:p>
    <w:p w:rsidR="004D36BF" w:rsidRDefault="004D36BF" w:rsidP="0007613E">
      <w:pPr>
        <w:spacing w:after="260" w:line="360" w:lineRule="auto"/>
        <w:jc w:val="both"/>
        <w:rPr>
          <w:rFonts w:ascii="Arial" w:hAnsi="Arial" w:cs="Arial"/>
        </w:rPr>
      </w:pPr>
      <w:r>
        <w:rPr>
          <w:rFonts w:ascii="Arial" w:hAnsi="Arial" w:cs="Arial"/>
        </w:rPr>
        <w:t xml:space="preserve">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w:t>
      </w:r>
      <w:r>
        <w:rPr>
          <w:rFonts w:ascii="Arial" w:hAnsi="Arial" w:cs="Arial"/>
        </w:rPr>
        <w:lastRenderedPageBreak/>
        <w:t>estimaciones contables realizadas por la Dirección, así como evaluar la presentación general de los estados financieros.</w:t>
      </w:r>
    </w:p>
    <w:p w:rsidR="004D36BF" w:rsidRDefault="004D36BF" w:rsidP="0007613E">
      <w:pPr>
        <w:spacing w:after="260" w:line="360" w:lineRule="auto"/>
        <w:jc w:val="both"/>
        <w:rPr>
          <w:rFonts w:ascii="Arial" w:hAnsi="Arial" w:cs="Arial"/>
          <w:b/>
        </w:rPr>
      </w:pPr>
      <w:r>
        <w:rPr>
          <w:rFonts w:ascii="Arial" w:hAnsi="Arial" w:cs="Arial"/>
        </w:rPr>
        <w:t>Se considera que la evidencia de auditoría obtenida brinda una base suficiente y apropiada para sustentar la opinión.</w:t>
      </w:r>
    </w:p>
    <w:p w:rsidR="004D36BF" w:rsidRDefault="004D36BF" w:rsidP="0007613E">
      <w:pPr>
        <w:spacing w:line="360" w:lineRule="auto"/>
        <w:jc w:val="both"/>
        <w:rPr>
          <w:rFonts w:ascii="Arial" w:hAnsi="Arial" w:cs="Arial"/>
          <w:b/>
        </w:rPr>
      </w:pPr>
      <w:r>
        <w:rPr>
          <w:rFonts w:ascii="Arial" w:hAnsi="Arial" w:cs="Arial"/>
          <w:b/>
        </w:rPr>
        <w:t>4. Opinión</w:t>
      </w:r>
    </w:p>
    <w:p w:rsidR="004D36BF" w:rsidRDefault="004D36BF" w:rsidP="0007613E">
      <w:pPr>
        <w:tabs>
          <w:tab w:val="left" w:pos="709"/>
        </w:tabs>
        <w:spacing w:line="360" w:lineRule="auto"/>
        <w:ind w:firstLine="851"/>
        <w:jc w:val="both"/>
        <w:rPr>
          <w:rFonts w:ascii="Arial" w:hAnsi="Arial" w:cs="Arial"/>
        </w:rPr>
      </w:pPr>
      <w:r>
        <w:rPr>
          <w:rFonts w:ascii="Arial" w:hAnsi="Arial" w:cs="Arial"/>
        </w:rPr>
        <w:t>En opinión del Tribunal de Cuentas los estados financieros consolidados referidos precedentemente presentan razonablemente, en todos sus aspectos importantes, la situación patrimonial consolidada del BROU</w:t>
      </w:r>
      <w:r>
        <w:rPr>
          <w:rFonts w:ascii="Arial" w:hAnsi="Arial" w:cs="Arial"/>
          <w:i/>
        </w:rPr>
        <w:t xml:space="preserve"> </w:t>
      </w:r>
      <w:r>
        <w:rPr>
          <w:rFonts w:ascii="Arial" w:hAnsi="Arial" w:cs="Arial"/>
        </w:rPr>
        <w:t>al 31/12/2012 y los resultados consolidados de sus operaciones por el Ejercicio anual terminado en esa fecha, de acuerdo con normas contables dictadas por el Banco Central del Uruguay (BCU) y con lo establecido en la Ordenanza 81 del Tribunal de Cuentas.</w:t>
      </w:r>
    </w:p>
    <w:p w:rsidR="004D36BF" w:rsidRDefault="004D36BF" w:rsidP="0007613E">
      <w:pPr>
        <w:tabs>
          <w:tab w:val="left" w:pos="709"/>
        </w:tabs>
        <w:spacing w:line="360" w:lineRule="auto"/>
        <w:jc w:val="both"/>
        <w:rPr>
          <w:rFonts w:ascii="Arial" w:hAnsi="Arial" w:cs="Arial"/>
          <w:color w:val="FF0000"/>
          <w:sz w:val="16"/>
        </w:rPr>
      </w:pPr>
    </w:p>
    <w:p w:rsidR="004D36BF" w:rsidRDefault="004D36BF" w:rsidP="0007613E">
      <w:pPr>
        <w:tabs>
          <w:tab w:val="left" w:pos="709"/>
        </w:tabs>
        <w:spacing w:line="360" w:lineRule="auto"/>
        <w:jc w:val="both"/>
      </w:pPr>
      <w:r>
        <w:rPr>
          <w:rFonts w:ascii="Arial" w:hAnsi="Arial" w:cs="Arial"/>
        </w:rPr>
        <w:t>Con relación a las disposiciones legales y reglamentarias relacionadas con los estados financieros consolidados que fueron objeto de examen en el transcurso de la auditoría, no se cumplió con el Artículo 13 de la Ordenanza 81 del Tribunal de Cuentas dado que el Organismo no presentó el Estado de Origen y Aplicación de Fondos ni el Estado de Evolución del Patrimonio consolidados.</w:t>
      </w:r>
    </w:p>
    <w:p w:rsidR="004D36BF" w:rsidRDefault="004D36BF" w:rsidP="0007613E">
      <w:pPr>
        <w:jc w:val="right"/>
        <w:rPr>
          <w:rFonts w:ascii="Arial" w:hAnsi="Arial" w:cs="Arial"/>
        </w:rPr>
      </w:pPr>
      <w:r>
        <w:rPr>
          <w:rFonts w:ascii="Arial" w:hAnsi="Arial" w:cs="Arial"/>
        </w:rPr>
        <w:t>Montevideo, 22 de julio de 2013</w:t>
      </w:r>
    </w:p>
    <w:p w:rsidR="004D36BF" w:rsidRDefault="004D36BF" w:rsidP="0007613E">
      <w:pPr>
        <w:jc w:val="right"/>
        <w:rPr>
          <w:rFonts w:ascii="Arial" w:hAnsi="Arial" w:cs="Arial"/>
        </w:rPr>
      </w:pPr>
    </w:p>
    <w:p w:rsidR="00314B68" w:rsidRDefault="00314B68" w:rsidP="0007613E">
      <w:pPr>
        <w:jc w:val="right"/>
        <w:rPr>
          <w:rFonts w:ascii="Arial" w:hAnsi="Arial" w:cs="Arial"/>
        </w:rPr>
      </w:pPr>
    </w:p>
    <w:p w:rsidR="004D36BF" w:rsidRDefault="004D36BF" w:rsidP="0007613E">
      <w:pPr>
        <w:jc w:val="right"/>
        <w:rPr>
          <w:rFonts w:ascii="Arial" w:hAnsi="Arial" w:cs="Arial"/>
        </w:rPr>
      </w:pPr>
    </w:p>
    <w:p w:rsidR="00052215" w:rsidRDefault="00052215" w:rsidP="0024498E">
      <w:pPr>
        <w:pStyle w:val="Ttulo"/>
        <w:spacing w:line="360" w:lineRule="auto"/>
      </w:pPr>
      <w:r>
        <w:t>INFORME A LA ADMINISTRACIÓN</w:t>
      </w:r>
    </w:p>
    <w:p w:rsidR="00052215" w:rsidRDefault="00052215" w:rsidP="0024498E">
      <w:pPr>
        <w:spacing w:line="360" w:lineRule="auto"/>
        <w:jc w:val="both"/>
        <w:rPr>
          <w:rFonts w:ascii="Arial" w:hAnsi="Arial" w:cs="Arial"/>
        </w:rPr>
      </w:pPr>
    </w:p>
    <w:p w:rsidR="00052215" w:rsidRPr="0024498E" w:rsidRDefault="00052215" w:rsidP="0024498E">
      <w:pPr>
        <w:pStyle w:val="Sangra3detindependiente"/>
        <w:spacing w:after="0" w:line="360" w:lineRule="auto"/>
        <w:ind w:left="0" w:firstLine="851"/>
        <w:jc w:val="both"/>
        <w:rPr>
          <w:rFonts w:ascii="Arial" w:hAnsi="Arial" w:cs="Arial"/>
          <w:sz w:val="24"/>
          <w:szCs w:val="24"/>
        </w:rPr>
      </w:pPr>
      <w:r w:rsidRPr="0024498E">
        <w:rPr>
          <w:rFonts w:ascii="Arial" w:hAnsi="Arial" w:cs="Arial"/>
          <w:sz w:val="24"/>
          <w:szCs w:val="24"/>
        </w:rPr>
        <w:t xml:space="preserve">El Tribunal de Cuentas ha examinado los estados financieros individuales y consolidados del Banco de la República Oriental del Uruguay (BROU) correspondientes al </w:t>
      </w:r>
      <w:r>
        <w:rPr>
          <w:rFonts w:ascii="Arial" w:hAnsi="Arial" w:cs="Arial"/>
          <w:sz w:val="24"/>
          <w:szCs w:val="24"/>
        </w:rPr>
        <w:t>Ejercicio</w:t>
      </w:r>
      <w:r w:rsidRPr="0024498E">
        <w:rPr>
          <w:rFonts w:ascii="Arial" w:hAnsi="Arial" w:cs="Arial"/>
          <w:sz w:val="24"/>
          <w:szCs w:val="24"/>
        </w:rPr>
        <w:t xml:space="preserve"> finalizado el 31/12/2012 y ha emitido sus Dictámenes. </w:t>
      </w:r>
    </w:p>
    <w:p w:rsidR="00052215" w:rsidRPr="0024498E" w:rsidRDefault="00052215" w:rsidP="0024498E">
      <w:pPr>
        <w:pStyle w:val="Textoindependiente"/>
        <w:tabs>
          <w:tab w:val="clear" w:pos="2410"/>
        </w:tabs>
        <w:spacing w:line="360" w:lineRule="auto"/>
        <w:rPr>
          <w:rFonts w:ascii="Arial" w:hAnsi="Arial" w:cs="Arial"/>
          <w:szCs w:val="24"/>
        </w:rPr>
      </w:pPr>
      <w:r w:rsidRPr="0024498E">
        <w:rPr>
          <w:rFonts w:ascii="Arial" w:hAnsi="Arial" w:cs="Arial"/>
          <w:szCs w:val="24"/>
        </w:rPr>
        <w:t xml:space="preserve">En este Capítulo del Informe se agregan consideraciones vinculadas a la presentación de dichos estados y la evaluación del sistema de control interno. </w:t>
      </w:r>
      <w:r w:rsidRPr="0024498E">
        <w:rPr>
          <w:rFonts w:ascii="Arial" w:hAnsi="Arial" w:cs="Arial"/>
          <w:szCs w:val="24"/>
        </w:rPr>
        <w:lastRenderedPageBreak/>
        <w:t xml:space="preserve">También se incluyen las principales recomendaciones que deberá atender el Organismo a efectos de corregir las deficiencias constatadas en el examen practicado y se formula una evaluación del cumplimiento de las recomendaciones realizadas en el Informe de Auditoría del </w:t>
      </w:r>
      <w:r>
        <w:rPr>
          <w:rFonts w:ascii="Arial" w:hAnsi="Arial" w:cs="Arial"/>
          <w:szCs w:val="24"/>
        </w:rPr>
        <w:t>Ejercicio</w:t>
      </w:r>
      <w:r w:rsidRPr="0024498E">
        <w:rPr>
          <w:rFonts w:ascii="Arial" w:hAnsi="Arial" w:cs="Arial"/>
          <w:szCs w:val="24"/>
        </w:rPr>
        <w:t xml:space="preserve"> anterior.</w:t>
      </w:r>
    </w:p>
    <w:p w:rsidR="00052215" w:rsidRPr="0024498E" w:rsidRDefault="00052215" w:rsidP="0024498E">
      <w:pPr>
        <w:pStyle w:val="Textoindependiente"/>
        <w:tabs>
          <w:tab w:val="clear" w:pos="2410"/>
        </w:tabs>
        <w:spacing w:line="360" w:lineRule="auto"/>
        <w:rPr>
          <w:rFonts w:ascii="Arial" w:hAnsi="Arial" w:cs="Arial"/>
          <w:szCs w:val="24"/>
        </w:rPr>
      </w:pPr>
    </w:p>
    <w:p w:rsidR="00052215" w:rsidRDefault="00052215" w:rsidP="0024498E">
      <w:pPr>
        <w:pStyle w:val="Sangradetextonormal"/>
        <w:numPr>
          <w:ilvl w:val="0"/>
          <w:numId w:val="1"/>
        </w:numPr>
        <w:spacing w:after="0" w:line="360" w:lineRule="auto"/>
        <w:jc w:val="both"/>
        <w:rPr>
          <w:rFonts w:ascii="Arial" w:hAnsi="Arial"/>
          <w:b/>
        </w:rPr>
      </w:pPr>
      <w:r>
        <w:rPr>
          <w:rFonts w:ascii="Arial" w:hAnsi="Arial"/>
          <w:b/>
        </w:rPr>
        <w:t>Presentación de Estados Financieros</w:t>
      </w:r>
    </w:p>
    <w:p w:rsidR="00052215" w:rsidRDefault="00052215" w:rsidP="0024498E">
      <w:pPr>
        <w:pStyle w:val="Textoindependiente"/>
        <w:tabs>
          <w:tab w:val="clear" w:pos="2410"/>
        </w:tabs>
        <w:spacing w:line="360" w:lineRule="auto"/>
        <w:ind w:firstLine="851"/>
        <w:rPr>
          <w:rFonts w:ascii="Arial" w:hAnsi="Arial"/>
        </w:rPr>
      </w:pPr>
      <w:r>
        <w:rPr>
          <w:rFonts w:ascii="Arial" w:hAnsi="Arial"/>
        </w:rPr>
        <w:t xml:space="preserve">El BROU remitió a este Tribunal con fecha 04/02/2013, el Estado de Situación Patrimonial al 31/12/2012, el Estado de Resultados por el Ejercicio anual finalizado en esa fecha y sus correspondientes notas, aprobados por Resolución de Directorio de fecha 31/01/2013 según consta en Testimonio del Acta Nº 20.529. </w:t>
      </w:r>
    </w:p>
    <w:p w:rsidR="00052215" w:rsidRPr="0024498E" w:rsidRDefault="00052215" w:rsidP="0024498E">
      <w:pPr>
        <w:pStyle w:val="Textoindependiente"/>
        <w:tabs>
          <w:tab w:val="clear" w:pos="2410"/>
        </w:tabs>
        <w:spacing w:line="360" w:lineRule="auto"/>
        <w:ind w:firstLine="851"/>
        <w:rPr>
          <w:rFonts w:ascii="Arial" w:hAnsi="Arial"/>
        </w:rPr>
      </w:pPr>
    </w:p>
    <w:p w:rsidR="00052215" w:rsidRDefault="00052215" w:rsidP="0024498E">
      <w:pPr>
        <w:pStyle w:val="Textoindependiente"/>
        <w:tabs>
          <w:tab w:val="clear" w:pos="2410"/>
        </w:tabs>
        <w:spacing w:line="360" w:lineRule="auto"/>
        <w:rPr>
          <w:rFonts w:ascii="Arial" w:hAnsi="Arial"/>
        </w:rPr>
      </w:pPr>
      <w:r>
        <w:rPr>
          <w:rFonts w:ascii="Arial" w:hAnsi="Arial"/>
        </w:rPr>
        <w:t xml:space="preserve">Con fecha 22/03/2013 se remitieron los Estados Contables elaborados de acuerdo al Artículo 476 de la Recopilación de Normas de Regulación y Control del Sistema Financiero (RNRCSF) y la Comunicación 2008/222 del Banco Central del Uruguay (BCU), Carta de Representación del Organismo, Estado de Evolución del Patrimonio, Cuadro de Bienes de Uso, Estado de Origen y Aplicación de Fondos y Comparativos 2012-2011 de los Estados de Situación Patrimonial, de Resultados y de Origen y Aplicación de Fondos, de acuerdo a lo establecido en la Ordenanza 81. También se remitieron los Estados Contables Consolidados con sucursales en el exterior, subsidiarias y fideicomisos, los cuales comprenden el </w:t>
      </w:r>
      <w:r>
        <w:rPr>
          <w:rFonts w:ascii="Arial" w:hAnsi="Arial" w:cs="Arial"/>
        </w:rPr>
        <w:t>Estado de Situación Patrimonial Consolidado al 31/12/2012, Estado de Resultados Consolidado por el Ejercicio finalizado en esa fecha, anexo conteniendo el detalle de las eliminaciones realizadas en el proceso de consolidación y notas complementarias</w:t>
      </w:r>
      <w:r>
        <w:rPr>
          <w:rFonts w:ascii="Arial" w:hAnsi="Arial"/>
        </w:rPr>
        <w:t>. No se presentó</w:t>
      </w:r>
      <w:r>
        <w:rPr>
          <w:rFonts w:ascii="Arial" w:hAnsi="Arial" w:cs="Arial"/>
        </w:rPr>
        <w:t xml:space="preserve"> el Estado de Origen y Aplicación de Fondos ni el Estado de Evolución del Patrimonio consolidados de acuerdo a lo indicado en el Artículo 13 de la Ordenanza 81.</w:t>
      </w:r>
    </w:p>
    <w:p w:rsidR="00052215" w:rsidRDefault="00052215" w:rsidP="0024498E">
      <w:pPr>
        <w:spacing w:line="360" w:lineRule="auto"/>
        <w:jc w:val="both"/>
        <w:rPr>
          <w:rFonts w:ascii="Arial" w:hAnsi="Arial" w:cs="Arial"/>
        </w:rPr>
      </w:pPr>
      <w:r>
        <w:rPr>
          <w:rFonts w:ascii="Arial" w:hAnsi="Arial" w:cs="Arial"/>
        </w:rPr>
        <w:lastRenderedPageBreak/>
        <w:t xml:space="preserve">Las entidades con las que se ha realizado la consolidación son las sucursales Nueva York, San Pablo, Buenos Aires y Asunción, República AFAP S.A., República AFISA, República </w:t>
      </w:r>
      <w:proofErr w:type="spellStart"/>
      <w:r>
        <w:rPr>
          <w:rFonts w:ascii="Arial" w:hAnsi="Arial" w:cs="Arial"/>
        </w:rPr>
        <w:t>Microfinanzas</w:t>
      </w:r>
      <w:proofErr w:type="spellEnd"/>
      <w:r>
        <w:rPr>
          <w:rFonts w:ascii="Arial" w:hAnsi="Arial" w:cs="Arial"/>
        </w:rPr>
        <w:t xml:space="preserve"> </w:t>
      </w:r>
      <w:r>
        <w:rPr>
          <w:rFonts w:ascii="Arial" w:hAnsi="Arial" w:cs="Arial"/>
          <w:iCs/>
        </w:rPr>
        <w:t>S.A</w:t>
      </w:r>
      <w:r>
        <w:rPr>
          <w:rFonts w:ascii="Arial" w:hAnsi="Arial" w:cs="Arial"/>
        </w:rPr>
        <w:t>. y los Fideicomisos.</w:t>
      </w:r>
      <w:r>
        <w:rPr>
          <w:rFonts w:ascii="Arial" w:hAnsi="Arial" w:cs="Arial"/>
          <w:iCs/>
        </w:rPr>
        <w:t xml:space="preserve"> </w:t>
      </w:r>
      <w:r>
        <w:rPr>
          <w:rFonts w:ascii="Arial" w:hAnsi="Arial" w:cs="Arial"/>
        </w:rPr>
        <w:t>Con respecto a la subsidiaria República AFAP S.A., ésta imputa la totalidad de los cambios en el valor razonable de sus inversiones directamente a resultados. Dado que el Banco ha clasificado dichas inversiones como disponibles para la venta, estos cambios de valor debieron ser imputados directamente a Patrimonio según se expone en la Nota 2 a los Estados Contables Consolidados. La situación mencionada anteriormente no tiene efecto material en los estados financieros consolidados.</w:t>
      </w:r>
    </w:p>
    <w:p w:rsidR="00052215" w:rsidRDefault="00052215" w:rsidP="0024498E">
      <w:pPr>
        <w:pStyle w:val="Textoindependiente"/>
        <w:tabs>
          <w:tab w:val="clear" w:pos="2410"/>
        </w:tabs>
        <w:spacing w:line="360" w:lineRule="auto"/>
        <w:rPr>
          <w:rFonts w:ascii="Arial" w:hAnsi="Arial"/>
        </w:rPr>
      </w:pPr>
      <w:r>
        <w:rPr>
          <w:rFonts w:ascii="Arial" w:hAnsi="Arial"/>
        </w:rPr>
        <w:t xml:space="preserve">En este Ejercicio no se efectuó el ajuste por inflación de acuerdo a lo establecido en la Comunicación del BCU Nº 2010/021, según se expresa en la Nota 3.21.3. </w:t>
      </w:r>
    </w:p>
    <w:p w:rsidR="00052215" w:rsidRDefault="00052215" w:rsidP="0024498E">
      <w:pPr>
        <w:pStyle w:val="Textoindependiente"/>
        <w:tabs>
          <w:tab w:val="clear" w:pos="2410"/>
        </w:tabs>
        <w:spacing w:line="360" w:lineRule="auto"/>
        <w:rPr>
          <w:rFonts w:ascii="Arial" w:hAnsi="Arial"/>
        </w:rPr>
      </w:pPr>
    </w:p>
    <w:p w:rsidR="00052215" w:rsidRPr="0024498E" w:rsidRDefault="00052215" w:rsidP="0024498E">
      <w:pPr>
        <w:pStyle w:val="Sangradetextonormal"/>
        <w:numPr>
          <w:ilvl w:val="0"/>
          <w:numId w:val="1"/>
        </w:numPr>
        <w:spacing w:after="0" w:line="360" w:lineRule="auto"/>
        <w:jc w:val="both"/>
        <w:rPr>
          <w:rFonts w:ascii="Arial" w:hAnsi="Arial" w:cs="Arial"/>
          <w:b/>
        </w:rPr>
      </w:pPr>
      <w:r w:rsidRPr="0024498E">
        <w:rPr>
          <w:rFonts w:ascii="Arial" w:hAnsi="Arial" w:cs="Arial"/>
          <w:b/>
        </w:rPr>
        <w:t xml:space="preserve">Evaluación del Sistema de Control Interno </w:t>
      </w:r>
    </w:p>
    <w:p w:rsidR="00052215" w:rsidRPr="0024498E" w:rsidRDefault="00052215" w:rsidP="0024498E">
      <w:pPr>
        <w:pStyle w:val="Sangra2detindependiente"/>
        <w:widowControl w:val="0"/>
        <w:spacing w:after="0" w:line="360" w:lineRule="auto"/>
        <w:ind w:left="0" w:firstLine="851"/>
        <w:jc w:val="both"/>
        <w:rPr>
          <w:rFonts w:ascii="Arial" w:hAnsi="Arial" w:cs="Arial"/>
        </w:rPr>
      </w:pPr>
      <w:r w:rsidRPr="0024498E">
        <w:rPr>
          <w:rFonts w:ascii="Arial" w:hAnsi="Arial" w:cs="Arial"/>
        </w:rPr>
        <w:t xml:space="preserve">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practicada. </w:t>
      </w:r>
    </w:p>
    <w:p w:rsidR="00052215" w:rsidRPr="0024498E" w:rsidRDefault="00052215" w:rsidP="0024498E">
      <w:pPr>
        <w:pStyle w:val="Textoindependiente"/>
        <w:tabs>
          <w:tab w:val="clear" w:pos="2410"/>
        </w:tabs>
        <w:spacing w:line="360" w:lineRule="auto"/>
        <w:rPr>
          <w:rFonts w:ascii="Arial" w:hAnsi="Arial" w:cs="Arial"/>
        </w:rPr>
      </w:pPr>
      <w:r w:rsidRPr="0024498E">
        <w:rPr>
          <w:rFonts w:ascii="Arial" w:hAnsi="Arial" w:cs="Arial"/>
        </w:rPr>
        <w:t>Del examen efectuado se concluye que el sistema de control interno diseñado e implementado para preparar la información sujeta a examen es confiable.</w:t>
      </w:r>
    </w:p>
    <w:p w:rsidR="00052215" w:rsidRPr="0024498E" w:rsidRDefault="00052215" w:rsidP="0024498E">
      <w:pPr>
        <w:pStyle w:val="Textoindependiente"/>
        <w:tabs>
          <w:tab w:val="clear" w:pos="2410"/>
        </w:tabs>
        <w:spacing w:line="360" w:lineRule="auto"/>
        <w:rPr>
          <w:rFonts w:ascii="Arial" w:hAnsi="Arial" w:cs="Arial"/>
        </w:rPr>
      </w:pPr>
    </w:p>
    <w:p w:rsidR="00052215" w:rsidRPr="0024498E" w:rsidRDefault="00052215" w:rsidP="0024498E">
      <w:pPr>
        <w:pStyle w:val="Textoindependiente"/>
        <w:tabs>
          <w:tab w:val="clear" w:pos="2410"/>
        </w:tabs>
        <w:spacing w:line="360" w:lineRule="auto"/>
        <w:rPr>
          <w:rFonts w:ascii="Arial" w:hAnsi="Arial" w:cs="Arial"/>
          <w:b/>
          <w:bCs/>
        </w:rPr>
      </w:pPr>
      <w:r w:rsidRPr="0024498E">
        <w:rPr>
          <w:rFonts w:ascii="Arial" w:hAnsi="Arial" w:cs="Arial"/>
          <w:b/>
          <w:bCs/>
        </w:rPr>
        <w:t>3. Artículo 30 del Estatuto del Funcionario</w:t>
      </w:r>
    </w:p>
    <w:p w:rsidR="00052215" w:rsidRPr="0024498E" w:rsidRDefault="00052215" w:rsidP="0024498E">
      <w:pPr>
        <w:pStyle w:val="Textoindependiente"/>
        <w:tabs>
          <w:tab w:val="clear" w:pos="2410"/>
        </w:tabs>
        <w:spacing w:line="360" w:lineRule="auto"/>
        <w:ind w:firstLine="851"/>
        <w:rPr>
          <w:rFonts w:ascii="Arial" w:hAnsi="Arial" w:cs="Arial"/>
        </w:rPr>
      </w:pPr>
      <w:r w:rsidRPr="0024498E">
        <w:rPr>
          <w:rFonts w:ascii="Arial" w:hAnsi="Arial" w:cs="Arial"/>
        </w:rPr>
        <w:t xml:space="preserve">En el </w:t>
      </w:r>
      <w:r>
        <w:rPr>
          <w:rFonts w:ascii="Arial" w:hAnsi="Arial" w:cs="Arial"/>
        </w:rPr>
        <w:t>Ejercicio</w:t>
      </w:r>
      <w:r w:rsidRPr="0024498E">
        <w:rPr>
          <w:rFonts w:ascii="Arial" w:hAnsi="Arial" w:cs="Arial"/>
        </w:rPr>
        <w:t xml:space="preserve"> 2012 se han verificado los extremos previstos en el inciso primero del Artículo 30 del Estatuto del Funcionario para el pago de la asignación extraordinaria prevista en dicha norma.</w:t>
      </w:r>
    </w:p>
    <w:p w:rsidR="00314B68" w:rsidRDefault="00314B68" w:rsidP="0024498E">
      <w:pPr>
        <w:pStyle w:val="Textosinformato"/>
        <w:spacing w:line="360" w:lineRule="auto"/>
        <w:jc w:val="both"/>
        <w:rPr>
          <w:rFonts w:ascii="Arial" w:hAnsi="Arial" w:cs="Arial"/>
          <w:b w:val="0"/>
          <w:color w:val="auto"/>
          <w:sz w:val="24"/>
          <w:szCs w:val="24"/>
        </w:rPr>
      </w:pPr>
    </w:p>
    <w:p w:rsidR="00052215" w:rsidRPr="0024498E" w:rsidRDefault="00052215" w:rsidP="0024498E">
      <w:pPr>
        <w:pStyle w:val="Textosinformato"/>
        <w:spacing w:line="360" w:lineRule="auto"/>
        <w:jc w:val="both"/>
        <w:rPr>
          <w:rFonts w:ascii="Arial" w:hAnsi="Arial" w:cs="Arial"/>
          <w:b w:val="0"/>
          <w:color w:val="auto"/>
          <w:sz w:val="24"/>
          <w:szCs w:val="24"/>
        </w:rPr>
      </w:pPr>
      <w:r w:rsidRPr="0024498E">
        <w:rPr>
          <w:rFonts w:ascii="Arial" w:hAnsi="Arial" w:cs="Arial"/>
          <w:b w:val="0"/>
          <w:color w:val="auto"/>
          <w:sz w:val="24"/>
          <w:szCs w:val="24"/>
        </w:rPr>
        <w:t xml:space="preserve"> </w:t>
      </w:r>
    </w:p>
    <w:p w:rsidR="00052215" w:rsidRPr="0024498E" w:rsidRDefault="00052215" w:rsidP="0024498E">
      <w:pPr>
        <w:pStyle w:val="Textosinformato"/>
        <w:spacing w:line="360" w:lineRule="auto"/>
        <w:jc w:val="both"/>
        <w:rPr>
          <w:rFonts w:ascii="Arial" w:hAnsi="Arial" w:cs="Arial"/>
          <w:bCs w:val="0"/>
          <w:color w:val="auto"/>
          <w:sz w:val="24"/>
          <w:szCs w:val="24"/>
        </w:rPr>
      </w:pPr>
      <w:r w:rsidRPr="0024498E">
        <w:rPr>
          <w:rFonts w:ascii="Arial" w:hAnsi="Arial" w:cs="Arial"/>
          <w:bCs w:val="0"/>
          <w:color w:val="auto"/>
          <w:sz w:val="24"/>
          <w:szCs w:val="24"/>
        </w:rPr>
        <w:lastRenderedPageBreak/>
        <w:t>4. Otras consideraciones</w:t>
      </w:r>
    </w:p>
    <w:p w:rsidR="00052215" w:rsidRPr="0024498E" w:rsidRDefault="00052215" w:rsidP="0024498E">
      <w:pPr>
        <w:pStyle w:val="Textosinformato"/>
        <w:spacing w:line="360" w:lineRule="auto"/>
        <w:ind w:firstLine="851"/>
        <w:jc w:val="both"/>
        <w:rPr>
          <w:rFonts w:ascii="Arial" w:hAnsi="Arial" w:cs="Arial"/>
          <w:b w:val="0"/>
          <w:color w:val="auto"/>
          <w:sz w:val="24"/>
          <w:szCs w:val="24"/>
        </w:rPr>
      </w:pPr>
      <w:r w:rsidRPr="0024498E">
        <w:rPr>
          <w:rFonts w:ascii="Arial" w:hAnsi="Arial" w:cs="Arial"/>
          <w:b w:val="0"/>
          <w:color w:val="auto"/>
          <w:sz w:val="24"/>
          <w:szCs w:val="24"/>
        </w:rPr>
        <w:t xml:space="preserve">Se ha solicitado información al BROU respecto de comunicaciones del Banco Central del Uruguay al Banco República durante el </w:t>
      </w:r>
      <w:r>
        <w:rPr>
          <w:rFonts w:ascii="Arial" w:hAnsi="Arial" w:cs="Arial"/>
          <w:b w:val="0"/>
          <w:color w:val="auto"/>
          <w:sz w:val="24"/>
          <w:szCs w:val="24"/>
        </w:rPr>
        <w:t>Ejercicio</w:t>
      </w:r>
      <w:r w:rsidRPr="0024498E">
        <w:rPr>
          <w:rFonts w:ascii="Arial" w:hAnsi="Arial" w:cs="Arial"/>
          <w:b w:val="0"/>
          <w:color w:val="auto"/>
          <w:sz w:val="24"/>
          <w:szCs w:val="24"/>
        </w:rPr>
        <w:t xml:space="preserve"> 2012.  Dicha información fue solicitada asimismo al BCU.</w:t>
      </w:r>
    </w:p>
    <w:p w:rsidR="00052215" w:rsidRPr="0024498E" w:rsidRDefault="00052215" w:rsidP="0024498E">
      <w:pPr>
        <w:pStyle w:val="Textosinformato"/>
        <w:spacing w:line="360" w:lineRule="auto"/>
        <w:jc w:val="both"/>
        <w:rPr>
          <w:rFonts w:ascii="Arial" w:hAnsi="Arial" w:cs="Arial"/>
          <w:b w:val="0"/>
          <w:color w:val="auto"/>
          <w:sz w:val="24"/>
          <w:szCs w:val="24"/>
        </w:rPr>
      </w:pPr>
      <w:r w:rsidRPr="0024498E">
        <w:rPr>
          <w:rFonts w:ascii="Arial" w:hAnsi="Arial" w:cs="Arial"/>
          <w:b w:val="0"/>
          <w:color w:val="auto"/>
          <w:sz w:val="24"/>
          <w:szCs w:val="24"/>
        </w:rPr>
        <w:t>A la fecha el BROU no ha remitido la totalidad de la información solicitada ni tampoco lo ha hecho el BCU por lo que, una vez recibida dicha información, este Tribunal se expedirá al respecto si correspondiere.</w:t>
      </w:r>
    </w:p>
    <w:p w:rsidR="00052215" w:rsidRPr="0024498E" w:rsidRDefault="00052215" w:rsidP="0024498E">
      <w:pPr>
        <w:pStyle w:val="Textosinformato"/>
        <w:spacing w:line="360" w:lineRule="auto"/>
        <w:jc w:val="both"/>
        <w:rPr>
          <w:rFonts w:ascii="Arial" w:hAnsi="Arial" w:cs="Arial"/>
          <w:b w:val="0"/>
          <w:color w:val="auto"/>
          <w:sz w:val="24"/>
          <w:szCs w:val="24"/>
        </w:rPr>
      </w:pP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5.</w:t>
      </w:r>
      <w:r w:rsidRPr="0024498E">
        <w:rPr>
          <w:rFonts w:ascii="Arial" w:hAnsi="Arial" w:cs="Arial"/>
          <w:b/>
          <w:color w:val="FF0000"/>
        </w:rPr>
        <w:t xml:space="preserve"> </w:t>
      </w:r>
      <w:r w:rsidRPr="0024498E">
        <w:rPr>
          <w:rFonts w:ascii="Arial" w:hAnsi="Arial" w:cs="Arial"/>
          <w:b/>
        </w:rPr>
        <w:t>Recomendaciones</w:t>
      </w:r>
    </w:p>
    <w:p w:rsidR="00052215" w:rsidRPr="0024498E" w:rsidRDefault="00052215" w:rsidP="0024498E">
      <w:pPr>
        <w:pStyle w:val="Sangradetextonormal"/>
        <w:tabs>
          <w:tab w:val="left" w:pos="1080"/>
        </w:tabs>
        <w:spacing w:after="0" w:line="360" w:lineRule="auto"/>
        <w:ind w:left="0" w:firstLine="851"/>
        <w:jc w:val="both"/>
        <w:rPr>
          <w:rFonts w:ascii="Arial" w:hAnsi="Arial" w:cs="Arial"/>
        </w:rPr>
      </w:pPr>
      <w:r w:rsidRPr="0024498E">
        <w:rPr>
          <w:rFonts w:ascii="Arial" w:hAnsi="Arial" w:cs="Arial"/>
        </w:rPr>
        <w:t xml:space="preserve">Efectuado el seguimiento de las recomendaciones formuladas en informes de </w:t>
      </w:r>
      <w:r>
        <w:rPr>
          <w:rFonts w:ascii="Arial" w:hAnsi="Arial" w:cs="Arial"/>
        </w:rPr>
        <w:t>Ejercicio</w:t>
      </w:r>
      <w:r w:rsidRPr="0024498E">
        <w:rPr>
          <w:rFonts w:ascii="Arial" w:hAnsi="Arial" w:cs="Arial"/>
        </w:rPr>
        <w:t>s anteriores, se concluye:</w:t>
      </w: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 xml:space="preserve">5.1 </w:t>
      </w:r>
      <w:r w:rsidR="00314B68">
        <w:rPr>
          <w:rFonts w:ascii="Arial" w:hAnsi="Arial" w:cs="Arial"/>
          <w:b/>
        </w:rPr>
        <w:t xml:space="preserve">   </w:t>
      </w:r>
      <w:r w:rsidRPr="0024498E">
        <w:rPr>
          <w:rFonts w:ascii="Arial" w:hAnsi="Arial" w:cs="Arial"/>
          <w:b/>
        </w:rPr>
        <w:t xml:space="preserve">Recomendaciones cumplidas </w:t>
      </w: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5.1.1 Cuadro de Bienes de Uso</w:t>
      </w:r>
    </w:p>
    <w:p w:rsidR="00052215" w:rsidRPr="0024498E" w:rsidRDefault="00052215" w:rsidP="0024498E">
      <w:pPr>
        <w:pStyle w:val="Sangradetextonormal"/>
        <w:spacing w:after="0" w:line="360" w:lineRule="auto"/>
        <w:ind w:left="0" w:firstLine="851"/>
        <w:jc w:val="both"/>
        <w:rPr>
          <w:rFonts w:ascii="Arial" w:hAnsi="Arial" w:cs="Arial"/>
        </w:rPr>
      </w:pPr>
      <w:r w:rsidRPr="0024498E">
        <w:rPr>
          <w:rFonts w:ascii="Arial" w:hAnsi="Arial" w:cs="Arial"/>
        </w:rPr>
        <w:t xml:space="preserve">El Cuadro de Bienes de Uso remitido, que incluye las altas y bajas del </w:t>
      </w:r>
      <w:r>
        <w:rPr>
          <w:rFonts w:ascii="Arial" w:hAnsi="Arial" w:cs="Arial"/>
        </w:rPr>
        <w:t>Ejercicio</w:t>
      </w:r>
      <w:r w:rsidRPr="0024498E">
        <w:rPr>
          <w:rFonts w:ascii="Arial" w:hAnsi="Arial" w:cs="Arial"/>
        </w:rPr>
        <w:t>, permitió conciliar la información suministrada en este capítulo.</w:t>
      </w:r>
    </w:p>
    <w:p w:rsidR="00052215" w:rsidRPr="0024498E" w:rsidRDefault="00052215" w:rsidP="0024498E">
      <w:pPr>
        <w:pStyle w:val="Sangradetextonormal"/>
        <w:spacing w:after="0" w:line="360" w:lineRule="auto"/>
        <w:ind w:left="0"/>
        <w:jc w:val="both"/>
        <w:rPr>
          <w:rFonts w:ascii="Arial" w:hAnsi="Arial" w:cs="Arial"/>
        </w:rPr>
      </w:pP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 xml:space="preserve">5.2 </w:t>
      </w:r>
      <w:r w:rsidR="00314B68">
        <w:rPr>
          <w:rFonts w:ascii="Arial" w:hAnsi="Arial" w:cs="Arial"/>
          <w:b/>
        </w:rPr>
        <w:t xml:space="preserve">    </w:t>
      </w:r>
      <w:r w:rsidRPr="0024498E">
        <w:rPr>
          <w:rFonts w:ascii="Arial" w:hAnsi="Arial" w:cs="Arial"/>
          <w:b/>
        </w:rPr>
        <w:t>Recomendaciones no cumplidas</w:t>
      </w: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5.2.1  Tarjetas de Crédito</w:t>
      </w:r>
    </w:p>
    <w:p w:rsidR="00052215" w:rsidRPr="0024498E" w:rsidRDefault="00052215" w:rsidP="0024498E">
      <w:pPr>
        <w:pStyle w:val="Sangra2detindependiente"/>
        <w:spacing w:after="0" w:line="360" w:lineRule="auto"/>
        <w:ind w:left="0" w:firstLine="851"/>
        <w:jc w:val="both"/>
        <w:rPr>
          <w:rFonts w:ascii="Arial" w:hAnsi="Arial" w:cs="Arial"/>
        </w:rPr>
      </w:pPr>
      <w:r w:rsidRPr="0024498E">
        <w:rPr>
          <w:rFonts w:ascii="Arial" w:hAnsi="Arial" w:cs="Arial"/>
        </w:rPr>
        <w:t>El BROU continúa avanzando en el proceso de inclusión de esta operativa en el SFB, encontrándose en período de prueba, por lo que a la fecha no se ha producido la migración de la información.</w:t>
      </w:r>
    </w:p>
    <w:p w:rsidR="00052215" w:rsidRPr="0024498E" w:rsidRDefault="00052215" w:rsidP="0024498E">
      <w:pPr>
        <w:pStyle w:val="Sangradetextonormal"/>
        <w:spacing w:after="0" w:line="360" w:lineRule="auto"/>
        <w:ind w:left="0"/>
        <w:jc w:val="both"/>
        <w:rPr>
          <w:rFonts w:ascii="Arial" w:hAnsi="Arial" w:cs="Arial"/>
          <w:b/>
        </w:rPr>
      </w:pPr>
      <w:r w:rsidRPr="0024498E">
        <w:rPr>
          <w:rFonts w:ascii="Arial" w:hAnsi="Arial" w:cs="Arial"/>
          <w:b/>
        </w:rPr>
        <w:t>5.2.2 Nota del MEF de 30/05/2011</w:t>
      </w:r>
    </w:p>
    <w:p w:rsidR="00052215" w:rsidRPr="0024498E" w:rsidRDefault="00052215" w:rsidP="0024498E">
      <w:pPr>
        <w:pStyle w:val="Sangradetextonormal"/>
        <w:spacing w:after="0" w:line="360" w:lineRule="auto"/>
        <w:ind w:left="0" w:firstLine="851"/>
        <w:jc w:val="both"/>
        <w:rPr>
          <w:rFonts w:ascii="Arial" w:hAnsi="Arial" w:cs="Arial"/>
        </w:rPr>
      </w:pPr>
      <w:r w:rsidRPr="0024498E">
        <w:rPr>
          <w:rFonts w:ascii="Arial" w:hAnsi="Arial" w:cs="Arial"/>
        </w:rPr>
        <w:t>No se expresó por Nota a los Estados Contables que la contribución extraordinaria a Rentas Generales efectuada durante el año 2009 se amortizará con el 5% de las utilidades anuales a transferir.</w:t>
      </w:r>
    </w:p>
    <w:p w:rsidR="00052215" w:rsidRPr="0024498E" w:rsidRDefault="00052215" w:rsidP="0024498E">
      <w:pPr>
        <w:pStyle w:val="Sangradetextonormal"/>
        <w:spacing w:after="0" w:line="360" w:lineRule="auto"/>
        <w:ind w:left="0"/>
        <w:jc w:val="both"/>
        <w:rPr>
          <w:rFonts w:ascii="Arial" w:hAnsi="Arial" w:cs="Arial"/>
          <w:b/>
          <w:bCs/>
        </w:rPr>
      </w:pPr>
    </w:p>
    <w:p w:rsidR="00052215" w:rsidRPr="0024498E" w:rsidRDefault="00052215" w:rsidP="0024498E">
      <w:pPr>
        <w:pStyle w:val="Sangradetextonormal"/>
        <w:numPr>
          <w:ilvl w:val="1"/>
          <w:numId w:val="2"/>
        </w:numPr>
        <w:spacing w:after="0" w:line="360" w:lineRule="auto"/>
        <w:ind w:left="0" w:firstLine="0"/>
        <w:jc w:val="both"/>
        <w:rPr>
          <w:rFonts w:ascii="Arial" w:hAnsi="Arial" w:cs="Arial"/>
          <w:b/>
          <w:bCs/>
        </w:rPr>
      </w:pPr>
      <w:r w:rsidRPr="0024498E">
        <w:rPr>
          <w:rFonts w:ascii="Arial" w:hAnsi="Arial" w:cs="Arial"/>
          <w:b/>
          <w:bCs/>
        </w:rPr>
        <w:t xml:space="preserve">Recomendaciones del presente </w:t>
      </w:r>
      <w:r>
        <w:rPr>
          <w:rFonts w:ascii="Arial" w:hAnsi="Arial" w:cs="Arial"/>
          <w:b/>
          <w:bCs/>
        </w:rPr>
        <w:t>Ejercicio</w:t>
      </w:r>
    </w:p>
    <w:p w:rsidR="00052215" w:rsidRPr="0024498E" w:rsidRDefault="00052215" w:rsidP="00314B68">
      <w:pPr>
        <w:pStyle w:val="Sangradetextonormal"/>
        <w:spacing w:after="0" w:line="360" w:lineRule="auto"/>
        <w:ind w:left="0" w:firstLine="709"/>
        <w:jc w:val="both"/>
        <w:rPr>
          <w:rFonts w:ascii="Arial" w:hAnsi="Arial" w:cs="Arial"/>
        </w:rPr>
      </w:pPr>
      <w:r w:rsidRPr="0024498E">
        <w:rPr>
          <w:rFonts w:ascii="Arial" w:hAnsi="Arial" w:cs="Arial"/>
        </w:rPr>
        <w:t xml:space="preserve">Se reiteran las recomendaciones no cumplidas de </w:t>
      </w:r>
      <w:r>
        <w:rPr>
          <w:rFonts w:ascii="Arial" w:hAnsi="Arial" w:cs="Arial"/>
        </w:rPr>
        <w:t>Ejercicio</w:t>
      </w:r>
      <w:r w:rsidRPr="0024498E">
        <w:rPr>
          <w:rFonts w:ascii="Arial" w:hAnsi="Arial" w:cs="Arial"/>
        </w:rPr>
        <w:t>s anteriores.</w:t>
      </w:r>
    </w:p>
    <w:p w:rsidR="00052215" w:rsidRPr="0024498E" w:rsidRDefault="00052215" w:rsidP="0024498E">
      <w:pPr>
        <w:jc w:val="right"/>
        <w:rPr>
          <w:rFonts w:ascii="Arial" w:hAnsi="Arial" w:cs="Arial"/>
        </w:rPr>
      </w:pPr>
      <w:r w:rsidRPr="0024498E">
        <w:rPr>
          <w:rFonts w:ascii="Arial" w:hAnsi="Arial" w:cs="Arial"/>
        </w:rPr>
        <w:t>Montevideo, 22 de julio de 2013</w:t>
      </w:r>
    </w:p>
    <w:p w:rsidR="007C1700" w:rsidRPr="0024498E" w:rsidRDefault="00052215" w:rsidP="0024498E">
      <w:pPr>
        <w:rPr>
          <w:rFonts w:ascii="Arial" w:hAnsi="Arial" w:cs="Arial"/>
        </w:rPr>
      </w:pPr>
      <w:r>
        <w:rPr>
          <w:rFonts w:ascii="Arial" w:hAnsi="Arial" w:cs="Arial"/>
        </w:rPr>
        <w:t>cc</w:t>
      </w:r>
    </w:p>
    <w:sectPr w:rsidR="007C1700" w:rsidRPr="0024498E" w:rsidSect="00852FF1">
      <w:footerReference w:type="default" r:id="rId8"/>
      <w:pgSz w:w="11906" w:h="16838" w:code="9"/>
      <w:pgMar w:top="3402" w:right="1701" w:bottom="1134" w:left="1701" w:header="709" w:footer="709"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68" w:rsidRDefault="00314B68" w:rsidP="000F6004">
      <w:r>
        <w:separator/>
      </w:r>
    </w:p>
  </w:endnote>
  <w:endnote w:type="continuationSeparator" w:id="0">
    <w:p w:rsidR="00314B68" w:rsidRDefault="00314B68" w:rsidP="000F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253720"/>
      <w:docPartObj>
        <w:docPartGallery w:val="Page Numbers (Bottom of Page)"/>
        <w:docPartUnique/>
      </w:docPartObj>
    </w:sdtPr>
    <w:sdtContent>
      <w:p w:rsidR="00314B68" w:rsidRDefault="00314B68">
        <w:pPr>
          <w:pStyle w:val="Piedepgina"/>
          <w:jc w:val="center"/>
        </w:pPr>
        <w:r>
          <w:fldChar w:fldCharType="begin"/>
        </w:r>
        <w:r>
          <w:instrText>PAGE   \* MERGEFORMAT</w:instrText>
        </w:r>
        <w:r>
          <w:fldChar w:fldCharType="separate"/>
        </w:r>
        <w:r w:rsidR="0044331B">
          <w:rPr>
            <w:noProof/>
          </w:rPr>
          <w:t>1</w:t>
        </w:r>
        <w:r>
          <w:fldChar w:fldCharType="end"/>
        </w:r>
      </w:p>
    </w:sdtContent>
  </w:sdt>
  <w:p w:rsidR="00314B68" w:rsidRDefault="00314B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68" w:rsidRDefault="00314B68" w:rsidP="000F6004">
      <w:r>
        <w:separator/>
      </w:r>
    </w:p>
  </w:footnote>
  <w:footnote w:type="continuationSeparator" w:id="0">
    <w:p w:rsidR="00314B68" w:rsidRDefault="00314B68" w:rsidP="000F6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08C8"/>
    <w:multiLevelType w:val="multilevel"/>
    <w:tmpl w:val="3ADED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CA41EEF"/>
    <w:multiLevelType w:val="hybridMultilevel"/>
    <w:tmpl w:val="BF3ABAE2"/>
    <w:lvl w:ilvl="0" w:tplc="D778BFCC">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6DA4AB0"/>
    <w:multiLevelType w:val="multilevel"/>
    <w:tmpl w:val="1592C52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Arial" w:hAnsi="Arial"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3E"/>
    <w:rsid w:val="00052215"/>
    <w:rsid w:val="0007613E"/>
    <w:rsid w:val="000F6004"/>
    <w:rsid w:val="00151377"/>
    <w:rsid w:val="0024498E"/>
    <w:rsid w:val="00314B68"/>
    <w:rsid w:val="003554AC"/>
    <w:rsid w:val="00391F81"/>
    <w:rsid w:val="0044331B"/>
    <w:rsid w:val="004D36BF"/>
    <w:rsid w:val="005C6BD7"/>
    <w:rsid w:val="00606F6F"/>
    <w:rsid w:val="007C1700"/>
    <w:rsid w:val="00852FF1"/>
    <w:rsid w:val="0089137F"/>
    <w:rsid w:val="008E7CF9"/>
    <w:rsid w:val="009B0769"/>
    <w:rsid w:val="00B33BB0"/>
    <w:rsid w:val="00FE323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3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F6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F600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07613E"/>
    <w:pPr>
      <w:keepNext/>
      <w:jc w:val="center"/>
      <w:outlineLvl w:val="4"/>
    </w:pPr>
    <w:rPr>
      <w:rFonts w:ascii="Bookman Old Style" w:hAnsi="Bookman Old Style"/>
      <w:b/>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7613E"/>
    <w:rPr>
      <w:rFonts w:ascii="Bookman Old Style" w:eastAsia="Times New Roman" w:hAnsi="Bookman Old Style" w:cs="Times New Roman"/>
      <w:b/>
      <w:sz w:val="24"/>
      <w:szCs w:val="20"/>
      <w:u w:val="single"/>
      <w:lang w:val="es-ES" w:eastAsia="es-ES"/>
    </w:rPr>
  </w:style>
  <w:style w:type="paragraph" w:styleId="Textoindependiente">
    <w:name w:val="Body Text"/>
    <w:basedOn w:val="Normal"/>
    <w:link w:val="TextoindependienteCar"/>
    <w:semiHidden/>
    <w:rsid w:val="0007613E"/>
    <w:pPr>
      <w:tabs>
        <w:tab w:val="left" w:pos="2410"/>
      </w:tabs>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07613E"/>
    <w:rPr>
      <w:rFonts w:ascii="Bookman Old Style" w:eastAsia="Times New Roman" w:hAnsi="Bookman Old Style" w:cs="Times New Roman"/>
      <w:sz w:val="24"/>
      <w:szCs w:val="20"/>
      <w:lang w:val="es-ES" w:eastAsia="es-ES"/>
    </w:rPr>
  </w:style>
  <w:style w:type="paragraph" w:customStyle="1" w:styleId="Textonormal">
    <w:name w:val="Texto normal"/>
    <w:basedOn w:val="Textoindependiente"/>
    <w:rsid w:val="007C1700"/>
    <w:pPr>
      <w:widowControl w:val="0"/>
      <w:tabs>
        <w:tab w:val="clear" w:pos="2410"/>
        <w:tab w:val="left" w:pos="-720"/>
      </w:tabs>
      <w:suppressAutoHyphens/>
      <w:spacing w:line="480" w:lineRule="auto"/>
    </w:pPr>
    <w:rPr>
      <w:rFonts w:ascii="Courier" w:hAnsi="Courier"/>
      <w:snapToGrid w:val="0"/>
      <w:spacing w:val="-3"/>
      <w:lang w:val="es-ES_tradnl"/>
    </w:rPr>
  </w:style>
  <w:style w:type="paragraph" w:styleId="Sangradetextonormal">
    <w:name w:val="Body Text Indent"/>
    <w:basedOn w:val="Normal"/>
    <w:link w:val="SangradetextonormalCar"/>
    <w:uiPriority w:val="99"/>
    <w:semiHidden/>
    <w:unhideWhenUsed/>
    <w:rsid w:val="0024498E"/>
    <w:pPr>
      <w:spacing w:after="120"/>
      <w:ind w:left="283"/>
    </w:pPr>
  </w:style>
  <w:style w:type="character" w:customStyle="1" w:styleId="SangradetextonormalCar">
    <w:name w:val="Sangría de texto normal Car"/>
    <w:basedOn w:val="Fuentedeprrafopredeter"/>
    <w:link w:val="Sangradetextonormal"/>
    <w:uiPriority w:val="99"/>
    <w:semiHidden/>
    <w:rsid w:val="0024498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4498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4498E"/>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2449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4498E"/>
    <w:rPr>
      <w:rFonts w:ascii="Times New Roman" w:eastAsia="Times New Roman" w:hAnsi="Times New Roman" w:cs="Times New Roman"/>
      <w:sz w:val="24"/>
      <w:szCs w:val="24"/>
      <w:lang w:val="es-ES" w:eastAsia="es-ES"/>
    </w:rPr>
  </w:style>
  <w:style w:type="paragraph" w:styleId="Ttulo">
    <w:name w:val="Title"/>
    <w:basedOn w:val="Normal"/>
    <w:link w:val="TtuloCar"/>
    <w:qFormat/>
    <w:rsid w:val="0024498E"/>
    <w:pPr>
      <w:tabs>
        <w:tab w:val="left" w:pos="2552"/>
      </w:tabs>
      <w:jc w:val="center"/>
    </w:pPr>
    <w:rPr>
      <w:rFonts w:ascii="Arial" w:hAnsi="Arial"/>
      <w:b/>
    </w:rPr>
  </w:style>
  <w:style w:type="character" w:customStyle="1" w:styleId="TtuloCar">
    <w:name w:val="Título Car"/>
    <w:basedOn w:val="Fuentedeprrafopredeter"/>
    <w:link w:val="Ttulo"/>
    <w:rsid w:val="0024498E"/>
    <w:rPr>
      <w:rFonts w:ascii="Arial" w:eastAsia="Times New Roman" w:hAnsi="Arial" w:cs="Times New Roman"/>
      <w:b/>
      <w:sz w:val="24"/>
      <w:szCs w:val="24"/>
      <w:lang w:val="es-ES" w:eastAsia="es-ES"/>
    </w:rPr>
  </w:style>
  <w:style w:type="paragraph" w:styleId="Textosinformato">
    <w:name w:val="Plain Text"/>
    <w:basedOn w:val="Normal"/>
    <w:link w:val="TextosinformatoCar"/>
    <w:semiHidden/>
    <w:unhideWhenUsed/>
    <w:rsid w:val="0024498E"/>
    <w:rPr>
      <w:rFonts w:ascii="Calibri" w:eastAsia="Calibri" w:hAnsi="Calibri"/>
      <w:b/>
      <w:bCs/>
      <w:color w:val="808080"/>
      <w:sz w:val="20"/>
      <w:szCs w:val="20"/>
    </w:rPr>
  </w:style>
  <w:style w:type="character" w:customStyle="1" w:styleId="TextosinformatoCar">
    <w:name w:val="Texto sin formato Car"/>
    <w:basedOn w:val="Fuentedeprrafopredeter"/>
    <w:link w:val="Textosinformato"/>
    <w:semiHidden/>
    <w:rsid w:val="0024498E"/>
    <w:rPr>
      <w:rFonts w:ascii="Calibri" w:eastAsia="Calibri" w:hAnsi="Calibri" w:cs="Times New Roman"/>
      <w:b/>
      <w:bCs/>
      <w:color w:val="808080"/>
      <w:sz w:val="20"/>
      <w:szCs w:val="20"/>
      <w:lang w:val="es-ES" w:eastAsia="es-ES"/>
    </w:rPr>
  </w:style>
  <w:style w:type="paragraph" w:styleId="Encabezado">
    <w:name w:val="header"/>
    <w:basedOn w:val="Normal"/>
    <w:link w:val="EncabezadoCar"/>
    <w:uiPriority w:val="99"/>
    <w:unhideWhenUsed/>
    <w:rsid w:val="000F6004"/>
    <w:pPr>
      <w:tabs>
        <w:tab w:val="center" w:pos="4252"/>
        <w:tab w:val="right" w:pos="8504"/>
      </w:tabs>
    </w:pPr>
  </w:style>
  <w:style w:type="character" w:customStyle="1" w:styleId="EncabezadoCar">
    <w:name w:val="Encabezado Car"/>
    <w:basedOn w:val="Fuentedeprrafopredeter"/>
    <w:link w:val="Encabezado"/>
    <w:uiPriority w:val="99"/>
    <w:rsid w:val="000F60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6004"/>
    <w:pPr>
      <w:tabs>
        <w:tab w:val="center" w:pos="4252"/>
        <w:tab w:val="right" w:pos="8504"/>
      </w:tabs>
    </w:pPr>
  </w:style>
  <w:style w:type="character" w:customStyle="1" w:styleId="PiedepginaCar">
    <w:name w:val="Pie de página Car"/>
    <w:basedOn w:val="Fuentedeprrafopredeter"/>
    <w:link w:val="Piedepgina"/>
    <w:uiPriority w:val="99"/>
    <w:rsid w:val="000F6004"/>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6004"/>
    <w:rPr>
      <w:rFonts w:asciiTheme="majorHAnsi" w:eastAsiaTheme="majorEastAsia" w:hAnsiTheme="majorHAnsi" w:cstheme="majorBidi"/>
      <w:b/>
      <w:bCs/>
      <w:color w:val="365F91" w:themeColor="accent1" w:themeShade="BF"/>
      <w:sz w:val="28"/>
      <w:szCs w:val="28"/>
      <w:lang w:val="es-ES" w:eastAsia="es-ES"/>
    </w:rPr>
  </w:style>
  <w:style w:type="character" w:customStyle="1" w:styleId="Ttulo3Car">
    <w:name w:val="Título 3 Car"/>
    <w:basedOn w:val="Fuentedeprrafopredeter"/>
    <w:link w:val="Ttulo3"/>
    <w:uiPriority w:val="9"/>
    <w:semiHidden/>
    <w:rsid w:val="000F6004"/>
    <w:rPr>
      <w:rFonts w:asciiTheme="majorHAnsi" w:eastAsiaTheme="majorEastAsia" w:hAnsiTheme="majorHAnsi" w:cstheme="majorBidi"/>
      <w:b/>
      <w:bCs/>
      <w:color w:val="4F81BD" w:themeColor="accent1"/>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3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F60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F600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07613E"/>
    <w:pPr>
      <w:keepNext/>
      <w:jc w:val="center"/>
      <w:outlineLvl w:val="4"/>
    </w:pPr>
    <w:rPr>
      <w:rFonts w:ascii="Bookman Old Style" w:hAnsi="Bookman Old Style"/>
      <w:b/>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7613E"/>
    <w:rPr>
      <w:rFonts w:ascii="Bookman Old Style" w:eastAsia="Times New Roman" w:hAnsi="Bookman Old Style" w:cs="Times New Roman"/>
      <w:b/>
      <w:sz w:val="24"/>
      <w:szCs w:val="20"/>
      <w:u w:val="single"/>
      <w:lang w:val="es-ES" w:eastAsia="es-ES"/>
    </w:rPr>
  </w:style>
  <w:style w:type="paragraph" w:styleId="Textoindependiente">
    <w:name w:val="Body Text"/>
    <w:basedOn w:val="Normal"/>
    <w:link w:val="TextoindependienteCar"/>
    <w:semiHidden/>
    <w:rsid w:val="0007613E"/>
    <w:pPr>
      <w:tabs>
        <w:tab w:val="left" w:pos="2410"/>
      </w:tabs>
      <w:jc w:val="both"/>
    </w:pPr>
    <w:rPr>
      <w:rFonts w:ascii="Bookman Old Style" w:hAnsi="Bookman Old Style"/>
      <w:szCs w:val="20"/>
    </w:rPr>
  </w:style>
  <w:style w:type="character" w:customStyle="1" w:styleId="TextoindependienteCar">
    <w:name w:val="Texto independiente Car"/>
    <w:basedOn w:val="Fuentedeprrafopredeter"/>
    <w:link w:val="Textoindependiente"/>
    <w:semiHidden/>
    <w:rsid w:val="0007613E"/>
    <w:rPr>
      <w:rFonts w:ascii="Bookman Old Style" w:eastAsia="Times New Roman" w:hAnsi="Bookman Old Style" w:cs="Times New Roman"/>
      <w:sz w:val="24"/>
      <w:szCs w:val="20"/>
      <w:lang w:val="es-ES" w:eastAsia="es-ES"/>
    </w:rPr>
  </w:style>
  <w:style w:type="paragraph" w:customStyle="1" w:styleId="Textonormal">
    <w:name w:val="Texto normal"/>
    <w:basedOn w:val="Textoindependiente"/>
    <w:rsid w:val="007C1700"/>
    <w:pPr>
      <w:widowControl w:val="0"/>
      <w:tabs>
        <w:tab w:val="clear" w:pos="2410"/>
        <w:tab w:val="left" w:pos="-720"/>
      </w:tabs>
      <w:suppressAutoHyphens/>
      <w:spacing w:line="480" w:lineRule="auto"/>
    </w:pPr>
    <w:rPr>
      <w:rFonts w:ascii="Courier" w:hAnsi="Courier"/>
      <w:snapToGrid w:val="0"/>
      <w:spacing w:val="-3"/>
      <w:lang w:val="es-ES_tradnl"/>
    </w:rPr>
  </w:style>
  <w:style w:type="paragraph" w:styleId="Sangradetextonormal">
    <w:name w:val="Body Text Indent"/>
    <w:basedOn w:val="Normal"/>
    <w:link w:val="SangradetextonormalCar"/>
    <w:uiPriority w:val="99"/>
    <w:semiHidden/>
    <w:unhideWhenUsed/>
    <w:rsid w:val="0024498E"/>
    <w:pPr>
      <w:spacing w:after="120"/>
      <w:ind w:left="283"/>
    </w:pPr>
  </w:style>
  <w:style w:type="character" w:customStyle="1" w:styleId="SangradetextonormalCar">
    <w:name w:val="Sangría de texto normal Car"/>
    <w:basedOn w:val="Fuentedeprrafopredeter"/>
    <w:link w:val="Sangradetextonormal"/>
    <w:uiPriority w:val="99"/>
    <w:semiHidden/>
    <w:rsid w:val="0024498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4498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4498E"/>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2449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4498E"/>
    <w:rPr>
      <w:rFonts w:ascii="Times New Roman" w:eastAsia="Times New Roman" w:hAnsi="Times New Roman" w:cs="Times New Roman"/>
      <w:sz w:val="24"/>
      <w:szCs w:val="24"/>
      <w:lang w:val="es-ES" w:eastAsia="es-ES"/>
    </w:rPr>
  </w:style>
  <w:style w:type="paragraph" w:styleId="Ttulo">
    <w:name w:val="Title"/>
    <w:basedOn w:val="Normal"/>
    <w:link w:val="TtuloCar"/>
    <w:qFormat/>
    <w:rsid w:val="0024498E"/>
    <w:pPr>
      <w:tabs>
        <w:tab w:val="left" w:pos="2552"/>
      </w:tabs>
      <w:jc w:val="center"/>
    </w:pPr>
    <w:rPr>
      <w:rFonts w:ascii="Arial" w:hAnsi="Arial"/>
      <w:b/>
    </w:rPr>
  </w:style>
  <w:style w:type="character" w:customStyle="1" w:styleId="TtuloCar">
    <w:name w:val="Título Car"/>
    <w:basedOn w:val="Fuentedeprrafopredeter"/>
    <w:link w:val="Ttulo"/>
    <w:rsid w:val="0024498E"/>
    <w:rPr>
      <w:rFonts w:ascii="Arial" w:eastAsia="Times New Roman" w:hAnsi="Arial" w:cs="Times New Roman"/>
      <w:b/>
      <w:sz w:val="24"/>
      <w:szCs w:val="24"/>
      <w:lang w:val="es-ES" w:eastAsia="es-ES"/>
    </w:rPr>
  </w:style>
  <w:style w:type="paragraph" w:styleId="Textosinformato">
    <w:name w:val="Plain Text"/>
    <w:basedOn w:val="Normal"/>
    <w:link w:val="TextosinformatoCar"/>
    <w:semiHidden/>
    <w:unhideWhenUsed/>
    <w:rsid w:val="0024498E"/>
    <w:rPr>
      <w:rFonts w:ascii="Calibri" w:eastAsia="Calibri" w:hAnsi="Calibri"/>
      <w:b/>
      <w:bCs/>
      <w:color w:val="808080"/>
      <w:sz w:val="20"/>
      <w:szCs w:val="20"/>
    </w:rPr>
  </w:style>
  <w:style w:type="character" w:customStyle="1" w:styleId="TextosinformatoCar">
    <w:name w:val="Texto sin formato Car"/>
    <w:basedOn w:val="Fuentedeprrafopredeter"/>
    <w:link w:val="Textosinformato"/>
    <w:semiHidden/>
    <w:rsid w:val="0024498E"/>
    <w:rPr>
      <w:rFonts w:ascii="Calibri" w:eastAsia="Calibri" w:hAnsi="Calibri" w:cs="Times New Roman"/>
      <w:b/>
      <w:bCs/>
      <w:color w:val="808080"/>
      <w:sz w:val="20"/>
      <w:szCs w:val="20"/>
      <w:lang w:val="es-ES" w:eastAsia="es-ES"/>
    </w:rPr>
  </w:style>
  <w:style w:type="paragraph" w:styleId="Encabezado">
    <w:name w:val="header"/>
    <w:basedOn w:val="Normal"/>
    <w:link w:val="EncabezadoCar"/>
    <w:uiPriority w:val="99"/>
    <w:unhideWhenUsed/>
    <w:rsid w:val="000F6004"/>
    <w:pPr>
      <w:tabs>
        <w:tab w:val="center" w:pos="4252"/>
        <w:tab w:val="right" w:pos="8504"/>
      </w:tabs>
    </w:pPr>
  </w:style>
  <w:style w:type="character" w:customStyle="1" w:styleId="EncabezadoCar">
    <w:name w:val="Encabezado Car"/>
    <w:basedOn w:val="Fuentedeprrafopredeter"/>
    <w:link w:val="Encabezado"/>
    <w:uiPriority w:val="99"/>
    <w:rsid w:val="000F600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6004"/>
    <w:pPr>
      <w:tabs>
        <w:tab w:val="center" w:pos="4252"/>
        <w:tab w:val="right" w:pos="8504"/>
      </w:tabs>
    </w:pPr>
  </w:style>
  <w:style w:type="character" w:customStyle="1" w:styleId="PiedepginaCar">
    <w:name w:val="Pie de página Car"/>
    <w:basedOn w:val="Fuentedeprrafopredeter"/>
    <w:link w:val="Piedepgina"/>
    <w:uiPriority w:val="99"/>
    <w:rsid w:val="000F6004"/>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0F6004"/>
    <w:rPr>
      <w:rFonts w:asciiTheme="majorHAnsi" w:eastAsiaTheme="majorEastAsia" w:hAnsiTheme="majorHAnsi" w:cstheme="majorBidi"/>
      <w:b/>
      <w:bCs/>
      <w:color w:val="365F91" w:themeColor="accent1" w:themeShade="BF"/>
      <w:sz w:val="28"/>
      <w:szCs w:val="28"/>
      <w:lang w:val="es-ES" w:eastAsia="es-ES"/>
    </w:rPr>
  </w:style>
  <w:style w:type="character" w:customStyle="1" w:styleId="Ttulo3Car">
    <w:name w:val="Título 3 Car"/>
    <w:basedOn w:val="Fuentedeprrafopredeter"/>
    <w:link w:val="Ttulo3"/>
    <w:uiPriority w:val="9"/>
    <w:semiHidden/>
    <w:rsid w:val="000F6004"/>
    <w:rPr>
      <w:rFonts w:asciiTheme="majorHAnsi" w:eastAsiaTheme="majorEastAsia" w:hAnsiTheme="majorHAnsi" w:cstheme="majorBidi"/>
      <w:b/>
      <w:b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2271</Words>
  <Characters>12494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14736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 </cp:lastModifiedBy>
  <cp:revision>5</cp:revision>
  <cp:lastPrinted>2013-07-23T18:26:00Z</cp:lastPrinted>
  <dcterms:created xsi:type="dcterms:W3CDTF">2013-07-23T18:23:00Z</dcterms:created>
  <dcterms:modified xsi:type="dcterms:W3CDTF">2013-08-09T20:21:00Z</dcterms:modified>
</cp:coreProperties>
</file>