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57B" w:rsidRDefault="0082257B">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82257B" w:rsidRDefault="0082257B">
      <w:pPr>
        <w:tabs>
          <w:tab w:val="left" w:pos="-720"/>
        </w:tabs>
        <w:suppressAutoHyphens/>
        <w:jc w:val="center"/>
        <w:rPr>
          <w:rFonts w:ascii="Helvetica" w:hAnsi="Helvetica"/>
          <w:b/>
          <w:lang w:val="es-ES_tradnl"/>
        </w:rPr>
      </w:pPr>
    </w:p>
    <w:p w:rsidR="0082257B" w:rsidRDefault="0082257B">
      <w:pPr>
        <w:tabs>
          <w:tab w:val="center" w:pos="4253"/>
        </w:tabs>
        <w:suppressAutoHyphens/>
        <w:jc w:val="center"/>
        <w:rPr>
          <w:rFonts w:ascii="Helvetica" w:hAnsi="Helvetica"/>
          <w:b/>
          <w:lang w:val="es-ES_tradnl"/>
        </w:rPr>
      </w:pPr>
      <w:r>
        <w:rPr>
          <w:rFonts w:ascii="Helvetica" w:hAnsi="Helvetica"/>
          <w:b/>
          <w:lang w:val="es-ES_tradnl"/>
        </w:rPr>
        <w:t>TRIBUNAL DE CUENTAS</w:t>
      </w:r>
    </w:p>
    <w:p w:rsidR="0082257B" w:rsidRDefault="0082257B">
      <w:pPr>
        <w:tabs>
          <w:tab w:val="left" w:pos="-720"/>
        </w:tabs>
        <w:suppressAutoHyphens/>
        <w:jc w:val="center"/>
        <w:rPr>
          <w:rFonts w:ascii="Helvetica" w:hAnsi="Helvetica"/>
          <w:b/>
          <w:lang w:val="es-ES_tradnl"/>
        </w:rPr>
      </w:pPr>
    </w:p>
    <w:p w:rsidR="0082257B" w:rsidRDefault="0082257B">
      <w:pPr>
        <w:tabs>
          <w:tab w:val="center" w:pos="4253"/>
        </w:tabs>
        <w:suppressAutoHyphens/>
        <w:jc w:val="center"/>
        <w:rPr>
          <w:rFonts w:ascii="Helvetica" w:hAnsi="Helvetica"/>
          <w:b/>
          <w:lang w:val="es-ES_tradnl"/>
        </w:rPr>
      </w:pPr>
      <w:r>
        <w:rPr>
          <w:rFonts w:ascii="Helvetica" w:hAnsi="Helvetica"/>
          <w:b/>
          <w:lang w:val="es-ES_tradnl"/>
        </w:rPr>
        <w:t>EN SESION DE FECHA 3 DE JULIO 2013</w:t>
      </w:r>
    </w:p>
    <w:p w:rsidR="0082257B" w:rsidRDefault="0082257B">
      <w:pPr>
        <w:tabs>
          <w:tab w:val="center" w:pos="4253"/>
        </w:tabs>
        <w:suppressAutoHyphens/>
        <w:jc w:val="center"/>
        <w:rPr>
          <w:rFonts w:ascii="Helvetica" w:hAnsi="Helvetica"/>
          <w:b/>
          <w:lang w:val="es-ES_tradnl"/>
        </w:rPr>
      </w:pPr>
    </w:p>
    <w:p w:rsidR="00004E2E" w:rsidRDefault="0082257B" w:rsidP="0082257B">
      <w:pPr>
        <w:tabs>
          <w:tab w:val="center" w:pos="4253"/>
        </w:tabs>
        <w:suppressAutoHyphens/>
        <w:jc w:val="center"/>
        <w:rPr>
          <w:b/>
          <w:bCs/>
        </w:rPr>
      </w:pPr>
      <w:r w:rsidRPr="00CF6983">
        <w:rPr>
          <w:rFonts w:ascii="Helvetica" w:hAnsi="Helvetica"/>
          <w:b/>
          <w:lang w:val="es-ES_tradnl"/>
        </w:rPr>
        <w:t>(E. E. Nº</w:t>
      </w:r>
      <w:r w:rsidR="00004E2E">
        <w:rPr>
          <w:b/>
          <w:bCs/>
        </w:rPr>
        <w:t xml:space="preserve"> 2013-17-1-0002117</w:t>
      </w:r>
      <w:r>
        <w:rPr>
          <w:b/>
          <w:bCs/>
        </w:rPr>
        <w:t xml:space="preserve"> </w:t>
      </w:r>
      <w:bookmarkStart w:id="1" w:name="_Toc78193780"/>
      <w:r w:rsidR="00004E2E">
        <w:rPr>
          <w:b/>
          <w:bCs/>
        </w:rPr>
        <w:t>E</w:t>
      </w:r>
      <w:r>
        <w:rPr>
          <w:b/>
          <w:bCs/>
        </w:rPr>
        <w:t>.</w:t>
      </w:r>
      <w:r w:rsidR="00004E2E">
        <w:rPr>
          <w:b/>
          <w:bCs/>
        </w:rPr>
        <w:t xml:space="preserve"> N° 1911/13</w:t>
      </w:r>
      <w:bookmarkEnd w:id="1"/>
      <w:r>
        <w:rPr>
          <w:b/>
          <w:bCs/>
        </w:rPr>
        <w:t>)</w:t>
      </w:r>
    </w:p>
    <w:p w:rsidR="0082257B" w:rsidRDefault="0082257B" w:rsidP="0082257B">
      <w:pPr>
        <w:tabs>
          <w:tab w:val="center" w:pos="4253"/>
        </w:tabs>
        <w:suppressAutoHyphens/>
        <w:jc w:val="center"/>
      </w:pPr>
    </w:p>
    <w:p w:rsidR="003642D5" w:rsidRDefault="003642D5" w:rsidP="0082257B">
      <w:pPr>
        <w:tabs>
          <w:tab w:val="center" w:pos="4253"/>
        </w:tabs>
        <w:suppressAutoHyphens/>
        <w:jc w:val="center"/>
      </w:pPr>
    </w:p>
    <w:p w:rsidR="00004E2E" w:rsidRDefault="003642D5" w:rsidP="0082257B">
      <w:pPr>
        <w:spacing w:line="360" w:lineRule="auto"/>
        <w:ind w:firstLine="851"/>
        <w:jc w:val="both"/>
      </w:pPr>
      <w:r>
        <w:rPr>
          <w:b/>
        </w:rPr>
        <w:t>“</w:t>
      </w:r>
      <w:r w:rsidR="00004E2E">
        <w:rPr>
          <w:b/>
        </w:rPr>
        <w:t>VISTO:</w:t>
      </w:r>
      <w:r w:rsidR="00004E2E">
        <w:t xml:space="preserve"> que este Tribunal ha examinado la Rendición de Cuentas y Balance de Ejecución Presupuestal de la Junta Departamental de Río Negro correspondiente al </w:t>
      </w:r>
      <w:r w:rsidR="003115B7">
        <w:t>E</w:t>
      </w:r>
      <w:r w:rsidR="00004E2E">
        <w:t>jercicio 2012;</w:t>
      </w:r>
    </w:p>
    <w:p w:rsidR="00004E2E" w:rsidRDefault="00004E2E" w:rsidP="0082257B">
      <w:pPr>
        <w:spacing w:line="360" w:lineRule="auto"/>
        <w:ind w:firstLine="851"/>
        <w:jc w:val="both"/>
      </w:pPr>
      <w:r>
        <w:rPr>
          <w:b/>
        </w:rPr>
        <w:t xml:space="preserve">RESULTANDO: </w:t>
      </w:r>
      <w:r>
        <w:t>que el examen se efectuó de acuerdo con los Principios Fundamentales de Auditoría (ISSAI 100, 200, 300 y 400) y las Directrices de Auditoría Financiera (ISSAI 1000 a 2999) de la Organización Internacional de Entidades Fiscalizadoras Superiores (INTOSAI), habiéndose llevado a cabo los procedimientos considerados necesarios en las circunstancias;</w:t>
      </w:r>
    </w:p>
    <w:p w:rsidR="00004E2E" w:rsidRDefault="00004E2E" w:rsidP="0082257B">
      <w:pPr>
        <w:spacing w:line="360" w:lineRule="auto"/>
        <w:ind w:firstLine="851"/>
        <w:jc w:val="both"/>
      </w:pPr>
      <w:r>
        <w:rPr>
          <w:b/>
        </w:rPr>
        <w:t xml:space="preserve">CONSIDERANDO: </w:t>
      </w:r>
      <w:r>
        <w:t>que las conclusiones y evidencias obtenidas son las que se expresan en el Informe de Auditoría, que incluye Dictamen e Informe a la Administración;</w:t>
      </w:r>
    </w:p>
    <w:p w:rsidR="00004E2E" w:rsidRDefault="00004E2E" w:rsidP="0082257B">
      <w:pPr>
        <w:spacing w:line="360" w:lineRule="auto"/>
        <w:ind w:firstLine="851"/>
        <w:jc w:val="both"/>
      </w:pPr>
      <w:r>
        <w:rPr>
          <w:b/>
        </w:rPr>
        <w:t xml:space="preserve">ATENTO: </w:t>
      </w:r>
      <w:r>
        <w:t>a lo dispuesto por el Art</w:t>
      </w:r>
      <w:r w:rsidR="0082257B">
        <w:t>ículo</w:t>
      </w:r>
      <w:r>
        <w:t xml:space="preserve"> 211 Lit</w:t>
      </w:r>
      <w:r w:rsidR="0082257B">
        <w:t>eral</w:t>
      </w:r>
      <w:r>
        <w:t xml:space="preserve"> C) de la Constitución de la República;</w:t>
      </w:r>
    </w:p>
    <w:p w:rsidR="00004E2E" w:rsidRDefault="00004E2E" w:rsidP="00004E2E">
      <w:pPr>
        <w:spacing w:line="360" w:lineRule="auto"/>
        <w:jc w:val="center"/>
        <w:rPr>
          <w:b/>
          <w:bCs/>
        </w:rPr>
      </w:pPr>
      <w:bookmarkStart w:id="2" w:name="_Toc75256577"/>
      <w:r>
        <w:rPr>
          <w:b/>
          <w:bCs/>
        </w:rPr>
        <w:t>EL TRIBUNAL ACUERDA</w:t>
      </w:r>
      <w:bookmarkEnd w:id="2"/>
    </w:p>
    <w:p w:rsidR="00004E2E" w:rsidRDefault="00004E2E" w:rsidP="00004E2E">
      <w:pPr>
        <w:numPr>
          <w:ilvl w:val="0"/>
          <w:numId w:val="1"/>
        </w:numPr>
        <w:spacing w:line="360" w:lineRule="auto"/>
        <w:jc w:val="both"/>
      </w:pPr>
      <w:r>
        <w:t xml:space="preserve">Emitir su </w:t>
      </w:r>
      <w:r w:rsidR="0082257B">
        <w:t>D</w:t>
      </w:r>
      <w:r>
        <w:t>ictamen constitucional respecto de la Rendición de Cuentas y Balance de Ejecución Presupuestal de la Junta Departamental de Río Negro correspondiente al Ejercicio 2012, en los términos del Informe de Auditoría que se adjunta</w:t>
      </w:r>
      <w:r w:rsidR="003115B7">
        <w:t>;</w:t>
      </w:r>
    </w:p>
    <w:p w:rsidR="00004E2E" w:rsidRDefault="00004E2E" w:rsidP="00004E2E">
      <w:pPr>
        <w:numPr>
          <w:ilvl w:val="0"/>
          <w:numId w:val="1"/>
        </w:numPr>
        <w:spacing w:line="360" w:lineRule="auto"/>
        <w:jc w:val="both"/>
      </w:pPr>
      <w:r>
        <w:t>Comunicar la presente Resolución a la Junta Departamental, a la Intendencia de Río Negro y al Contador Delegado en la Junta Departamental</w:t>
      </w:r>
      <w:r w:rsidR="003115B7">
        <w:t>;</w:t>
      </w:r>
    </w:p>
    <w:p w:rsidR="00004E2E" w:rsidRDefault="00004E2E" w:rsidP="00004E2E">
      <w:pPr>
        <w:numPr>
          <w:ilvl w:val="0"/>
          <w:numId w:val="1"/>
        </w:numPr>
        <w:spacing w:line="360" w:lineRule="auto"/>
        <w:jc w:val="both"/>
      </w:pPr>
      <w:r>
        <w:t>Dar cuenta a la Asamblea General.</w:t>
      </w:r>
      <w:r w:rsidR="003642D5">
        <w:t>”</w:t>
      </w:r>
    </w:p>
    <w:p w:rsidR="003642D5" w:rsidRDefault="003642D5" w:rsidP="003642D5">
      <w:pPr>
        <w:pStyle w:val="Ttulo1"/>
        <w:spacing w:line="360" w:lineRule="auto"/>
        <w:jc w:val="center"/>
      </w:pPr>
      <w:bookmarkStart w:id="3" w:name="_Toc267641741"/>
      <w:bookmarkStart w:id="4" w:name="_Toc356996995"/>
      <w:bookmarkStart w:id="5" w:name="_Toc71366619"/>
      <w:bookmarkStart w:id="6" w:name="_Toc76280777"/>
      <w:r>
        <w:lastRenderedPageBreak/>
        <w:t>DICTAMEN</w:t>
      </w:r>
      <w:bookmarkEnd w:id="3"/>
      <w:bookmarkEnd w:id="4"/>
    </w:p>
    <w:p w:rsidR="003642D5" w:rsidRPr="003642D5" w:rsidRDefault="003642D5" w:rsidP="003642D5"/>
    <w:bookmarkEnd w:id="5"/>
    <w:bookmarkEnd w:id="6"/>
    <w:p w:rsidR="003642D5" w:rsidRDefault="003642D5" w:rsidP="003642D5">
      <w:pPr>
        <w:pStyle w:val="Subttulo"/>
        <w:rPr>
          <w:rFonts w:ascii="Arial" w:hAnsi="Arial"/>
          <w:b w:val="0"/>
        </w:rPr>
      </w:pPr>
      <w:r>
        <w:rPr>
          <w:rFonts w:ascii="Arial" w:hAnsi="Arial"/>
          <w:b w:val="0"/>
        </w:rPr>
        <w:t xml:space="preserve">El Tribunal de Cuentas ha examinado la Rendición de Cuentas y el Balance de Ejecución Presupuestal de la Junta Departamental de Río Negro correspondiente al Ejercicio 2012, que incluye los siguientes estados: de ejecución presupuestal con relación a los créditos, de evolución de las obligaciones presupuestales impagas, de fondos indisponibles y otros estados complementarios. </w:t>
      </w:r>
    </w:p>
    <w:p w:rsidR="003642D5" w:rsidRDefault="003642D5" w:rsidP="003642D5">
      <w:pPr>
        <w:pStyle w:val="Subttulo"/>
        <w:rPr>
          <w:rFonts w:ascii="Arial" w:hAnsi="Arial"/>
          <w:b w:val="0"/>
        </w:rPr>
      </w:pPr>
      <w:r>
        <w:rPr>
          <w:rFonts w:ascii="Arial" w:hAnsi="Arial"/>
          <w:b w:val="0"/>
        </w:rPr>
        <w:t>El Tribunal de Cuentas también ha auditado el cumplimiento por parte de la Junta Departamental de la normativa vigente.</w:t>
      </w:r>
    </w:p>
    <w:p w:rsidR="003642D5" w:rsidRDefault="003642D5" w:rsidP="003642D5">
      <w:pPr>
        <w:pStyle w:val="Subttulo"/>
        <w:rPr>
          <w:rFonts w:ascii="Arial" w:hAnsi="Arial"/>
          <w:b w:val="0"/>
        </w:rPr>
      </w:pPr>
    </w:p>
    <w:p w:rsidR="003642D5" w:rsidRDefault="003642D5" w:rsidP="003642D5">
      <w:pPr>
        <w:pStyle w:val="Subttulo"/>
        <w:rPr>
          <w:rFonts w:ascii="Arial" w:hAnsi="Arial"/>
          <w:bCs/>
        </w:rPr>
      </w:pPr>
      <w:r>
        <w:rPr>
          <w:rFonts w:ascii="Arial" w:hAnsi="Arial"/>
          <w:bCs/>
        </w:rPr>
        <w:t>Responsabilidad de la Junta Departamental</w:t>
      </w:r>
    </w:p>
    <w:p w:rsidR="003642D5" w:rsidRDefault="003642D5" w:rsidP="003642D5">
      <w:pPr>
        <w:pStyle w:val="Subttulo"/>
        <w:rPr>
          <w:rFonts w:ascii="Arial" w:hAnsi="Arial"/>
          <w:b w:val="0"/>
        </w:rPr>
      </w:pPr>
      <w:r>
        <w:rPr>
          <w:rFonts w:ascii="Arial" w:hAnsi="Arial"/>
          <w:b w:val="0"/>
        </w:rPr>
        <w:t xml:space="preserve">La Junta Departamental es responsable por la preparación y la razonable presentación de estos estados de acuerdo con la normativa vigente y con la Resolución de este Tribunal de fecha 28/01/04.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 </w:t>
      </w:r>
    </w:p>
    <w:p w:rsidR="003642D5" w:rsidRDefault="003642D5" w:rsidP="003642D5">
      <w:pPr>
        <w:pStyle w:val="Subttulo"/>
        <w:rPr>
          <w:rFonts w:ascii="Arial" w:hAnsi="Arial"/>
          <w:b w:val="0"/>
        </w:rPr>
      </w:pPr>
    </w:p>
    <w:p w:rsidR="003642D5" w:rsidRDefault="003642D5" w:rsidP="003642D5">
      <w:pPr>
        <w:pStyle w:val="Subttulo"/>
        <w:rPr>
          <w:rFonts w:ascii="Arial" w:hAnsi="Arial"/>
          <w:bCs/>
        </w:rPr>
      </w:pPr>
      <w:r>
        <w:rPr>
          <w:rFonts w:ascii="Arial" w:hAnsi="Arial"/>
          <w:bCs/>
        </w:rPr>
        <w:t>Responsabilidad del auditor</w:t>
      </w:r>
    </w:p>
    <w:p w:rsidR="003642D5" w:rsidRDefault="003642D5" w:rsidP="003642D5">
      <w:pPr>
        <w:pStyle w:val="Subttulo"/>
        <w:rPr>
          <w:rFonts w:ascii="Arial" w:hAnsi="Arial"/>
          <w:b w:val="0"/>
        </w:rPr>
      </w:pPr>
      <w:r>
        <w:rPr>
          <w:rFonts w:ascii="Arial" w:hAnsi="Arial"/>
          <w:b w:val="0"/>
        </w:rPr>
        <w:t xml:space="preserve">La responsabilidad del Tribunal de Cuentas es expresar una opinión sobre dichos estados contables basada en la auditoría realizada. Esta auditoría fue practicada de acuerdo con los Principios Fundamentales  de Auditoría (ISSAI 100, 200, 300 y 400) y las Directrices de Auditoría Financiera (ISSAI 1000 A 2999) de la Organización Internacional de Entidades Fiscalizadoras Superiores (INTOSAI). Estas normas requieren que se cumpla con requisitos éticos, se planifique y se realice la auditoría para obtener seguridad razonable acerca de si los estados contables están libres de errores significativos. </w:t>
      </w:r>
    </w:p>
    <w:p w:rsidR="003642D5" w:rsidRDefault="003642D5" w:rsidP="003642D5">
      <w:pPr>
        <w:pStyle w:val="Subttulo"/>
        <w:rPr>
          <w:rFonts w:ascii="Arial" w:hAnsi="Arial"/>
          <w:b w:val="0"/>
        </w:rPr>
      </w:pPr>
      <w:r>
        <w:rPr>
          <w:rFonts w:ascii="Arial" w:hAnsi="Arial"/>
          <w:b w:val="0"/>
        </w:rPr>
        <w:lastRenderedPageBreak/>
        <w:t>Una auditoría implica realizar procedimientos para obtener evidencia acerca de los montos contables. Los procedimientos seleccionados dependen del juicio profesional del auditor, incluyendo la evaluación de los riesgos de existencia de errores significativos en los estados,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3642D5" w:rsidRDefault="003642D5" w:rsidP="003642D5">
      <w:pPr>
        <w:pStyle w:val="Subttulo"/>
        <w:rPr>
          <w:rFonts w:ascii="Arial" w:hAnsi="Arial"/>
          <w:b w:val="0"/>
        </w:rPr>
      </w:pPr>
      <w:r>
        <w:rPr>
          <w:rFonts w:ascii="Arial" w:hAnsi="Arial"/>
          <w:b w:val="0"/>
        </w:rPr>
        <w:t>Se considera que la evidencia de auditoría obtenida brinda una base suficiente y apropiada para sustentar la opinión.</w:t>
      </w:r>
    </w:p>
    <w:p w:rsidR="003642D5" w:rsidRDefault="003642D5" w:rsidP="003642D5">
      <w:pPr>
        <w:pStyle w:val="Subttulo"/>
        <w:rPr>
          <w:rFonts w:ascii="Arial" w:hAnsi="Arial"/>
          <w:b w:val="0"/>
        </w:rPr>
      </w:pPr>
    </w:p>
    <w:p w:rsidR="003642D5" w:rsidRDefault="003642D5" w:rsidP="003642D5">
      <w:pPr>
        <w:pStyle w:val="Textoindependiente"/>
        <w:spacing w:after="0" w:line="360" w:lineRule="auto"/>
        <w:rPr>
          <w:b/>
          <w:bCs/>
          <w:kern w:val="0"/>
          <w:szCs w:val="24"/>
          <w:lang w:val="es-ES"/>
        </w:rPr>
      </w:pPr>
      <w:r>
        <w:rPr>
          <w:b/>
          <w:bCs/>
          <w:kern w:val="0"/>
          <w:szCs w:val="24"/>
          <w:lang w:val="es-ES"/>
        </w:rPr>
        <w:t>Opinión</w:t>
      </w:r>
    </w:p>
    <w:p w:rsidR="003642D5" w:rsidRDefault="003642D5" w:rsidP="003642D5">
      <w:pPr>
        <w:pStyle w:val="Textoindependiente"/>
        <w:spacing w:after="0" w:line="360" w:lineRule="auto"/>
        <w:rPr>
          <w:kern w:val="0"/>
          <w:szCs w:val="24"/>
          <w:lang w:val="es-ES"/>
        </w:rPr>
      </w:pPr>
      <w:r>
        <w:rPr>
          <w:kern w:val="0"/>
          <w:szCs w:val="24"/>
          <w:lang w:val="es-ES"/>
        </w:rPr>
        <w:t>En opinión del Tribunal de Cuentas, los estados mencionados presentan razonablemente, en todos sus aspectos importantes, la ejecución presupuestal del Ejercicio 2012, la evolución de las obligaciones presupuestales impagas y de los fondos indisponibles de acuerdo con las normas establecidas en el TOCAF y a la Resolución de este Tribunal de fecha 28/01/04.</w:t>
      </w:r>
    </w:p>
    <w:p w:rsidR="003642D5" w:rsidRDefault="003642D5" w:rsidP="003642D5">
      <w:pPr>
        <w:spacing w:line="360" w:lineRule="auto"/>
        <w:jc w:val="both"/>
      </w:pPr>
    </w:p>
    <w:p w:rsidR="003642D5" w:rsidRDefault="003642D5" w:rsidP="003642D5">
      <w:pPr>
        <w:spacing w:line="360" w:lineRule="auto"/>
        <w:jc w:val="both"/>
      </w:pPr>
      <w:r>
        <w:rPr>
          <w:rFonts w:cs="Arial"/>
          <w:kern w:val="18"/>
          <w:szCs w:val="20"/>
          <w:lang w:val="es-ES_tradnl"/>
        </w:rPr>
        <w:t>Con relación al cumplimiento de las disposiciones legales que fueron objeto de examen y en aplicación a lo dispuesto por el Artículo 211 Literales C) y E) de la Constitución de la República, en opinión del Tribunal de Cuentas no se ha dado cumplimiento a las siguientes normas:</w:t>
      </w:r>
    </w:p>
    <w:p w:rsidR="003642D5" w:rsidRDefault="003642D5" w:rsidP="003642D5">
      <w:pPr>
        <w:spacing w:line="360" w:lineRule="auto"/>
        <w:jc w:val="both"/>
      </w:pPr>
    </w:p>
    <w:p w:rsidR="003642D5" w:rsidRDefault="003642D5" w:rsidP="003642D5">
      <w:pPr>
        <w:spacing w:line="360" w:lineRule="auto"/>
        <w:jc w:val="both"/>
        <w:rPr>
          <w:rFonts w:cs="Arial"/>
          <w:kern w:val="18"/>
          <w:szCs w:val="20"/>
          <w:lang w:val="es-ES_tradnl"/>
        </w:rPr>
      </w:pPr>
      <w:r>
        <w:rPr>
          <w:b/>
          <w:bCs/>
        </w:rPr>
        <w:t xml:space="preserve">Artículo 295 de la Constitución de la República y Resolución del Tribunal de Cuentas de 22/12/10: </w:t>
      </w:r>
      <w:r>
        <w:rPr>
          <w:rFonts w:cs="Arial"/>
          <w:kern w:val="18"/>
          <w:szCs w:val="20"/>
          <w:lang w:val="es-ES_tradnl"/>
        </w:rPr>
        <w:t xml:space="preserve">En el Ejercicio 2012 se abonaron partidas compensatorias de gastos a los Señores Ediles. Estas partidas fueron objeto </w:t>
      </w:r>
      <w:r>
        <w:rPr>
          <w:rFonts w:cs="Arial"/>
          <w:kern w:val="18"/>
          <w:szCs w:val="20"/>
          <w:lang w:val="es-ES_tradnl"/>
        </w:rPr>
        <w:lastRenderedPageBreak/>
        <w:t>de observación por este Tribunal en el Presupuesto Quinquenal 2011-2015. Esta observación no fue aceptada por la Junta Departamental, disponiendo el envío de los antecedentes a la Asamblea General (Artículo 225 de la Constitución de la República), la que no se expidió en plazo, por lo que las citadas partidas quedaron vigentes y se encuentran en ejecución.</w:t>
      </w:r>
    </w:p>
    <w:p w:rsidR="003642D5" w:rsidRPr="00991247" w:rsidRDefault="003642D5" w:rsidP="003642D5">
      <w:pPr>
        <w:spacing w:line="360" w:lineRule="auto"/>
        <w:jc w:val="both"/>
        <w:rPr>
          <w:rFonts w:cs="Arial"/>
          <w:kern w:val="18"/>
          <w:szCs w:val="20"/>
          <w:lang w:val="es-ES_tradnl"/>
        </w:rPr>
      </w:pPr>
      <w:r w:rsidRPr="00DC7548">
        <w:rPr>
          <w:rFonts w:cs="Arial"/>
          <w:b/>
          <w:kern w:val="18"/>
          <w:szCs w:val="20"/>
          <w:lang w:val="es-ES_tradnl"/>
        </w:rPr>
        <w:t xml:space="preserve">Artículo 14 del TOCAF: </w:t>
      </w:r>
      <w:r w:rsidRPr="00991247">
        <w:rPr>
          <w:rFonts w:cs="Arial"/>
          <w:kern w:val="18"/>
          <w:szCs w:val="20"/>
          <w:lang w:val="es-ES_tradnl"/>
        </w:rPr>
        <w:t>Se efectuaron gastos y pagos que no fueron ordenados</w:t>
      </w:r>
      <w:r>
        <w:rPr>
          <w:rFonts w:cs="Arial"/>
          <w:kern w:val="18"/>
          <w:szCs w:val="20"/>
          <w:lang w:val="es-ES_tradnl"/>
        </w:rPr>
        <w:t xml:space="preserve"> </w:t>
      </w:r>
      <w:r w:rsidRPr="00991247">
        <w:rPr>
          <w:rFonts w:cs="Arial"/>
          <w:kern w:val="18"/>
          <w:szCs w:val="20"/>
          <w:lang w:val="es-ES_tradnl"/>
        </w:rPr>
        <w:t>por autoridad competente.</w:t>
      </w:r>
    </w:p>
    <w:p w:rsidR="003642D5" w:rsidRPr="008C2E4F" w:rsidRDefault="003642D5" w:rsidP="003642D5">
      <w:pPr>
        <w:spacing w:line="360" w:lineRule="auto"/>
        <w:jc w:val="both"/>
        <w:rPr>
          <w:rFonts w:cs="Arial"/>
          <w:kern w:val="18"/>
          <w:szCs w:val="20"/>
          <w:lang w:val="es-ES_tradnl"/>
        </w:rPr>
      </w:pPr>
      <w:r>
        <w:rPr>
          <w:b/>
          <w:bCs/>
        </w:rPr>
        <w:t xml:space="preserve">Artículo 102 del TOCAF (Numeral 3º): </w:t>
      </w:r>
      <w:r w:rsidRPr="008C2E4F">
        <w:rPr>
          <w:bCs/>
        </w:rPr>
        <w:t xml:space="preserve">Al momento de comprometer los gastos, no siempre se realiza la afectación previa de los objetos correspondientes. </w:t>
      </w:r>
    </w:p>
    <w:p w:rsidR="003642D5" w:rsidRDefault="003642D5" w:rsidP="003642D5">
      <w:pPr>
        <w:spacing w:line="360" w:lineRule="auto"/>
        <w:jc w:val="both"/>
      </w:pPr>
      <w:r>
        <w:rPr>
          <w:b/>
          <w:bCs/>
        </w:rPr>
        <w:t>Artículo 7 de la Ley N° 13.142, Artículo 1 del Decreto-Ley N° 14.632, Decreto</w:t>
      </w:r>
      <w:r>
        <w:rPr>
          <w:b/>
        </w:rPr>
        <w:t xml:space="preserve"> 342/992: </w:t>
      </w:r>
      <w:r>
        <w:rPr>
          <w:rFonts w:cs="Arial"/>
          <w:kern w:val="18"/>
          <w:szCs w:val="20"/>
          <w:lang w:val="es-ES_tradnl"/>
        </w:rPr>
        <w:t>En oportunidad de efectuar los pagos de los compromisos contraídos, no se exige a la totalidad de los proveedores la presentación de los certificados de estar al día con el BPS y la DGI</w:t>
      </w:r>
      <w:r>
        <w:t>.</w:t>
      </w:r>
    </w:p>
    <w:p w:rsidR="003642D5" w:rsidRDefault="003642D5" w:rsidP="003642D5">
      <w:pPr>
        <w:spacing w:line="360" w:lineRule="auto"/>
        <w:jc w:val="both"/>
        <w:rPr>
          <w:rFonts w:cs="Arial"/>
        </w:rPr>
      </w:pPr>
      <w:r>
        <w:rPr>
          <w:rFonts w:cs="Arial"/>
          <w:b/>
          <w:bCs/>
        </w:rPr>
        <w:t>Ordenanza N° 81 del Tribunal de Cuentas:</w:t>
      </w:r>
      <w:r>
        <w:rPr>
          <w:rFonts w:cs="Arial"/>
        </w:rPr>
        <w:t xml:space="preserve"> No se presentaron los estados contables previstos en la citada norma.</w:t>
      </w:r>
    </w:p>
    <w:p w:rsidR="003642D5" w:rsidRDefault="003642D5" w:rsidP="003642D5">
      <w:pPr>
        <w:pStyle w:val="Textoindependiente3"/>
      </w:pPr>
      <w:r w:rsidRPr="00A350E3">
        <w:t xml:space="preserve">Montevideo, </w:t>
      </w:r>
      <w:r>
        <w:t>10</w:t>
      </w:r>
      <w:r w:rsidRPr="00A350E3">
        <w:t xml:space="preserve"> de </w:t>
      </w:r>
      <w:r>
        <w:t>junio</w:t>
      </w:r>
      <w:r w:rsidRPr="00A350E3">
        <w:t xml:space="preserve"> de 2013</w:t>
      </w:r>
    </w:p>
    <w:p w:rsidR="003642D5" w:rsidRDefault="003642D5"/>
    <w:p w:rsidR="003642D5" w:rsidRDefault="003642D5"/>
    <w:p w:rsidR="003642D5" w:rsidRDefault="003642D5" w:rsidP="003642D5">
      <w:pPr>
        <w:pStyle w:val="Ttulo1"/>
        <w:spacing w:line="360" w:lineRule="auto"/>
        <w:jc w:val="center"/>
      </w:pPr>
      <w:bookmarkStart w:id="7" w:name="_Toc356996997"/>
      <w:bookmarkStart w:id="8" w:name="_Toc71366623"/>
      <w:bookmarkStart w:id="9" w:name="_Toc76280779"/>
      <w:r>
        <w:t>INFORME A LA ADMINISTRACIÓN</w:t>
      </w:r>
      <w:bookmarkEnd w:id="7"/>
      <w:bookmarkEnd w:id="8"/>
      <w:bookmarkEnd w:id="9"/>
    </w:p>
    <w:p w:rsidR="003642D5" w:rsidRPr="00FE38B8" w:rsidRDefault="003642D5" w:rsidP="003642D5"/>
    <w:p w:rsidR="003642D5" w:rsidRDefault="003642D5" w:rsidP="003642D5">
      <w:pPr>
        <w:pStyle w:val="Textoindependiente"/>
        <w:spacing w:after="0" w:line="360" w:lineRule="auto"/>
        <w:rPr>
          <w:rFonts w:cs="Arial"/>
        </w:rPr>
      </w:pPr>
      <w:r>
        <w:rPr>
          <w:rFonts w:cs="Arial"/>
        </w:rPr>
        <w:t>El Tribunal de Cuentas ha examinado la Rendición de Cuentas y Balance de Ejecución Presupuestal correspondiente al Ejercicio 2012 y ha emitido su correspondiente Dictamen.</w:t>
      </w:r>
    </w:p>
    <w:p w:rsidR="003642D5" w:rsidRDefault="003642D5" w:rsidP="003642D5">
      <w:pPr>
        <w:pStyle w:val="Textoindependiente"/>
        <w:spacing w:after="0" w:line="360" w:lineRule="auto"/>
        <w:rPr>
          <w:rFonts w:cs="Arial"/>
        </w:rPr>
      </w:pPr>
      <w:r>
        <w:rPr>
          <w:rFonts w:cs="Arial"/>
        </w:rPr>
        <w:t xml:space="preserve">Como consecuencia del examen practicado, se incluyen en este informe comentarios que se ha entendido conveniente exponer, relacionados con la situación de determinados capítulos y rubros de los Estados examinados, obligaciones a cumplir, así como recomendaciones que deberá atender el Organismo. Se incluye además una evaluación de la forma de cumplimiento de </w:t>
      </w:r>
      <w:r>
        <w:rPr>
          <w:rFonts w:cs="Arial"/>
        </w:rPr>
        <w:lastRenderedPageBreak/>
        <w:t>las recomendaciones presentadas en el Informe de Auditoría correspondiente al Ejercicio anterior.</w:t>
      </w:r>
    </w:p>
    <w:p w:rsidR="003642D5" w:rsidRDefault="003642D5" w:rsidP="003642D5">
      <w:pPr>
        <w:pStyle w:val="Textoindependiente2"/>
        <w:jc w:val="both"/>
        <w:rPr>
          <w:rFonts w:ascii="Arial" w:hAnsi="Arial" w:cs="Arial"/>
        </w:rPr>
      </w:pPr>
    </w:p>
    <w:p w:rsidR="003642D5" w:rsidRDefault="003642D5" w:rsidP="003642D5">
      <w:pPr>
        <w:pStyle w:val="Ttulo2"/>
        <w:numPr>
          <w:ilvl w:val="1"/>
          <w:numId w:val="2"/>
        </w:numPr>
      </w:pPr>
      <w:bookmarkStart w:id="10" w:name="_Toc356996998"/>
      <w:r>
        <w:t>Situación en materia de fondos</w:t>
      </w:r>
      <w:bookmarkEnd w:id="10"/>
    </w:p>
    <w:p w:rsidR="003642D5" w:rsidRDefault="003642D5" w:rsidP="003642D5">
      <w:pPr>
        <w:pStyle w:val="Textoindependiente"/>
        <w:spacing w:line="360" w:lineRule="auto"/>
        <w:rPr>
          <w:kern w:val="0"/>
          <w:szCs w:val="24"/>
          <w:lang w:val="es-ES"/>
        </w:rPr>
      </w:pPr>
      <w:r>
        <w:rPr>
          <w:kern w:val="0"/>
          <w:szCs w:val="24"/>
          <w:lang w:val="es-ES"/>
        </w:rPr>
        <w:t>En base a los estados incluidos en la Rendición de Cuentas se elaboró un resumen de la situación en materia de fondos de la Junta Departamental con relación a la Intendencia al 31/12/12, en pesos uruguayos:</w:t>
      </w:r>
    </w:p>
    <w:tbl>
      <w:tblPr>
        <w:tblW w:w="7200" w:type="dxa"/>
        <w:tblInd w:w="15" w:type="dxa"/>
        <w:tblLayout w:type="fixed"/>
        <w:tblCellMar>
          <w:left w:w="0" w:type="dxa"/>
          <w:right w:w="0" w:type="dxa"/>
        </w:tblCellMar>
        <w:tblLook w:val="0000" w:firstRow="0" w:lastRow="0" w:firstColumn="0" w:lastColumn="0" w:noHBand="0" w:noVBand="0"/>
      </w:tblPr>
      <w:tblGrid>
        <w:gridCol w:w="4425"/>
        <w:gridCol w:w="1520"/>
        <w:gridCol w:w="1255"/>
      </w:tblGrid>
      <w:tr w:rsidR="003642D5" w:rsidTr="003642D5">
        <w:trPr>
          <w:trHeight w:val="300"/>
        </w:trPr>
        <w:tc>
          <w:tcPr>
            <w:tcW w:w="4425" w:type="dxa"/>
            <w:tcBorders>
              <w:top w:val="nil"/>
              <w:left w:val="nil"/>
              <w:bottom w:val="nil"/>
              <w:right w:val="nil"/>
            </w:tcBorders>
            <w:shd w:val="clear" w:color="auto" w:fill="auto"/>
            <w:noWrap/>
            <w:tcMar>
              <w:top w:w="15" w:type="dxa"/>
              <w:left w:w="15" w:type="dxa"/>
              <w:bottom w:w="0" w:type="dxa"/>
              <w:right w:w="15" w:type="dxa"/>
            </w:tcMar>
            <w:vAlign w:val="bottom"/>
          </w:tcPr>
          <w:p w:rsidR="003642D5" w:rsidRDefault="003642D5" w:rsidP="003642D5">
            <w:pPr>
              <w:rPr>
                <w:rFonts w:eastAsia="Arial Unicode MS" w:cs="Arial"/>
              </w:rPr>
            </w:pPr>
            <w:r>
              <w:rPr>
                <w:rFonts w:cs="Arial"/>
              </w:rPr>
              <w:t>Disponibilidades</w:t>
            </w:r>
          </w:p>
        </w:tc>
        <w:tc>
          <w:tcPr>
            <w:tcW w:w="1520" w:type="dxa"/>
            <w:tcBorders>
              <w:top w:val="nil"/>
              <w:left w:val="nil"/>
              <w:bottom w:val="nil"/>
              <w:right w:val="nil"/>
            </w:tcBorders>
            <w:shd w:val="clear" w:color="auto" w:fill="auto"/>
            <w:noWrap/>
            <w:tcMar>
              <w:top w:w="15" w:type="dxa"/>
              <w:left w:w="15" w:type="dxa"/>
              <w:bottom w:w="0" w:type="dxa"/>
              <w:right w:w="15" w:type="dxa"/>
            </w:tcMar>
            <w:vAlign w:val="bottom"/>
          </w:tcPr>
          <w:p w:rsidR="003642D5" w:rsidRDefault="003642D5" w:rsidP="003642D5">
            <w:pPr>
              <w:rPr>
                <w:rFonts w:eastAsia="Arial Unicode MS" w:cs="Arial"/>
              </w:rPr>
            </w:pPr>
          </w:p>
        </w:tc>
        <w:tc>
          <w:tcPr>
            <w:tcW w:w="1255" w:type="dxa"/>
            <w:tcBorders>
              <w:top w:val="nil"/>
              <w:left w:val="nil"/>
              <w:bottom w:val="nil"/>
              <w:right w:val="nil"/>
            </w:tcBorders>
            <w:shd w:val="clear" w:color="auto" w:fill="auto"/>
            <w:noWrap/>
            <w:tcMar>
              <w:top w:w="15" w:type="dxa"/>
              <w:left w:w="15" w:type="dxa"/>
              <w:bottom w:w="0" w:type="dxa"/>
              <w:right w:w="15" w:type="dxa"/>
            </w:tcMar>
            <w:vAlign w:val="bottom"/>
          </w:tcPr>
          <w:p w:rsidR="003642D5" w:rsidRDefault="003642D5" w:rsidP="003642D5">
            <w:pPr>
              <w:rPr>
                <w:rFonts w:eastAsia="Arial Unicode MS" w:cs="Arial"/>
              </w:rPr>
            </w:pPr>
            <w:r>
              <w:rPr>
                <w:rFonts w:cs="Arial"/>
              </w:rPr>
              <w:t xml:space="preserve"> 3.453.114 </w:t>
            </w:r>
          </w:p>
        </w:tc>
      </w:tr>
      <w:tr w:rsidR="003642D5" w:rsidTr="003642D5">
        <w:trPr>
          <w:trHeight w:val="300"/>
        </w:trPr>
        <w:tc>
          <w:tcPr>
            <w:tcW w:w="4425" w:type="dxa"/>
            <w:tcBorders>
              <w:top w:val="nil"/>
              <w:left w:val="nil"/>
              <w:bottom w:val="nil"/>
              <w:right w:val="nil"/>
            </w:tcBorders>
            <w:shd w:val="clear" w:color="auto" w:fill="auto"/>
            <w:noWrap/>
            <w:tcMar>
              <w:top w:w="15" w:type="dxa"/>
              <w:left w:w="15" w:type="dxa"/>
              <w:bottom w:w="0" w:type="dxa"/>
              <w:right w:w="15" w:type="dxa"/>
            </w:tcMar>
            <w:vAlign w:val="bottom"/>
          </w:tcPr>
          <w:p w:rsidR="003642D5" w:rsidRDefault="003642D5" w:rsidP="003642D5">
            <w:pPr>
              <w:rPr>
                <w:rFonts w:eastAsia="Arial Unicode MS" w:cs="Arial"/>
              </w:rPr>
            </w:pPr>
            <w:r>
              <w:rPr>
                <w:rFonts w:cs="Arial"/>
              </w:rPr>
              <w:t>Menos:</w:t>
            </w:r>
          </w:p>
        </w:tc>
        <w:tc>
          <w:tcPr>
            <w:tcW w:w="1520" w:type="dxa"/>
            <w:tcBorders>
              <w:top w:val="nil"/>
              <w:left w:val="nil"/>
              <w:bottom w:val="nil"/>
              <w:right w:val="nil"/>
            </w:tcBorders>
            <w:shd w:val="clear" w:color="auto" w:fill="auto"/>
            <w:noWrap/>
            <w:tcMar>
              <w:top w:w="15" w:type="dxa"/>
              <w:left w:w="15" w:type="dxa"/>
              <w:bottom w:w="0" w:type="dxa"/>
              <w:right w:w="15" w:type="dxa"/>
            </w:tcMar>
            <w:vAlign w:val="bottom"/>
          </w:tcPr>
          <w:p w:rsidR="003642D5" w:rsidRDefault="003642D5" w:rsidP="003642D5">
            <w:pPr>
              <w:rPr>
                <w:rFonts w:eastAsia="Arial Unicode MS" w:cs="Arial"/>
              </w:rPr>
            </w:pPr>
          </w:p>
        </w:tc>
        <w:tc>
          <w:tcPr>
            <w:tcW w:w="1255" w:type="dxa"/>
            <w:tcBorders>
              <w:top w:val="nil"/>
              <w:left w:val="nil"/>
              <w:bottom w:val="nil"/>
              <w:right w:val="nil"/>
            </w:tcBorders>
            <w:shd w:val="clear" w:color="auto" w:fill="auto"/>
            <w:noWrap/>
            <w:tcMar>
              <w:top w:w="15" w:type="dxa"/>
              <w:left w:w="15" w:type="dxa"/>
              <w:bottom w:w="0" w:type="dxa"/>
              <w:right w:w="15" w:type="dxa"/>
            </w:tcMar>
            <w:vAlign w:val="bottom"/>
          </w:tcPr>
          <w:p w:rsidR="003642D5" w:rsidRDefault="003642D5" w:rsidP="003642D5">
            <w:pPr>
              <w:rPr>
                <w:rFonts w:eastAsia="Arial Unicode MS" w:cs="Arial"/>
              </w:rPr>
            </w:pPr>
          </w:p>
        </w:tc>
      </w:tr>
      <w:tr w:rsidR="003642D5" w:rsidTr="003642D5">
        <w:trPr>
          <w:trHeight w:val="300"/>
        </w:trPr>
        <w:tc>
          <w:tcPr>
            <w:tcW w:w="4425" w:type="dxa"/>
            <w:tcBorders>
              <w:top w:val="nil"/>
              <w:left w:val="nil"/>
              <w:bottom w:val="nil"/>
              <w:right w:val="nil"/>
            </w:tcBorders>
            <w:shd w:val="clear" w:color="auto" w:fill="auto"/>
            <w:noWrap/>
            <w:tcMar>
              <w:top w:w="15" w:type="dxa"/>
              <w:left w:w="15" w:type="dxa"/>
              <w:bottom w:w="0" w:type="dxa"/>
              <w:right w:w="15" w:type="dxa"/>
            </w:tcMar>
            <w:vAlign w:val="bottom"/>
          </w:tcPr>
          <w:p w:rsidR="003642D5" w:rsidRDefault="003642D5" w:rsidP="003642D5">
            <w:pPr>
              <w:rPr>
                <w:rFonts w:eastAsia="Arial Unicode MS" w:cs="Arial"/>
              </w:rPr>
            </w:pPr>
            <w:r>
              <w:rPr>
                <w:rFonts w:cs="Arial"/>
              </w:rPr>
              <w:t>Obligaciones presupuestales impagas</w:t>
            </w:r>
          </w:p>
        </w:tc>
        <w:tc>
          <w:tcPr>
            <w:tcW w:w="1520" w:type="dxa"/>
            <w:tcBorders>
              <w:top w:val="nil"/>
              <w:left w:val="nil"/>
              <w:bottom w:val="nil"/>
              <w:right w:val="nil"/>
            </w:tcBorders>
            <w:shd w:val="clear" w:color="auto" w:fill="auto"/>
            <w:noWrap/>
            <w:tcMar>
              <w:top w:w="15" w:type="dxa"/>
              <w:left w:w="15" w:type="dxa"/>
              <w:bottom w:w="0" w:type="dxa"/>
              <w:right w:w="15" w:type="dxa"/>
            </w:tcMar>
            <w:vAlign w:val="bottom"/>
          </w:tcPr>
          <w:p w:rsidR="003642D5" w:rsidRDefault="003642D5" w:rsidP="003642D5">
            <w:pPr>
              <w:rPr>
                <w:rFonts w:eastAsia="Arial Unicode MS" w:cs="Arial"/>
              </w:rPr>
            </w:pPr>
            <w:r>
              <w:rPr>
                <w:rFonts w:cs="Arial"/>
              </w:rPr>
              <w:t xml:space="preserve">  1.992.153   </w:t>
            </w:r>
          </w:p>
        </w:tc>
        <w:tc>
          <w:tcPr>
            <w:tcW w:w="1255" w:type="dxa"/>
            <w:tcBorders>
              <w:top w:val="nil"/>
              <w:left w:val="nil"/>
              <w:bottom w:val="nil"/>
              <w:right w:val="nil"/>
            </w:tcBorders>
            <w:shd w:val="clear" w:color="auto" w:fill="auto"/>
            <w:noWrap/>
            <w:tcMar>
              <w:top w:w="15" w:type="dxa"/>
              <w:left w:w="15" w:type="dxa"/>
              <w:bottom w:w="0" w:type="dxa"/>
              <w:right w:w="15" w:type="dxa"/>
            </w:tcMar>
            <w:vAlign w:val="bottom"/>
          </w:tcPr>
          <w:p w:rsidR="003642D5" w:rsidRDefault="003642D5" w:rsidP="003642D5">
            <w:pPr>
              <w:rPr>
                <w:rFonts w:eastAsia="Arial Unicode MS" w:cs="Arial"/>
              </w:rPr>
            </w:pPr>
          </w:p>
        </w:tc>
      </w:tr>
      <w:tr w:rsidR="003642D5" w:rsidTr="003642D5">
        <w:trPr>
          <w:trHeight w:val="345"/>
        </w:trPr>
        <w:tc>
          <w:tcPr>
            <w:tcW w:w="4425" w:type="dxa"/>
            <w:tcBorders>
              <w:top w:val="nil"/>
              <w:left w:val="nil"/>
              <w:bottom w:val="nil"/>
              <w:right w:val="nil"/>
            </w:tcBorders>
            <w:shd w:val="clear" w:color="auto" w:fill="auto"/>
            <w:noWrap/>
            <w:tcMar>
              <w:top w:w="15" w:type="dxa"/>
              <w:left w:w="15" w:type="dxa"/>
              <w:bottom w:w="0" w:type="dxa"/>
              <w:right w:w="15" w:type="dxa"/>
            </w:tcMar>
            <w:vAlign w:val="bottom"/>
          </w:tcPr>
          <w:p w:rsidR="003642D5" w:rsidRDefault="003642D5" w:rsidP="003642D5">
            <w:pPr>
              <w:rPr>
                <w:rFonts w:eastAsia="Arial Unicode MS" w:cs="Arial"/>
              </w:rPr>
            </w:pPr>
            <w:r>
              <w:rPr>
                <w:rFonts w:cs="Arial"/>
              </w:rPr>
              <w:t>Indisponibles</w:t>
            </w:r>
          </w:p>
        </w:tc>
        <w:tc>
          <w:tcPr>
            <w:tcW w:w="1520" w:type="dxa"/>
            <w:tcBorders>
              <w:top w:val="nil"/>
              <w:left w:val="nil"/>
              <w:bottom w:val="nil"/>
              <w:right w:val="nil"/>
            </w:tcBorders>
            <w:shd w:val="clear" w:color="auto" w:fill="auto"/>
            <w:noWrap/>
            <w:tcMar>
              <w:top w:w="15" w:type="dxa"/>
              <w:left w:w="15" w:type="dxa"/>
              <w:bottom w:w="0" w:type="dxa"/>
              <w:right w:w="15" w:type="dxa"/>
            </w:tcMar>
            <w:vAlign w:val="bottom"/>
          </w:tcPr>
          <w:p w:rsidR="003642D5" w:rsidRDefault="003642D5" w:rsidP="003642D5">
            <w:pPr>
              <w:rPr>
                <w:rFonts w:eastAsia="Arial Unicode MS" w:cs="Arial"/>
                <w:u w:val="single"/>
              </w:rPr>
            </w:pPr>
            <w:r>
              <w:rPr>
                <w:rFonts w:cs="Arial"/>
                <w:u w:val="single"/>
              </w:rPr>
              <w:t xml:space="preserve">       93.133   </w:t>
            </w:r>
          </w:p>
        </w:tc>
        <w:tc>
          <w:tcPr>
            <w:tcW w:w="1255" w:type="dxa"/>
            <w:tcBorders>
              <w:top w:val="nil"/>
              <w:left w:val="nil"/>
              <w:bottom w:val="nil"/>
              <w:right w:val="nil"/>
            </w:tcBorders>
            <w:shd w:val="clear" w:color="auto" w:fill="auto"/>
            <w:noWrap/>
            <w:tcMar>
              <w:top w:w="15" w:type="dxa"/>
              <w:left w:w="15" w:type="dxa"/>
              <w:bottom w:w="0" w:type="dxa"/>
              <w:right w:w="15" w:type="dxa"/>
            </w:tcMar>
            <w:vAlign w:val="bottom"/>
          </w:tcPr>
          <w:p w:rsidR="003642D5" w:rsidRDefault="003642D5" w:rsidP="003642D5">
            <w:pPr>
              <w:rPr>
                <w:rFonts w:eastAsia="Arial Unicode MS" w:cs="Arial"/>
                <w:u w:val="single"/>
              </w:rPr>
            </w:pPr>
            <w:r>
              <w:rPr>
                <w:rFonts w:cs="Arial"/>
                <w:u w:val="single"/>
              </w:rPr>
              <w:t xml:space="preserve"> 2.085.286 </w:t>
            </w:r>
          </w:p>
        </w:tc>
      </w:tr>
      <w:tr w:rsidR="003642D5" w:rsidTr="003642D5">
        <w:trPr>
          <w:trHeight w:val="315"/>
        </w:trPr>
        <w:tc>
          <w:tcPr>
            <w:tcW w:w="4425" w:type="dxa"/>
            <w:tcBorders>
              <w:top w:val="nil"/>
              <w:left w:val="nil"/>
              <w:bottom w:val="nil"/>
              <w:right w:val="nil"/>
            </w:tcBorders>
            <w:shd w:val="clear" w:color="auto" w:fill="auto"/>
            <w:noWrap/>
            <w:tcMar>
              <w:top w:w="15" w:type="dxa"/>
              <w:left w:w="15" w:type="dxa"/>
              <w:bottom w:w="0" w:type="dxa"/>
              <w:right w:w="15" w:type="dxa"/>
            </w:tcMar>
            <w:vAlign w:val="bottom"/>
          </w:tcPr>
          <w:p w:rsidR="003642D5" w:rsidRDefault="003642D5" w:rsidP="003642D5">
            <w:pPr>
              <w:rPr>
                <w:rFonts w:eastAsia="Arial Unicode MS" w:cs="Arial"/>
              </w:rPr>
            </w:pPr>
            <w:r>
              <w:rPr>
                <w:rFonts w:cs="Arial"/>
              </w:rPr>
              <w:t>Saldo a favor de la Intendencia</w:t>
            </w:r>
          </w:p>
        </w:tc>
        <w:tc>
          <w:tcPr>
            <w:tcW w:w="1520" w:type="dxa"/>
            <w:tcBorders>
              <w:top w:val="nil"/>
              <w:left w:val="nil"/>
              <w:bottom w:val="nil"/>
              <w:right w:val="nil"/>
            </w:tcBorders>
            <w:shd w:val="clear" w:color="auto" w:fill="auto"/>
            <w:noWrap/>
            <w:tcMar>
              <w:top w:w="15" w:type="dxa"/>
              <w:left w:w="15" w:type="dxa"/>
              <w:bottom w:w="0" w:type="dxa"/>
              <w:right w:w="15" w:type="dxa"/>
            </w:tcMar>
            <w:vAlign w:val="bottom"/>
          </w:tcPr>
          <w:p w:rsidR="003642D5" w:rsidRDefault="003642D5" w:rsidP="003642D5">
            <w:pPr>
              <w:rPr>
                <w:rFonts w:eastAsia="Arial Unicode MS" w:cs="Arial"/>
              </w:rPr>
            </w:pPr>
          </w:p>
        </w:tc>
        <w:tc>
          <w:tcPr>
            <w:tcW w:w="1255" w:type="dxa"/>
            <w:tcBorders>
              <w:top w:val="nil"/>
              <w:left w:val="nil"/>
              <w:bottom w:val="double" w:sz="6" w:space="0" w:color="auto"/>
              <w:right w:val="nil"/>
            </w:tcBorders>
            <w:shd w:val="clear" w:color="auto" w:fill="auto"/>
            <w:noWrap/>
            <w:tcMar>
              <w:top w:w="15" w:type="dxa"/>
              <w:left w:w="15" w:type="dxa"/>
              <w:bottom w:w="0" w:type="dxa"/>
              <w:right w:w="15" w:type="dxa"/>
            </w:tcMar>
            <w:vAlign w:val="bottom"/>
          </w:tcPr>
          <w:p w:rsidR="003642D5" w:rsidRDefault="003642D5" w:rsidP="003642D5">
            <w:pPr>
              <w:rPr>
                <w:rFonts w:eastAsia="Arial Unicode MS" w:cs="Arial"/>
              </w:rPr>
            </w:pPr>
            <w:r>
              <w:rPr>
                <w:rFonts w:cs="Arial"/>
              </w:rPr>
              <w:t xml:space="preserve"> 1.367.828 </w:t>
            </w:r>
          </w:p>
        </w:tc>
      </w:tr>
      <w:tr w:rsidR="003642D5" w:rsidTr="003642D5">
        <w:trPr>
          <w:trHeight w:val="270"/>
        </w:trPr>
        <w:tc>
          <w:tcPr>
            <w:tcW w:w="4425" w:type="dxa"/>
            <w:tcBorders>
              <w:top w:val="nil"/>
              <w:left w:val="nil"/>
              <w:bottom w:val="nil"/>
              <w:right w:val="nil"/>
            </w:tcBorders>
            <w:noWrap/>
            <w:tcMar>
              <w:top w:w="15" w:type="dxa"/>
              <w:left w:w="15" w:type="dxa"/>
              <w:bottom w:w="0" w:type="dxa"/>
              <w:right w:w="15" w:type="dxa"/>
            </w:tcMar>
            <w:vAlign w:val="bottom"/>
          </w:tcPr>
          <w:p w:rsidR="003642D5" w:rsidRDefault="003642D5" w:rsidP="003642D5">
            <w:pPr>
              <w:rPr>
                <w:rFonts w:eastAsia="Arial Unicode MS" w:cs="Arial"/>
                <w:sz w:val="20"/>
                <w:szCs w:val="20"/>
              </w:rPr>
            </w:pPr>
          </w:p>
        </w:tc>
        <w:tc>
          <w:tcPr>
            <w:tcW w:w="1520" w:type="dxa"/>
            <w:tcBorders>
              <w:top w:val="nil"/>
              <w:left w:val="nil"/>
              <w:bottom w:val="nil"/>
              <w:right w:val="nil"/>
            </w:tcBorders>
            <w:noWrap/>
            <w:tcMar>
              <w:top w:w="15" w:type="dxa"/>
              <w:left w:w="15" w:type="dxa"/>
              <w:bottom w:w="0" w:type="dxa"/>
              <w:right w:w="15" w:type="dxa"/>
            </w:tcMar>
            <w:vAlign w:val="bottom"/>
          </w:tcPr>
          <w:p w:rsidR="003642D5" w:rsidRDefault="003642D5" w:rsidP="003642D5">
            <w:pPr>
              <w:rPr>
                <w:rFonts w:eastAsia="Arial Unicode MS" w:cs="Arial"/>
                <w:sz w:val="20"/>
                <w:szCs w:val="20"/>
              </w:rPr>
            </w:pPr>
          </w:p>
        </w:tc>
        <w:tc>
          <w:tcPr>
            <w:tcW w:w="1255" w:type="dxa"/>
            <w:tcBorders>
              <w:top w:val="nil"/>
              <w:left w:val="nil"/>
              <w:bottom w:val="nil"/>
              <w:right w:val="nil"/>
            </w:tcBorders>
            <w:noWrap/>
            <w:tcMar>
              <w:top w:w="15" w:type="dxa"/>
              <w:left w:w="15" w:type="dxa"/>
              <w:bottom w:w="0" w:type="dxa"/>
              <w:right w:w="15" w:type="dxa"/>
            </w:tcMar>
            <w:vAlign w:val="bottom"/>
          </w:tcPr>
          <w:p w:rsidR="003642D5" w:rsidRDefault="003642D5" w:rsidP="003642D5">
            <w:pPr>
              <w:rPr>
                <w:rFonts w:eastAsia="Arial Unicode MS" w:cs="Arial"/>
                <w:sz w:val="20"/>
                <w:szCs w:val="20"/>
              </w:rPr>
            </w:pPr>
          </w:p>
        </w:tc>
      </w:tr>
    </w:tbl>
    <w:p w:rsidR="003642D5" w:rsidRDefault="003642D5" w:rsidP="003642D5">
      <w:pPr>
        <w:pStyle w:val="Textoindependiente"/>
        <w:spacing w:line="360" w:lineRule="auto"/>
        <w:rPr>
          <w:kern w:val="0"/>
          <w:szCs w:val="24"/>
          <w:lang w:val="es-ES"/>
        </w:rPr>
      </w:pPr>
    </w:p>
    <w:p w:rsidR="003642D5" w:rsidRDefault="003642D5" w:rsidP="003642D5">
      <w:pPr>
        <w:pStyle w:val="Ttulo2"/>
        <w:numPr>
          <w:ilvl w:val="1"/>
          <w:numId w:val="2"/>
        </w:numPr>
      </w:pPr>
      <w:bookmarkStart w:id="11" w:name="_Toc267641751"/>
      <w:bookmarkStart w:id="12" w:name="_Toc356996999"/>
      <w:r>
        <w:t>Incumplimiento de normas legales</w:t>
      </w:r>
      <w:bookmarkEnd w:id="11"/>
      <w:bookmarkEnd w:id="12"/>
    </w:p>
    <w:p w:rsidR="003642D5" w:rsidRDefault="003642D5" w:rsidP="003642D5">
      <w:pPr>
        <w:pStyle w:val="Textoindependiente"/>
        <w:spacing w:after="0" w:line="360" w:lineRule="auto"/>
        <w:rPr>
          <w:lang w:val="es-ES"/>
        </w:rPr>
      </w:pPr>
      <w:r>
        <w:t>Con relación al incumplimiento de las normas aplicables, corresponde realizar las siguientes precisiones:</w:t>
      </w:r>
    </w:p>
    <w:p w:rsidR="003642D5" w:rsidRDefault="003642D5" w:rsidP="003642D5">
      <w:pPr>
        <w:pStyle w:val="Textoindependiente"/>
        <w:spacing w:after="0" w:line="360" w:lineRule="auto"/>
      </w:pPr>
      <w:r>
        <w:t xml:space="preserve"> </w:t>
      </w:r>
    </w:p>
    <w:p w:rsidR="003642D5" w:rsidRDefault="003642D5" w:rsidP="003642D5">
      <w:pPr>
        <w:pStyle w:val="Textoindependiente"/>
        <w:rPr>
          <w:b/>
          <w:bCs/>
        </w:rPr>
      </w:pPr>
      <w:bookmarkStart w:id="13" w:name="_Toc267581047"/>
      <w:bookmarkStart w:id="14" w:name="_Toc267641752"/>
      <w:r>
        <w:rPr>
          <w:b/>
          <w:bCs/>
        </w:rPr>
        <w:t>3.3 Partidas compensatorias por gastos de los Señores Ediles</w:t>
      </w:r>
      <w:bookmarkEnd w:id="13"/>
      <w:bookmarkEnd w:id="14"/>
      <w:r>
        <w:rPr>
          <w:b/>
          <w:bCs/>
        </w:rPr>
        <w:t xml:space="preserve"> </w:t>
      </w:r>
    </w:p>
    <w:p w:rsidR="003642D5" w:rsidRDefault="003642D5" w:rsidP="003642D5">
      <w:pPr>
        <w:spacing w:line="360" w:lineRule="auto"/>
        <w:jc w:val="both"/>
      </w:pPr>
      <w:r w:rsidRPr="00AA4A78">
        <w:rPr>
          <w:rFonts w:cs="Arial"/>
          <w:kern w:val="18"/>
          <w:szCs w:val="20"/>
          <w:lang w:val="es-ES_tradnl"/>
        </w:rPr>
        <w:t>En el Ejercicio 2012 se abonaron partidas compensatorias de gastos a los Señores Ediles. Estas partidas fueron objeto de observación por este Tribunal en el Presupuesto Quinquenal 2011-2015. La existencia de estas partidas</w:t>
      </w:r>
      <w:r>
        <w:rPr>
          <w:rFonts w:cs="Arial"/>
          <w:kern w:val="18"/>
          <w:szCs w:val="20"/>
          <w:lang w:val="es-ES_tradnl"/>
        </w:rPr>
        <w:t xml:space="preserve"> </w:t>
      </w:r>
      <w:r w:rsidRPr="00A350E3">
        <w:rPr>
          <w:kern w:val="18"/>
          <w:szCs w:val="20"/>
          <w:lang w:val="es-ES_tradnl"/>
        </w:rPr>
        <w:t>contraviene lo dispuesto por el Artículo 295 de la Constitución de la República que dispone que “los cargos de los miembros de las Juntas Departamentales y Locales serán honorarios</w:t>
      </w:r>
      <w:r w:rsidRPr="00A350E3">
        <w:t>”. Esta observación no se aceptó, remiti</w:t>
      </w:r>
      <w:r>
        <w:t>e</w:t>
      </w:r>
      <w:r w:rsidRPr="00A350E3">
        <w:t>ndo los</w:t>
      </w:r>
      <w:r>
        <w:t xml:space="preserve"> antecedentes a la Asamblea General, la que no se expidió en plazo. </w:t>
      </w:r>
    </w:p>
    <w:p w:rsidR="003642D5" w:rsidRDefault="003642D5" w:rsidP="003642D5">
      <w:pPr>
        <w:pStyle w:val="Textoindependiente"/>
        <w:spacing w:after="0" w:line="360" w:lineRule="auto"/>
      </w:pPr>
      <w:r>
        <w:t>En el Ejercicio se ejecutaron las mencionadas partidas.</w:t>
      </w:r>
    </w:p>
    <w:p w:rsidR="003642D5" w:rsidRDefault="003642D5" w:rsidP="003642D5">
      <w:pPr>
        <w:pStyle w:val="Textoindependiente"/>
        <w:spacing w:after="0" w:line="360" w:lineRule="auto"/>
      </w:pPr>
    </w:p>
    <w:p w:rsidR="003642D5" w:rsidRDefault="003642D5" w:rsidP="003642D5">
      <w:pPr>
        <w:pStyle w:val="Textoindependiente"/>
        <w:spacing w:after="0" w:line="360" w:lineRule="auto"/>
      </w:pPr>
    </w:p>
    <w:p w:rsidR="003642D5" w:rsidRDefault="003642D5" w:rsidP="003642D5">
      <w:pPr>
        <w:pStyle w:val="Ttulo2"/>
        <w:numPr>
          <w:ilvl w:val="1"/>
          <w:numId w:val="3"/>
        </w:numPr>
        <w:ind w:hanging="502"/>
      </w:pPr>
      <w:bookmarkStart w:id="15" w:name="_Toc356997000"/>
      <w:r>
        <w:lastRenderedPageBreak/>
        <w:t>Constataciones que no afectan la opinión de los Estados Contables.</w:t>
      </w:r>
      <w:bookmarkEnd w:id="15"/>
    </w:p>
    <w:p w:rsidR="003642D5" w:rsidRDefault="003642D5" w:rsidP="003642D5">
      <w:pPr>
        <w:pStyle w:val="Ttulo2"/>
      </w:pPr>
      <w:bookmarkStart w:id="16" w:name="_Toc356997001"/>
      <w:r>
        <w:t>3.4.1 Diferencia en liquidación de sueldos.</w:t>
      </w:r>
      <w:bookmarkEnd w:id="16"/>
    </w:p>
    <w:p w:rsidR="003642D5" w:rsidRDefault="003642D5" w:rsidP="003642D5">
      <w:pPr>
        <w:widowControl w:val="0"/>
        <w:spacing w:line="360" w:lineRule="auto"/>
        <w:jc w:val="both"/>
        <w:rPr>
          <w:snapToGrid w:val="0"/>
        </w:rPr>
      </w:pPr>
      <w:r>
        <w:rPr>
          <w:rFonts w:cs="Arial"/>
        </w:rPr>
        <w:t xml:space="preserve">En oportunidad del estudio de la Rendición de Cuentas correspondiente al Ejercicio 2010, </w:t>
      </w:r>
      <w:r>
        <w:rPr>
          <w:snapToGrid w:val="0"/>
        </w:rPr>
        <w:t xml:space="preserve">se constató que en la liquidación de sueldos del mes de marzo 2010 no fueron abonados los aportes al BPS por concepto de Aguinaldo por Egreso de un funcionario, por un monto imponible de $ 2.652. Dicho concepto fue presentado en la Historia Laboral como partida sin aportes en el código 5, y no con código 2 como correspondía. Debe señalarse que durante el Ejercicio 2012 no se presentó la declaración rectificativa de la Historia Laboral, ni se realizaron los aportes correspondientes al BPS por este concepto.  </w:t>
      </w:r>
    </w:p>
    <w:p w:rsidR="003642D5" w:rsidRDefault="003642D5" w:rsidP="003642D5">
      <w:pPr>
        <w:widowControl w:val="0"/>
        <w:spacing w:line="360" w:lineRule="auto"/>
        <w:jc w:val="both"/>
        <w:rPr>
          <w:snapToGrid w:val="0"/>
        </w:rPr>
      </w:pPr>
      <w:r>
        <w:rPr>
          <w:snapToGrid w:val="0"/>
          <w:szCs w:val="20"/>
        </w:rPr>
        <w:t xml:space="preserve"> </w:t>
      </w:r>
    </w:p>
    <w:p w:rsidR="003642D5" w:rsidRDefault="003642D5" w:rsidP="003642D5">
      <w:pPr>
        <w:pStyle w:val="Ttulo2"/>
      </w:pPr>
      <w:bookmarkStart w:id="17" w:name="_Toc356997002"/>
      <w:r>
        <w:t>3.4.2 Gasto de electricidad.</w:t>
      </w:r>
      <w:bookmarkEnd w:id="17"/>
      <w:r>
        <w:tab/>
      </w:r>
    </w:p>
    <w:p w:rsidR="003642D5" w:rsidRDefault="003642D5" w:rsidP="003642D5">
      <w:pPr>
        <w:pStyle w:val="Textoindependiente"/>
        <w:spacing w:line="360" w:lineRule="auto"/>
      </w:pPr>
      <w:r>
        <w:t>El objeto Electricidad tiene crédito presupuestal previsto pero, en el Ejercicio 2012, no ha tenido movimientos. Los gastos por este concepto son pagados directamente por la Intendencia, no son considerados en las transferencias de duodécimos a la Junta Departamental ni registrados como gastos ejecutados del Ejercicio.</w:t>
      </w:r>
    </w:p>
    <w:p w:rsidR="003642D5" w:rsidRDefault="003642D5" w:rsidP="003642D5">
      <w:pPr>
        <w:pStyle w:val="Ttulo2"/>
        <w:numPr>
          <w:ilvl w:val="1"/>
          <w:numId w:val="3"/>
        </w:numPr>
        <w:ind w:hanging="502"/>
      </w:pPr>
      <w:bookmarkStart w:id="18" w:name="_Toc270417633"/>
      <w:bookmarkStart w:id="19" w:name="_Toc356997003"/>
      <w:r>
        <w:t>Recomendaciones</w:t>
      </w:r>
      <w:bookmarkEnd w:id="18"/>
      <w:bookmarkEnd w:id="19"/>
    </w:p>
    <w:p w:rsidR="003642D5" w:rsidRDefault="003642D5" w:rsidP="003642D5">
      <w:pPr>
        <w:pStyle w:val="Ttulo2"/>
        <w:numPr>
          <w:ilvl w:val="2"/>
          <w:numId w:val="3"/>
        </w:numPr>
        <w:ind w:left="567" w:hanging="567"/>
      </w:pPr>
      <w:bookmarkStart w:id="20" w:name="_Toc356997004"/>
      <w:r>
        <w:t>Recomendaciones del Ejercicio anterior cumplidas</w:t>
      </w:r>
      <w:bookmarkEnd w:id="20"/>
    </w:p>
    <w:p w:rsidR="003642D5" w:rsidRDefault="003642D5" w:rsidP="003642D5">
      <w:pPr>
        <w:pStyle w:val="Ttulo2"/>
      </w:pPr>
      <w:bookmarkStart w:id="21" w:name="_Toc356997005"/>
      <w:r>
        <w:t>3.5.1.1 Arqueos de fondos y valores</w:t>
      </w:r>
      <w:bookmarkEnd w:id="21"/>
    </w:p>
    <w:p w:rsidR="003642D5" w:rsidRPr="00802F56" w:rsidRDefault="003642D5" w:rsidP="003642D5">
      <w:pPr>
        <w:pStyle w:val="Textoindependiente"/>
        <w:spacing w:line="360" w:lineRule="auto"/>
        <w:rPr>
          <w:lang w:val="es-ES"/>
        </w:rPr>
      </w:pPr>
      <w:r>
        <w:rPr>
          <w:lang w:val="es-ES"/>
        </w:rPr>
        <w:t xml:space="preserve">Se realizaron arqueos de fondos y valores en forma periódica, dando cumplimiento a lo establecido en </w:t>
      </w:r>
      <w:r w:rsidRPr="00043150">
        <w:rPr>
          <w:lang w:val="es-ES"/>
        </w:rPr>
        <w:t>los Artículos 102 y 119 del TOCAF.</w:t>
      </w:r>
    </w:p>
    <w:p w:rsidR="003642D5" w:rsidRDefault="003642D5" w:rsidP="003642D5">
      <w:pPr>
        <w:pStyle w:val="Ttulo2"/>
      </w:pPr>
      <w:bookmarkStart w:id="22" w:name="_Toc270417634"/>
      <w:bookmarkStart w:id="23" w:name="_Toc356997006"/>
      <w:r>
        <w:t>3.6.2  Recomendaciones del Ejercicio anterior no cumplidas</w:t>
      </w:r>
      <w:bookmarkEnd w:id="22"/>
      <w:bookmarkEnd w:id="23"/>
    </w:p>
    <w:p w:rsidR="003642D5" w:rsidRDefault="003642D5" w:rsidP="003642D5">
      <w:pPr>
        <w:pStyle w:val="Ttulo2"/>
      </w:pPr>
      <w:bookmarkStart w:id="24" w:name="_Toc270417635"/>
      <w:bookmarkStart w:id="25" w:name="_Toc356997007"/>
      <w:r>
        <w:t>3.6.2.1 Partidas percibidas por los Señores Ediles</w:t>
      </w:r>
      <w:bookmarkEnd w:id="24"/>
      <w:r>
        <w:t>.</w:t>
      </w:r>
      <w:bookmarkEnd w:id="25"/>
    </w:p>
    <w:p w:rsidR="003642D5" w:rsidRDefault="003642D5" w:rsidP="003642D5">
      <w:pPr>
        <w:pStyle w:val="Textoindependiente"/>
        <w:spacing w:after="0" w:line="360" w:lineRule="auto"/>
        <w:rPr>
          <w:kern w:val="0"/>
          <w:szCs w:val="24"/>
          <w:lang w:val="es-ES"/>
        </w:rPr>
      </w:pPr>
      <w:r>
        <w:rPr>
          <w:kern w:val="0"/>
          <w:szCs w:val="24"/>
          <w:lang w:val="es-ES"/>
        </w:rPr>
        <w:t>A efectos de verificar el cumplimiento de lo preceptuado por el Artículo 295 de la Constitución de la República, en cuanto al carácter honorario de la función de Edil, la Junta Departamental deberá ajustar su reglamentación a lo dispuesto por la Resolución de este Tribunal de 22/12/2010.</w:t>
      </w:r>
    </w:p>
    <w:p w:rsidR="003642D5" w:rsidRPr="007B0A6E" w:rsidRDefault="003642D5" w:rsidP="003642D5">
      <w:pPr>
        <w:pStyle w:val="Ttulo2"/>
      </w:pPr>
      <w:bookmarkStart w:id="26" w:name="_Toc356997008"/>
      <w:r w:rsidRPr="007B0A6E">
        <w:lastRenderedPageBreak/>
        <w:t>3.</w:t>
      </w:r>
      <w:r>
        <w:t>6</w:t>
      </w:r>
      <w:r w:rsidRPr="007B0A6E">
        <w:t xml:space="preserve">.2.2 Certificados de estar al día con </w:t>
      </w:r>
      <w:r>
        <w:t xml:space="preserve">el </w:t>
      </w:r>
      <w:r w:rsidRPr="007B0A6E">
        <w:t xml:space="preserve">BPS y </w:t>
      </w:r>
      <w:r>
        <w:t xml:space="preserve">la </w:t>
      </w:r>
      <w:r w:rsidRPr="007B0A6E">
        <w:t>DGI.</w:t>
      </w:r>
      <w:bookmarkEnd w:id="26"/>
    </w:p>
    <w:p w:rsidR="003642D5" w:rsidRDefault="003642D5" w:rsidP="003642D5">
      <w:pPr>
        <w:pStyle w:val="Textoindependiente"/>
        <w:spacing w:after="0" w:line="360" w:lineRule="auto"/>
        <w:rPr>
          <w:kern w:val="0"/>
          <w:szCs w:val="24"/>
          <w:lang w:val="es-ES"/>
        </w:rPr>
      </w:pPr>
      <w:r>
        <w:rPr>
          <w:kern w:val="0"/>
          <w:szCs w:val="24"/>
          <w:lang w:val="es-ES"/>
        </w:rPr>
        <w:t>En oportunidad de efectuar los pagos a proveedores se deberá verificar el cumplimiento de lo establecido en el Decreto N° 342/992, que reglamenta lo dispuesto por el Artículo 7 de la Ley N° 13.142 de 04/07/1963 y el Artículo 1 del Decreto-Ley N° 14.632 de 24/03/1977, en cuanto a la presentación de los certificados que acrediten que se encuentran al día con el pago de sus obligaciones correspondientes al BPS y la DGI.</w:t>
      </w:r>
    </w:p>
    <w:p w:rsidR="003642D5" w:rsidRDefault="003642D5" w:rsidP="003642D5">
      <w:pPr>
        <w:pStyle w:val="Ttulo2"/>
      </w:pPr>
      <w:bookmarkStart w:id="27" w:name="_Toc356997009"/>
      <w:r>
        <w:t>3.6.2.3 Ordenanza N° 81 del Tribunal de Cuentas.</w:t>
      </w:r>
      <w:bookmarkEnd w:id="27"/>
    </w:p>
    <w:p w:rsidR="003642D5" w:rsidRDefault="003642D5" w:rsidP="003642D5">
      <w:pPr>
        <w:pStyle w:val="Textoindependiente"/>
        <w:spacing w:line="360" w:lineRule="auto"/>
      </w:pPr>
      <w:r>
        <w:t>De acuerdo con lo establecido en la Ordenanza N° 81 de este Tribunal, la Junta Departamental deberá presentar los estados contables establecidos en el Artículo 13 de la citada norma.</w:t>
      </w:r>
    </w:p>
    <w:p w:rsidR="003642D5" w:rsidRDefault="003642D5" w:rsidP="003642D5">
      <w:pPr>
        <w:pStyle w:val="Ttulo2"/>
        <w:ind w:left="142" w:hanging="142"/>
      </w:pPr>
      <w:bookmarkStart w:id="28" w:name="_Toc270417636"/>
      <w:bookmarkStart w:id="29" w:name="_Toc356997010"/>
      <w:bookmarkStart w:id="30" w:name="_Toc71366624"/>
      <w:r>
        <w:t>3.6.3  Recomendaciones del Ejercicio</w:t>
      </w:r>
      <w:bookmarkEnd w:id="28"/>
      <w:bookmarkEnd w:id="29"/>
    </w:p>
    <w:p w:rsidR="003642D5" w:rsidRPr="00597682" w:rsidRDefault="003642D5" w:rsidP="003642D5">
      <w:pPr>
        <w:pStyle w:val="Textoindependiente"/>
        <w:rPr>
          <w:lang w:val="es-ES"/>
        </w:rPr>
      </w:pPr>
      <w:r>
        <w:rPr>
          <w:lang w:val="es-ES"/>
        </w:rPr>
        <w:t>Se reiteran las recomendaciones del Apartado 3.4.2 y se agrega la siguiente:</w:t>
      </w:r>
    </w:p>
    <w:p w:rsidR="003642D5" w:rsidRDefault="003642D5" w:rsidP="003642D5">
      <w:pPr>
        <w:pStyle w:val="Ttulo2"/>
      </w:pPr>
      <w:bookmarkStart w:id="31" w:name="_Toc356997011"/>
      <w:r>
        <w:t>Proceso del gasto</w:t>
      </w:r>
      <w:bookmarkEnd w:id="31"/>
    </w:p>
    <w:p w:rsidR="003642D5" w:rsidRDefault="003642D5" w:rsidP="003642D5">
      <w:pPr>
        <w:spacing w:line="360" w:lineRule="auto"/>
        <w:jc w:val="both"/>
        <w:rPr>
          <w:kern w:val="18"/>
        </w:rPr>
      </w:pPr>
      <w:r>
        <w:rPr>
          <w:kern w:val="18"/>
        </w:rPr>
        <w:t xml:space="preserve">A efectos de dar cumplimiento a los Artículos 14 y 102 del TOCAF los gastos deben ser ordenados por autoridad competente, debiendo contar con información respecto a la disponibilidad presupuestal del Objeto correspondiente. </w:t>
      </w:r>
    </w:p>
    <w:bookmarkEnd w:id="30"/>
    <w:p w:rsidR="003642D5" w:rsidRDefault="003642D5" w:rsidP="003642D5">
      <w:pPr>
        <w:pStyle w:val="Textoindependiente"/>
        <w:spacing w:after="0" w:line="360" w:lineRule="auto"/>
        <w:jc w:val="right"/>
      </w:pPr>
      <w:r>
        <w:t>Montevideo, 10 de junio de 2013</w:t>
      </w:r>
    </w:p>
    <w:p w:rsidR="003642D5" w:rsidRPr="003642D5" w:rsidRDefault="003642D5" w:rsidP="003642D5">
      <w:pPr>
        <w:pStyle w:val="Textoindependiente"/>
        <w:spacing w:after="0" w:line="360" w:lineRule="auto"/>
        <w:jc w:val="left"/>
        <w:rPr>
          <w:rFonts w:cs="Arial"/>
          <w:szCs w:val="24"/>
        </w:rPr>
      </w:pPr>
      <w:proofErr w:type="spellStart"/>
      <w:proofErr w:type="gramStart"/>
      <w:r w:rsidRPr="003642D5">
        <w:rPr>
          <w:rFonts w:cs="Arial"/>
          <w:szCs w:val="24"/>
        </w:rPr>
        <w:t>mb</w:t>
      </w:r>
      <w:proofErr w:type="spellEnd"/>
      <w:proofErr w:type="gramEnd"/>
    </w:p>
    <w:sectPr w:rsidR="003642D5" w:rsidRPr="003642D5" w:rsidSect="00CF6983">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B7E01"/>
    <w:multiLevelType w:val="multilevel"/>
    <w:tmpl w:val="98125FE2"/>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592"/>
        </w:tabs>
        <w:ind w:left="592"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F464076"/>
    <w:multiLevelType w:val="singleLevel"/>
    <w:tmpl w:val="62BAE0F0"/>
    <w:lvl w:ilvl="0">
      <w:start w:val="1"/>
      <w:numFmt w:val="decimal"/>
      <w:lvlText w:val="%1)"/>
      <w:lvlJc w:val="left"/>
      <w:pPr>
        <w:tabs>
          <w:tab w:val="num" w:pos="360"/>
        </w:tabs>
        <w:ind w:left="360" w:hanging="360"/>
      </w:pPr>
      <w:rPr>
        <w:rFonts w:hint="default"/>
        <w:b/>
      </w:rPr>
    </w:lvl>
  </w:abstractNum>
  <w:abstractNum w:abstractNumId="2">
    <w:nsid w:val="5B9073CF"/>
    <w:multiLevelType w:val="multilevel"/>
    <w:tmpl w:val="3DECDC8C"/>
    <w:lvl w:ilvl="0">
      <w:start w:val="3"/>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E2E"/>
    <w:rsid w:val="00004E2E"/>
    <w:rsid w:val="003115B7"/>
    <w:rsid w:val="003642D5"/>
    <w:rsid w:val="00574733"/>
    <w:rsid w:val="0082257B"/>
    <w:rsid w:val="00905CD8"/>
    <w:rsid w:val="009175BA"/>
    <w:rsid w:val="00CF6983"/>
    <w:rsid w:val="00EB4D6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E2E"/>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3642D5"/>
    <w:pPr>
      <w:keepNext/>
      <w:spacing w:before="240" w:after="60"/>
      <w:outlineLvl w:val="0"/>
    </w:pPr>
    <w:rPr>
      <w:rFonts w:cs="Arial"/>
      <w:b/>
      <w:bCs/>
      <w:kern w:val="32"/>
      <w:szCs w:val="32"/>
    </w:rPr>
  </w:style>
  <w:style w:type="paragraph" w:styleId="Ttulo2">
    <w:name w:val="heading 2"/>
    <w:basedOn w:val="Normal"/>
    <w:next w:val="Textoindependiente"/>
    <w:link w:val="Ttulo2Car"/>
    <w:qFormat/>
    <w:rsid w:val="003642D5"/>
    <w:pPr>
      <w:spacing w:line="360" w:lineRule="auto"/>
      <w:jc w:val="both"/>
      <w:outlineLvl w:val="1"/>
    </w:pPr>
    <w:rPr>
      <w:rFonts w:cs="Arial"/>
      <w:b/>
      <w:kern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004E2E"/>
    <w:pPr>
      <w:spacing w:after="240" w:line="240" w:lineRule="atLeast"/>
      <w:jc w:val="both"/>
    </w:pPr>
    <w:rPr>
      <w:kern w:val="18"/>
      <w:szCs w:val="20"/>
      <w:lang w:val="es-ES_tradnl"/>
    </w:rPr>
  </w:style>
  <w:style w:type="character" w:customStyle="1" w:styleId="TextoindependienteCar">
    <w:name w:val="Texto independiente Car"/>
    <w:basedOn w:val="Fuentedeprrafopredeter"/>
    <w:link w:val="Textoindependiente"/>
    <w:semiHidden/>
    <w:rsid w:val="00004E2E"/>
    <w:rPr>
      <w:rFonts w:ascii="Arial" w:eastAsia="Times New Roman" w:hAnsi="Arial" w:cs="Times New Roman"/>
      <w:kern w:val="18"/>
      <w:sz w:val="24"/>
      <w:szCs w:val="20"/>
      <w:lang w:val="es-ES_tradnl" w:eastAsia="es-ES"/>
    </w:rPr>
  </w:style>
  <w:style w:type="paragraph" w:styleId="Textoindependiente3">
    <w:name w:val="Body Text 3"/>
    <w:basedOn w:val="Normal"/>
    <w:link w:val="Textoindependiente3Car"/>
    <w:semiHidden/>
    <w:rsid w:val="00004E2E"/>
    <w:pPr>
      <w:spacing w:line="360" w:lineRule="auto"/>
      <w:jc w:val="right"/>
    </w:pPr>
  </w:style>
  <w:style w:type="character" w:customStyle="1" w:styleId="Textoindependiente3Car">
    <w:name w:val="Texto independiente 3 Car"/>
    <w:basedOn w:val="Fuentedeprrafopredeter"/>
    <w:link w:val="Textoindependiente3"/>
    <w:semiHidden/>
    <w:rsid w:val="00004E2E"/>
    <w:rPr>
      <w:rFonts w:ascii="Arial" w:eastAsia="Times New Roman" w:hAnsi="Arial" w:cs="Times New Roman"/>
      <w:sz w:val="24"/>
      <w:szCs w:val="24"/>
      <w:lang w:val="es-ES" w:eastAsia="es-ES"/>
    </w:rPr>
  </w:style>
  <w:style w:type="character" w:customStyle="1" w:styleId="Ttulo1Car">
    <w:name w:val="Título 1 Car"/>
    <w:basedOn w:val="Fuentedeprrafopredeter"/>
    <w:link w:val="Ttulo1"/>
    <w:rsid w:val="003642D5"/>
    <w:rPr>
      <w:rFonts w:ascii="Arial" w:eastAsia="Times New Roman" w:hAnsi="Arial" w:cs="Arial"/>
      <w:b/>
      <w:bCs/>
      <w:kern w:val="32"/>
      <w:sz w:val="24"/>
      <w:szCs w:val="32"/>
      <w:lang w:val="es-ES" w:eastAsia="es-ES"/>
    </w:rPr>
  </w:style>
  <w:style w:type="paragraph" w:styleId="Subttulo">
    <w:name w:val="Subtitle"/>
    <w:basedOn w:val="Normal"/>
    <w:link w:val="SubttuloCar"/>
    <w:qFormat/>
    <w:rsid w:val="003642D5"/>
    <w:pPr>
      <w:spacing w:line="360" w:lineRule="auto"/>
      <w:jc w:val="both"/>
    </w:pPr>
    <w:rPr>
      <w:rFonts w:ascii="Bookman Old Style" w:hAnsi="Bookman Old Style"/>
      <w:b/>
      <w:kern w:val="18"/>
      <w:szCs w:val="20"/>
    </w:rPr>
  </w:style>
  <w:style w:type="character" w:customStyle="1" w:styleId="SubttuloCar">
    <w:name w:val="Subtítulo Car"/>
    <w:basedOn w:val="Fuentedeprrafopredeter"/>
    <w:link w:val="Subttulo"/>
    <w:rsid w:val="003642D5"/>
    <w:rPr>
      <w:rFonts w:ascii="Bookman Old Style" w:eastAsia="Times New Roman" w:hAnsi="Bookman Old Style" w:cs="Times New Roman"/>
      <w:b/>
      <w:kern w:val="18"/>
      <w:sz w:val="24"/>
      <w:szCs w:val="20"/>
      <w:lang w:val="es-ES" w:eastAsia="es-ES"/>
    </w:rPr>
  </w:style>
  <w:style w:type="character" w:customStyle="1" w:styleId="Ttulo2Car">
    <w:name w:val="Título 2 Car"/>
    <w:basedOn w:val="Fuentedeprrafopredeter"/>
    <w:link w:val="Ttulo2"/>
    <w:rsid w:val="003642D5"/>
    <w:rPr>
      <w:rFonts w:ascii="Arial" w:eastAsia="Times New Roman" w:hAnsi="Arial" w:cs="Arial"/>
      <w:b/>
      <w:kern w:val="18"/>
      <w:sz w:val="24"/>
      <w:szCs w:val="20"/>
      <w:lang w:val="es-ES" w:eastAsia="es-ES"/>
    </w:rPr>
  </w:style>
  <w:style w:type="paragraph" w:styleId="Textoindependiente2">
    <w:name w:val="Body Text 2"/>
    <w:basedOn w:val="Normal"/>
    <w:link w:val="Textoindependiente2Car"/>
    <w:semiHidden/>
    <w:rsid w:val="003642D5"/>
    <w:pPr>
      <w:spacing w:line="360" w:lineRule="auto"/>
    </w:pPr>
    <w:rPr>
      <w:rFonts w:ascii="Bookman Old Style" w:hAnsi="Bookman Old Style"/>
      <w:kern w:val="18"/>
      <w:szCs w:val="20"/>
    </w:rPr>
  </w:style>
  <w:style w:type="character" w:customStyle="1" w:styleId="Textoindependiente2Car">
    <w:name w:val="Texto independiente 2 Car"/>
    <w:basedOn w:val="Fuentedeprrafopredeter"/>
    <w:link w:val="Textoindependiente2"/>
    <w:semiHidden/>
    <w:rsid w:val="003642D5"/>
    <w:rPr>
      <w:rFonts w:ascii="Bookman Old Style" w:eastAsia="Times New Roman" w:hAnsi="Bookman Old Style" w:cs="Times New Roman"/>
      <w:kern w:val="18"/>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E2E"/>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3642D5"/>
    <w:pPr>
      <w:keepNext/>
      <w:spacing w:before="240" w:after="60"/>
      <w:outlineLvl w:val="0"/>
    </w:pPr>
    <w:rPr>
      <w:rFonts w:cs="Arial"/>
      <w:b/>
      <w:bCs/>
      <w:kern w:val="32"/>
      <w:szCs w:val="32"/>
    </w:rPr>
  </w:style>
  <w:style w:type="paragraph" w:styleId="Ttulo2">
    <w:name w:val="heading 2"/>
    <w:basedOn w:val="Normal"/>
    <w:next w:val="Textoindependiente"/>
    <w:link w:val="Ttulo2Car"/>
    <w:qFormat/>
    <w:rsid w:val="003642D5"/>
    <w:pPr>
      <w:spacing w:line="360" w:lineRule="auto"/>
      <w:jc w:val="both"/>
      <w:outlineLvl w:val="1"/>
    </w:pPr>
    <w:rPr>
      <w:rFonts w:cs="Arial"/>
      <w:b/>
      <w:kern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004E2E"/>
    <w:pPr>
      <w:spacing w:after="240" w:line="240" w:lineRule="atLeast"/>
      <w:jc w:val="both"/>
    </w:pPr>
    <w:rPr>
      <w:kern w:val="18"/>
      <w:szCs w:val="20"/>
      <w:lang w:val="es-ES_tradnl"/>
    </w:rPr>
  </w:style>
  <w:style w:type="character" w:customStyle="1" w:styleId="TextoindependienteCar">
    <w:name w:val="Texto independiente Car"/>
    <w:basedOn w:val="Fuentedeprrafopredeter"/>
    <w:link w:val="Textoindependiente"/>
    <w:semiHidden/>
    <w:rsid w:val="00004E2E"/>
    <w:rPr>
      <w:rFonts w:ascii="Arial" w:eastAsia="Times New Roman" w:hAnsi="Arial" w:cs="Times New Roman"/>
      <w:kern w:val="18"/>
      <w:sz w:val="24"/>
      <w:szCs w:val="20"/>
      <w:lang w:val="es-ES_tradnl" w:eastAsia="es-ES"/>
    </w:rPr>
  </w:style>
  <w:style w:type="paragraph" w:styleId="Textoindependiente3">
    <w:name w:val="Body Text 3"/>
    <w:basedOn w:val="Normal"/>
    <w:link w:val="Textoindependiente3Car"/>
    <w:semiHidden/>
    <w:rsid w:val="00004E2E"/>
    <w:pPr>
      <w:spacing w:line="360" w:lineRule="auto"/>
      <w:jc w:val="right"/>
    </w:pPr>
  </w:style>
  <w:style w:type="character" w:customStyle="1" w:styleId="Textoindependiente3Car">
    <w:name w:val="Texto independiente 3 Car"/>
    <w:basedOn w:val="Fuentedeprrafopredeter"/>
    <w:link w:val="Textoindependiente3"/>
    <w:semiHidden/>
    <w:rsid w:val="00004E2E"/>
    <w:rPr>
      <w:rFonts w:ascii="Arial" w:eastAsia="Times New Roman" w:hAnsi="Arial" w:cs="Times New Roman"/>
      <w:sz w:val="24"/>
      <w:szCs w:val="24"/>
      <w:lang w:val="es-ES" w:eastAsia="es-ES"/>
    </w:rPr>
  </w:style>
  <w:style w:type="character" w:customStyle="1" w:styleId="Ttulo1Car">
    <w:name w:val="Título 1 Car"/>
    <w:basedOn w:val="Fuentedeprrafopredeter"/>
    <w:link w:val="Ttulo1"/>
    <w:rsid w:val="003642D5"/>
    <w:rPr>
      <w:rFonts w:ascii="Arial" w:eastAsia="Times New Roman" w:hAnsi="Arial" w:cs="Arial"/>
      <w:b/>
      <w:bCs/>
      <w:kern w:val="32"/>
      <w:sz w:val="24"/>
      <w:szCs w:val="32"/>
      <w:lang w:val="es-ES" w:eastAsia="es-ES"/>
    </w:rPr>
  </w:style>
  <w:style w:type="paragraph" w:styleId="Subttulo">
    <w:name w:val="Subtitle"/>
    <w:basedOn w:val="Normal"/>
    <w:link w:val="SubttuloCar"/>
    <w:qFormat/>
    <w:rsid w:val="003642D5"/>
    <w:pPr>
      <w:spacing w:line="360" w:lineRule="auto"/>
      <w:jc w:val="both"/>
    </w:pPr>
    <w:rPr>
      <w:rFonts w:ascii="Bookman Old Style" w:hAnsi="Bookman Old Style"/>
      <w:b/>
      <w:kern w:val="18"/>
      <w:szCs w:val="20"/>
    </w:rPr>
  </w:style>
  <w:style w:type="character" w:customStyle="1" w:styleId="SubttuloCar">
    <w:name w:val="Subtítulo Car"/>
    <w:basedOn w:val="Fuentedeprrafopredeter"/>
    <w:link w:val="Subttulo"/>
    <w:rsid w:val="003642D5"/>
    <w:rPr>
      <w:rFonts w:ascii="Bookman Old Style" w:eastAsia="Times New Roman" w:hAnsi="Bookman Old Style" w:cs="Times New Roman"/>
      <w:b/>
      <w:kern w:val="18"/>
      <w:sz w:val="24"/>
      <w:szCs w:val="20"/>
      <w:lang w:val="es-ES" w:eastAsia="es-ES"/>
    </w:rPr>
  </w:style>
  <w:style w:type="character" w:customStyle="1" w:styleId="Ttulo2Car">
    <w:name w:val="Título 2 Car"/>
    <w:basedOn w:val="Fuentedeprrafopredeter"/>
    <w:link w:val="Ttulo2"/>
    <w:rsid w:val="003642D5"/>
    <w:rPr>
      <w:rFonts w:ascii="Arial" w:eastAsia="Times New Roman" w:hAnsi="Arial" w:cs="Arial"/>
      <w:b/>
      <w:kern w:val="18"/>
      <w:sz w:val="24"/>
      <w:szCs w:val="20"/>
      <w:lang w:val="es-ES" w:eastAsia="es-ES"/>
    </w:rPr>
  </w:style>
  <w:style w:type="paragraph" w:styleId="Textoindependiente2">
    <w:name w:val="Body Text 2"/>
    <w:basedOn w:val="Normal"/>
    <w:link w:val="Textoindependiente2Car"/>
    <w:semiHidden/>
    <w:rsid w:val="003642D5"/>
    <w:pPr>
      <w:spacing w:line="360" w:lineRule="auto"/>
    </w:pPr>
    <w:rPr>
      <w:rFonts w:ascii="Bookman Old Style" w:hAnsi="Bookman Old Style"/>
      <w:kern w:val="18"/>
      <w:szCs w:val="20"/>
    </w:rPr>
  </w:style>
  <w:style w:type="character" w:customStyle="1" w:styleId="Textoindependiente2Car">
    <w:name w:val="Texto independiente 2 Car"/>
    <w:basedOn w:val="Fuentedeprrafopredeter"/>
    <w:link w:val="Textoindependiente2"/>
    <w:semiHidden/>
    <w:rsid w:val="003642D5"/>
    <w:rPr>
      <w:rFonts w:ascii="Bookman Old Style" w:eastAsia="Times New Roman" w:hAnsi="Bookman Old Style" w:cs="Times New Roman"/>
      <w:kern w:val="18"/>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1619</Words>
  <Characters>8907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12495209</dc:creator>
  <cp:keywords/>
  <dc:description/>
  <cp:lastModifiedBy> </cp:lastModifiedBy>
  <cp:revision>5</cp:revision>
  <cp:lastPrinted>2013-07-04T16:33:00Z</cp:lastPrinted>
  <dcterms:created xsi:type="dcterms:W3CDTF">2013-07-03T20:30:00Z</dcterms:created>
  <dcterms:modified xsi:type="dcterms:W3CDTF">2013-07-30T17:31:00Z</dcterms:modified>
</cp:coreProperties>
</file>