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EF" w:rsidRDefault="00DE47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DOPTADA POR EL</w:t>
      </w:r>
    </w:p>
    <w:p w:rsidR="00DE47EF" w:rsidRDefault="00DE47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47EF" w:rsidRDefault="00DE47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E47EF" w:rsidRDefault="00DE47E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47EF" w:rsidRDefault="00DE47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 DE JULIO 2013</w:t>
      </w:r>
    </w:p>
    <w:p w:rsidR="00DE47EF" w:rsidRDefault="00DE47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47EF" w:rsidRPr="0030018B" w:rsidRDefault="00DE47E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30018B">
        <w:rPr>
          <w:rFonts w:ascii="Helvetica" w:hAnsi="Helvetica"/>
          <w:b/>
          <w:lang w:val="es-UY"/>
        </w:rPr>
        <w:t xml:space="preserve">(E. E. Nº 2013-17-1-0003515, </w:t>
      </w:r>
      <w:proofErr w:type="spellStart"/>
      <w:r w:rsidRPr="0030018B">
        <w:rPr>
          <w:rFonts w:ascii="Helvetica" w:hAnsi="Helvetica"/>
          <w:b/>
          <w:lang w:val="es-UY"/>
        </w:rPr>
        <w:t>Ent</w:t>
      </w:r>
      <w:proofErr w:type="spellEnd"/>
      <w:r w:rsidRPr="0030018B">
        <w:rPr>
          <w:rFonts w:ascii="Helvetica" w:hAnsi="Helvetica"/>
          <w:b/>
          <w:lang w:val="es-UY"/>
        </w:rPr>
        <w:t>. N° 3117/13)</w:t>
      </w:r>
    </w:p>
    <w:p w:rsidR="00DE47EF" w:rsidRPr="0030018B" w:rsidRDefault="00DE47EF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C7401" w:rsidRDefault="00BC7401" w:rsidP="00BC7401">
      <w:pPr>
        <w:pStyle w:val="Textoindependiente"/>
        <w:rPr>
          <w:lang w:val="es-UY"/>
        </w:rPr>
      </w:pPr>
    </w:p>
    <w:p w:rsidR="00BC7401" w:rsidRDefault="00BC7401" w:rsidP="00DE47EF">
      <w:pPr>
        <w:spacing w:line="360" w:lineRule="auto"/>
        <w:ind w:firstLine="851"/>
        <w:jc w:val="both"/>
      </w:pPr>
      <w:r>
        <w:rPr>
          <w:rFonts w:cs="Arial"/>
          <w:b/>
          <w:bCs/>
          <w:spacing w:val="-3"/>
          <w:lang w:val="es-ES_tradnl"/>
        </w:rPr>
        <w:t xml:space="preserve">VISTO: </w:t>
      </w:r>
      <w:r>
        <w:rPr>
          <w:rFonts w:cs="Arial"/>
          <w:spacing w:val="-3"/>
          <w:lang w:val="es-ES_tradnl"/>
        </w:rPr>
        <w:t>l</w:t>
      </w:r>
      <w:r>
        <w:rPr>
          <w:rFonts w:cs="Arial"/>
          <w:bCs/>
          <w:spacing w:val="-3"/>
          <w:lang w:val="es-ES_tradnl"/>
        </w:rPr>
        <w:t>as nuevas actuaciones remitidas por</w:t>
      </w:r>
      <w:r>
        <w:rPr>
          <w:rFonts w:cs="Arial"/>
          <w:spacing w:val="-3"/>
          <w:lang w:val="es-ES_tradnl"/>
        </w:rPr>
        <w:t xml:space="preserve"> el</w:t>
      </w:r>
      <w:r>
        <w:t xml:space="preserve"> Ministerio de Transporte y Obras Públicas, Dirección Nacional de Hidrografía</w:t>
      </w:r>
      <w:r>
        <w:rPr>
          <w:rFonts w:cs="Arial"/>
          <w:spacing w:val="-3"/>
          <w:lang w:val="es-ES_tradnl"/>
        </w:rPr>
        <w:t xml:space="preserve">, </w:t>
      </w:r>
      <w:r>
        <w:t xml:space="preserve">relacionadas con la ampliación de la Licitación Pública </w:t>
      </w:r>
      <w:r w:rsidR="00DE47EF">
        <w:rPr>
          <w:rFonts w:cs="Arial"/>
          <w:lang w:val="es-ES_tradnl"/>
        </w:rPr>
        <w:t xml:space="preserve">Nº </w:t>
      </w:r>
      <w:r>
        <w:rPr>
          <w:rFonts w:cs="Arial"/>
          <w:bCs/>
          <w:lang w:val="es-ES_tradnl"/>
        </w:rPr>
        <w:t>5/2007</w:t>
      </w:r>
      <w:r>
        <w:rPr>
          <w:rFonts w:cs="Arial"/>
          <w:b/>
          <w:bCs/>
          <w:lang w:val="es-ES_tradnl"/>
        </w:rPr>
        <w:t xml:space="preserve"> </w:t>
      </w:r>
      <w:r>
        <w:t>convocada para “el reacondicionamiento y recarga de los malecones sur y norte del arroyo de las vacas”</w:t>
      </w:r>
      <w:r>
        <w:rPr>
          <w:lang w:val="es-UY"/>
        </w:rPr>
        <w:t>;</w:t>
      </w:r>
    </w:p>
    <w:p w:rsidR="00BC7401" w:rsidRDefault="00BC7401" w:rsidP="00DE47EF">
      <w:pPr>
        <w:pStyle w:val="Prrafodelista"/>
        <w:spacing w:line="360" w:lineRule="auto"/>
        <w:ind w:left="60" w:firstLine="791"/>
        <w:jc w:val="both"/>
        <w:rPr>
          <w:lang w:val="es-UY"/>
        </w:rPr>
      </w:pPr>
      <w:r>
        <w:rPr>
          <w:rFonts w:cs="Arial"/>
          <w:b/>
          <w:bCs/>
          <w:spacing w:val="-3"/>
          <w:lang w:val="es-ES_tradnl"/>
        </w:rPr>
        <w:t xml:space="preserve">RESULTANDO: 1) </w:t>
      </w:r>
      <w:r>
        <w:rPr>
          <w:rFonts w:cs="Arial"/>
          <w:bCs/>
          <w:spacing w:val="-3"/>
          <w:lang w:val="es-ES_tradnl"/>
        </w:rPr>
        <w:t>que este</w:t>
      </w:r>
      <w:r>
        <w:rPr>
          <w:rFonts w:cs="Arial"/>
          <w:lang w:val="es-UY"/>
        </w:rPr>
        <w:t xml:space="preserve"> Tribunal, en Sesión de fecha 5 de diciembre de 2007, dispuso cometer al Contador Delegado en el Ministerio de Transporte y Obras Públicas la intervención del gasto de $ 80:384.395,83 emergente de la Licitación de referencia;</w:t>
      </w:r>
    </w:p>
    <w:p w:rsidR="00BC7401" w:rsidRDefault="00BC7401" w:rsidP="00DE47EF">
      <w:pPr>
        <w:pStyle w:val="Prrafodelista"/>
        <w:spacing w:line="360" w:lineRule="auto"/>
        <w:ind w:left="0" w:firstLine="2835"/>
        <w:jc w:val="both"/>
        <w:rPr>
          <w:lang w:val="es-UY"/>
        </w:rPr>
      </w:pPr>
      <w:r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que posteriormente, la Administración remitió  una primera ampliación y el Tribunal, en Sesión de fecha 15 de diciembre de 2010, dis</w:t>
      </w:r>
      <w:r w:rsidR="0030018B">
        <w:rPr>
          <w:rFonts w:cs="Arial"/>
          <w:lang w:val="es-UY"/>
        </w:rPr>
        <w:t>puso cometer al Contador Delegado</w:t>
      </w:r>
      <w:r>
        <w:rPr>
          <w:rFonts w:cs="Arial"/>
          <w:lang w:val="es-UY"/>
        </w:rPr>
        <w:t xml:space="preserve"> en el Ministerio de Transporte y Obras Públicas la intervención del gasto de $ 19:758.421,52;</w:t>
      </w:r>
    </w:p>
    <w:p w:rsidR="00BC7401" w:rsidRDefault="00BC7401" w:rsidP="00DE47EF">
      <w:pPr>
        <w:pStyle w:val="Prrafodelista"/>
        <w:spacing w:line="360" w:lineRule="auto"/>
        <w:ind w:left="60" w:firstLine="2775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que la Secretaría de Estado remitió una segunda ampliación de la contratación, ante la cual este Tribunal, en Sesión de fecha 2 de mayo de 2012, dispuso cometer al Contador Auditor ante el Ministerio de Transporte y Obras Públicas la intervención del gasto de $ 7:573.799,08, lo que se efectivizó con fecha 12 de julio de 2012;</w:t>
      </w:r>
    </w:p>
    <w:p w:rsidR="00BC7401" w:rsidRDefault="00BC7401" w:rsidP="00DE47EF">
      <w:pPr>
        <w:pStyle w:val="Prrafodelista"/>
        <w:spacing w:line="360" w:lineRule="auto"/>
        <w:ind w:left="60" w:firstLine="2775"/>
        <w:jc w:val="both"/>
        <w:rPr>
          <w:lang w:val="es-UY"/>
        </w:rPr>
      </w:pPr>
      <w:r>
        <w:rPr>
          <w:rFonts w:cs="Arial"/>
          <w:b/>
          <w:lang w:val="es-UY"/>
        </w:rPr>
        <w:t>4)</w:t>
      </w:r>
      <w:r>
        <w:rPr>
          <w:rFonts w:cs="Arial"/>
          <w:lang w:val="es-UY"/>
        </w:rPr>
        <w:t xml:space="preserve"> que con fecha 26.09.2012 la Contadora Auditora, en conocimiento de elementos que no había tenido al momento de la intervención del gasto, deja sin efectos la intervención efectuada y observa el gasto de la segunda ampliación, argumentando que se estaban realizando las obras en forma previa a la intervención del Tribunal de Cuentas, incumpliendo </w:t>
      </w:r>
      <w:r>
        <w:rPr>
          <w:rFonts w:cs="Arial"/>
          <w:lang w:val="es-UY"/>
        </w:rPr>
        <w:lastRenderedPageBreak/>
        <w:t>de es</w:t>
      </w:r>
      <w:r w:rsidR="00DE47EF">
        <w:rPr>
          <w:rFonts w:cs="Arial"/>
          <w:lang w:val="es-UY"/>
        </w:rPr>
        <w:t>ta manera lo establecido en el Artículo 211 Literal</w:t>
      </w:r>
      <w:r>
        <w:rPr>
          <w:rFonts w:cs="Arial"/>
          <w:lang w:val="es-UY"/>
        </w:rPr>
        <w:t xml:space="preserve"> B) de la Constitución de la República;</w:t>
      </w:r>
    </w:p>
    <w:p w:rsidR="00BC7401" w:rsidRDefault="00BC7401" w:rsidP="00DE47EF">
      <w:pPr>
        <w:pStyle w:val="Prrafodelista"/>
        <w:spacing w:line="360" w:lineRule="auto"/>
        <w:ind w:left="60" w:firstLine="2775"/>
        <w:jc w:val="both"/>
        <w:rPr>
          <w:lang w:val="es-UY"/>
        </w:rPr>
      </w:pPr>
      <w:r>
        <w:rPr>
          <w:b/>
          <w:lang w:val="es-UY"/>
        </w:rPr>
        <w:t xml:space="preserve">5) </w:t>
      </w:r>
      <w:r>
        <w:rPr>
          <w:lang w:val="es-UY"/>
        </w:rPr>
        <w:t>que en la oportunidad se remite Resolución del Poder Ejecutivo de fecha 13 de noviembre de 2012, mediante la cual se reitera el gasto, a efectos de minimizar las consecuencias negativas derivadas de la objeción, pues ello impide el pago de las facturas que la empresa presenta;</w:t>
      </w:r>
    </w:p>
    <w:p w:rsidR="00BC7401" w:rsidRDefault="00BC7401" w:rsidP="00BC7401">
      <w:pPr>
        <w:suppressAutoHyphens/>
        <w:spacing w:line="360" w:lineRule="auto"/>
        <w:jc w:val="both"/>
        <w:rPr>
          <w:rFonts w:cs="Arial"/>
          <w:b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DE47EF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>CONSIDERANDO:</w:t>
      </w:r>
      <w:r>
        <w:rPr>
          <w:rFonts w:cs="Arial"/>
          <w:b/>
        </w:rPr>
        <w:t xml:space="preserve"> </w:t>
      </w:r>
      <w:r>
        <w:rPr>
          <w:rFonts w:cs="Arial"/>
        </w:rPr>
        <w:t>que de lo expresado por la Administración no surgen elementos que ameriten el levantamiento de la observación dispuesta por el Contador Auditor con fecha 26.09.2012;</w:t>
      </w:r>
    </w:p>
    <w:p w:rsidR="00BC7401" w:rsidRDefault="00BC7401" w:rsidP="00DE47EF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spacing w:val="-3"/>
          <w:lang w:val="es-ES_tradnl"/>
        </w:rPr>
      </w:pPr>
      <w:r>
        <w:rPr>
          <w:rFonts w:cs="Arial"/>
          <w:b/>
          <w:spacing w:val="-3"/>
          <w:lang w:val="es-ES_tradnl"/>
        </w:rPr>
        <w:t>ATENTO:</w:t>
      </w:r>
      <w:r>
        <w:rPr>
          <w:rFonts w:cs="Arial"/>
          <w:spacing w:val="-3"/>
          <w:lang w:val="es-ES_tradnl"/>
        </w:rPr>
        <w:t xml:space="preserve"> a lo precedentemente expu</w:t>
      </w:r>
      <w:r w:rsidR="00DE47EF">
        <w:rPr>
          <w:rFonts w:cs="Arial"/>
          <w:spacing w:val="-3"/>
          <w:lang w:val="es-ES_tradnl"/>
        </w:rPr>
        <w:t>esto y a lo que dispone el Artículo 211 Literal</w:t>
      </w:r>
      <w:r>
        <w:rPr>
          <w:rFonts w:cs="Arial"/>
          <w:spacing w:val="-3"/>
          <w:lang w:val="es-ES_tradnl"/>
        </w:rPr>
        <w:t xml:space="preserve"> B) de </w:t>
      </w:r>
      <w:r w:rsidR="00DE47EF">
        <w:rPr>
          <w:rFonts w:cs="Arial"/>
          <w:spacing w:val="-3"/>
          <w:lang w:val="es-ES_tradnl"/>
        </w:rPr>
        <w:t>la Constitución de la República;</w:t>
      </w:r>
    </w:p>
    <w:p w:rsidR="00BC7401" w:rsidRDefault="00BC7401" w:rsidP="00BC7401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BC7401" w:rsidRDefault="00BC7401" w:rsidP="00BC7401">
      <w:pPr>
        <w:tabs>
          <w:tab w:val="left" w:pos="-720"/>
        </w:tabs>
        <w:suppressAutoHyphens/>
        <w:spacing w:line="360" w:lineRule="auto"/>
        <w:ind w:firstLine="720"/>
        <w:jc w:val="both"/>
        <w:rPr>
          <w:rFonts w:cs="Arial"/>
          <w:spacing w:val="-3"/>
          <w:u w:val="single"/>
        </w:rPr>
      </w:pPr>
    </w:p>
    <w:p w:rsidR="00BC7401" w:rsidRDefault="00BC7401" w:rsidP="00BC7401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>
        <w:rPr>
          <w:rFonts w:cs="Arial"/>
          <w:spacing w:val="-3"/>
          <w:lang w:val="es-ES_tradnl"/>
        </w:rPr>
        <w:t>Mantener la observación formulada por la Contadora Auditora con fecha 26 de setiembre de 2012;</w:t>
      </w:r>
    </w:p>
    <w:p w:rsidR="00BC7401" w:rsidRDefault="00DE47EF" w:rsidP="00BC7401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Comunicar al Poder Ejecutivo,</w:t>
      </w:r>
      <w:r w:rsidR="00BC7401">
        <w:rPr>
          <w:rFonts w:cs="Arial"/>
        </w:rPr>
        <w:t xml:space="preserve"> a la Contadora Auditora</w:t>
      </w:r>
      <w:r>
        <w:rPr>
          <w:rFonts w:cs="Arial"/>
        </w:rPr>
        <w:t>, y</w:t>
      </w:r>
    </w:p>
    <w:p w:rsidR="00BC7401" w:rsidRDefault="00BC7401" w:rsidP="00BC7401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Dar cuenta  a la Asamblea General.</w:t>
      </w:r>
    </w:p>
    <w:p w:rsidR="00DE47EF" w:rsidRDefault="00DE47EF" w:rsidP="00DE47EF">
      <w:pPr>
        <w:tabs>
          <w:tab w:val="left" w:pos="-720"/>
        </w:tabs>
        <w:suppressAutoHyphens/>
        <w:spacing w:line="360" w:lineRule="auto"/>
        <w:jc w:val="both"/>
        <w:rPr>
          <w:rFonts w:cs="Arial"/>
        </w:rPr>
      </w:pPr>
    </w:p>
    <w:p w:rsidR="00DE47EF" w:rsidRDefault="00DE47EF" w:rsidP="00DE47EF">
      <w:pPr>
        <w:tabs>
          <w:tab w:val="left" w:pos="-720"/>
        </w:tabs>
        <w:suppressAutoHyphens/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mp</w:t>
      </w:r>
      <w:proofErr w:type="spellEnd"/>
      <w:proofErr w:type="gramEnd"/>
    </w:p>
    <w:p w:rsidR="00686544" w:rsidRDefault="00BB3569"/>
    <w:sectPr w:rsidR="00686544" w:rsidSect="00BB3569">
      <w:footerReference w:type="default" r:id="rId8"/>
      <w:pgSz w:w="11906" w:h="16838" w:code="9"/>
      <w:pgMar w:top="351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EF" w:rsidRDefault="00DE47EF" w:rsidP="00DE47EF">
      <w:r>
        <w:separator/>
      </w:r>
    </w:p>
  </w:endnote>
  <w:endnote w:type="continuationSeparator" w:id="0">
    <w:p w:rsidR="00DE47EF" w:rsidRDefault="00DE47EF" w:rsidP="00DE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348740"/>
      <w:docPartObj>
        <w:docPartGallery w:val="Page Numbers (Bottom of Page)"/>
        <w:docPartUnique/>
      </w:docPartObj>
    </w:sdtPr>
    <w:sdtEndPr/>
    <w:sdtContent>
      <w:p w:rsidR="00DE47EF" w:rsidRDefault="00DE47E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69">
          <w:rPr>
            <w:noProof/>
          </w:rPr>
          <w:t>1</w:t>
        </w:r>
        <w:r>
          <w:fldChar w:fldCharType="end"/>
        </w:r>
      </w:p>
    </w:sdtContent>
  </w:sdt>
  <w:p w:rsidR="00DE47EF" w:rsidRDefault="00DE47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EF" w:rsidRDefault="00DE47EF" w:rsidP="00DE47EF">
      <w:r>
        <w:separator/>
      </w:r>
    </w:p>
  </w:footnote>
  <w:footnote w:type="continuationSeparator" w:id="0">
    <w:p w:rsidR="00DE47EF" w:rsidRDefault="00DE47EF" w:rsidP="00DE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34C"/>
    <w:multiLevelType w:val="singleLevel"/>
    <w:tmpl w:val="E572C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01"/>
    <w:rsid w:val="000D73AB"/>
    <w:rsid w:val="0030018B"/>
    <w:rsid w:val="00BB3569"/>
    <w:rsid w:val="00BC7401"/>
    <w:rsid w:val="00CF219E"/>
    <w:rsid w:val="00D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0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C7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C740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C740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C740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BC74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4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7E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4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7E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0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C7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C740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C740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C740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BC74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4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7E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4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7E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Mariangeles Prado</dc:creator>
  <cp:keywords/>
  <dc:description/>
  <cp:lastModifiedBy>Mariangeles Prado</cp:lastModifiedBy>
  <cp:revision>4</cp:revision>
  <dcterms:created xsi:type="dcterms:W3CDTF">2013-07-03T19:14:00Z</dcterms:created>
  <dcterms:modified xsi:type="dcterms:W3CDTF">2013-07-04T14:51:00Z</dcterms:modified>
</cp:coreProperties>
</file>