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E3" w:rsidRPr="002070E3" w:rsidRDefault="002070E3" w:rsidP="002070E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1801/19</w:t>
      </w:r>
    </w:p>
    <w:p w:rsidR="002070E3" w:rsidRDefault="002070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070E3" w:rsidRPr="00762B34" w:rsidRDefault="002070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070E3" w:rsidRPr="00762B34" w:rsidRDefault="002070E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070E3" w:rsidRPr="00762B34" w:rsidRDefault="002070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070E3" w:rsidRPr="00762B34" w:rsidRDefault="002070E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070E3" w:rsidRPr="00762B34" w:rsidRDefault="002070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31 DE JULIO </w:t>
      </w:r>
      <w:r>
        <w:rPr>
          <w:rFonts w:ascii="Helvetica" w:hAnsi="Helvetica"/>
          <w:b/>
          <w:lang w:val="es-ES_tradnl"/>
        </w:rPr>
        <w:t>DE 2019</w:t>
      </w:r>
    </w:p>
    <w:p w:rsidR="002070E3" w:rsidRPr="00762B34" w:rsidRDefault="002070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070E3" w:rsidRPr="00C03D28" w:rsidRDefault="002070E3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C03D28">
        <w:rPr>
          <w:rFonts w:cs="Arial"/>
          <w:b/>
          <w:lang w:val="es-UY"/>
        </w:rPr>
        <w:t xml:space="preserve">(E. E. Nº </w:t>
      </w:r>
      <w:r w:rsidRPr="002070E3">
        <w:rPr>
          <w:b/>
        </w:rPr>
        <w:t>2017-17-1-0005006</w:t>
      </w:r>
      <w:r w:rsidRPr="00C03D28">
        <w:rPr>
          <w:rFonts w:cs="Arial"/>
          <w:b/>
          <w:lang w:val="es-UY"/>
        </w:rPr>
        <w:t xml:space="preserve">, </w:t>
      </w:r>
      <w:proofErr w:type="spellStart"/>
      <w:r w:rsidRPr="00C03D28">
        <w:rPr>
          <w:rFonts w:cs="Arial"/>
          <w:b/>
          <w:lang w:val="es-UY"/>
        </w:rPr>
        <w:t>Ent</w:t>
      </w:r>
      <w:proofErr w:type="spellEnd"/>
      <w:r w:rsidRPr="00C03D28">
        <w:rPr>
          <w:rFonts w:cs="Arial"/>
          <w:b/>
          <w:lang w:val="es-UY"/>
        </w:rPr>
        <w:t>. N°</w:t>
      </w:r>
      <w:r w:rsidR="00C03D28" w:rsidRPr="00C03D28">
        <w:rPr>
          <w:rFonts w:cs="Arial"/>
          <w:b/>
          <w:lang w:val="es-UY"/>
        </w:rPr>
        <w:t xml:space="preserve"> </w:t>
      </w:r>
      <w:r w:rsidRPr="00C03D28">
        <w:rPr>
          <w:rFonts w:cs="Arial"/>
          <w:b/>
          <w:lang w:val="es-UY"/>
        </w:rPr>
        <w:t>2597/19)</w:t>
      </w:r>
    </w:p>
    <w:p w:rsidR="003A78D8" w:rsidRDefault="003A78D8" w:rsidP="003A78D8">
      <w:pPr>
        <w:spacing w:line="360" w:lineRule="auto"/>
        <w:jc w:val="both"/>
      </w:pPr>
    </w:p>
    <w:p w:rsidR="003A78D8" w:rsidRPr="00B323CE" w:rsidRDefault="003A78D8" w:rsidP="00C03D28">
      <w:pPr>
        <w:pStyle w:val="Textoindependiente"/>
        <w:ind w:firstLine="851"/>
      </w:pPr>
      <w:r w:rsidRPr="00F84293">
        <w:rPr>
          <w:b/>
        </w:rPr>
        <w:t>VISTO:</w:t>
      </w:r>
      <w:r>
        <w:t xml:space="preserve"> las nuevas actuaciones remitidas por  la</w:t>
      </w:r>
      <w:r w:rsidRPr="00BD3007">
        <w:t xml:space="preserve"> Unidad Centralizada de Adquisiciones</w:t>
      </w:r>
      <w:r>
        <w:t xml:space="preserve"> de</w:t>
      </w:r>
      <w:r w:rsidRPr="00B323CE">
        <w:t>l Ministerio de Economía y Finanzas</w:t>
      </w:r>
      <w:r>
        <w:t>,</w:t>
      </w:r>
      <w:r w:rsidRPr="00B323CE">
        <w:t xml:space="preserve"> relacionadas con el Llamado Nº </w:t>
      </w:r>
      <w:r>
        <w:t>5</w:t>
      </w:r>
      <w:r w:rsidRPr="00B323CE">
        <w:t>/201</w:t>
      </w:r>
      <w:r>
        <w:t>7</w:t>
      </w:r>
      <w:r w:rsidRPr="00B323CE">
        <w:t xml:space="preserve">, convocado para el </w:t>
      </w:r>
      <w:r>
        <w:t>“Suministr</w:t>
      </w:r>
      <w:r w:rsidR="00C03D28">
        <w:t>o de ropa de uso hospitalario”;</w:t>
      </w:r>
    </w:p>
    <w:p w:rsidR="003A78D8" w:rsidRPr="00300CE0" w:rsidRDefault="003A78D8" w:rsidP="00C03D28">
      <w:pPr>
        <w:spacing w:line="360" w:lineRule="auto"/>
        <w:ind w:firstLine="851"/>
        <w:jc w:val="both"/>
      </w:pPr>
      <w:r w:rsidRPr="00F84293">
        <w:rPr>
          <w:b/>
        </w:rPr>
        <w:t>RESULTANDO: 1)</w:t>
      </w:r>
      <w:r w:rsidRPr="00F84293">
        <w:t xml:space="preserve"> que en Sesión de fecha 24 de enero de 2018, </w:t>
      </w:r>
      <w:r>
        <w:rPr>
          <w:bCs/>
          <w:iCs/>
        </w:rPr>
        <w:t xml:space="preserve">este Tribunal acordó observar el gasto emergente del llamado de referencia, en virtud de que: </w:t>
      </w:r>
      <w:r w:rsidRPr="00F84293">
        <w:rPr>
          <w:bCs/>
          <w:iCs/>
        </w:rPr>
        <w:t xml:space="preserve">“1) el Pliego de Condiciones que rigió el llamado estableció en su Artículo 7 referente a las “Garantías” que: “La garantía de mantenimiento de oferta será constituida por un equivalente </w:t>
      </w:r>
      <w:bookmarkStart w:id="0" w:name="_GoBack"/>
      <w:bookmarkEnd w:id="0"/>
      <w:r w:rsidRPr="00F84293">
        <w:rPr>
          <w:bCs/>
          <w:iCs/>
        </w:rPr>
        <w:t>al 1% del valor total de la oferta, impuestos incluidos”; 2) dicha disposición vulnera la previsión establecida en el Artículo 64 del T.O.C.A.F., que establece: “Los oferentes podrán garantizar el mantenimiento de su oferta mediante el depósito en efectivo o en valores públicos, fianza o aval bancario, o póliza de seguro de fianza, por un valor fijo en moneda nacional o extranjera que la Administración deberá determinar expresamente en el pliego particular”</w:t>
      </w:r>
      <w:r w:rsidR="00C03D28">
        <w:rPr>
          <w:bCs/>
          <w:iCs/>
        </w:rPr>
        <w:t>;</w:t>
      </w:r>
    </w:p>
    <w:p w:rsidR="003A78D8" w:rsidRPr="00CC2264" w:rsidRDefault="003A78D8" w:rsidP="00C03D28">
      <w:pPr>
        <w:spacing w:line="360" w:lineRule="auto"/>
        <w:ind w:firstLine="2694"/>
        <w:jc w:val="both"/>
      </w:pPr>
      <w:r w:rsidRPr="00F84293">
        <w:rPr>
          <w:b/>
        </w:rPr>
        <w:t>2)</w:t>
      </w:r>
      <w:r>
        <w:t xml:space="preserve"> que e</w:t>
      </w:r>
      <w:r w:rsidRPr="00A019C6">
        <w:t xml:space="preserve">n </w:t>
      </w:r>
      <w:r w:rsidRPr="00F84293">
        <w:rPr>
          <w:bCs/>
          <w:iCs/>
        </w:rPr>
        <w:t>Sesión de fecha 2 de mayo de 2018,</w:t>
      </w:r>
      <w:r w:rsidRPr="00A019C6">
        <w:rPr>
          <w:b/>
          <w:bCs/>
          <w:i/>
          <w:iCs/>
        </w:rPr>
        <w:t xml:space="preserve"> </w:t>
      </w:r>
      <w:r>
        <w:rPr>
          <w:bCs/>
          <w:iCs/>
        </w:rPr>
        <w:t>este Tribunal,</w:t>
      </w:r>
      <w:r w:rsidRPr="00A019C6">
        <w:rPr>
          <w:b/>
          <w:bCs/>
          <w:i/>
          <w:iCs/>
        </w:rPr>
        <w:t xml:space="preserve"> </w:t>
      </w:r>
      <w:r>
        <w:rPr>
          <w:bCs/>
          <w:iCs/>
        </w:rPr>
        <w:t>en oportunidad de expedirse sobre la reconsideración de la observación formulada, acordó “expedirse conforme los Considerandos de la presente resolución”</w:t>
      </w:r>
      <w:r w:rsidR="009571BF">
        <w:rPr>
          <w:bCs/>
          <w:iCs/>
        </w:rPr>
        <w:t>, sin apartarse de su dictamen;</w:t>
      </w:r>
    </w:p>
    <w:p w:rsidR="003A78D8" w:rsidRDefault="003A78D8" w:rsidP="00C03D28">
      <w:pPr>
        <w:spacing w:line="360" w:lineRule="auto"/>
        <w:ind w:firstLine="2694"/>
        <w:jc w:val="both"/>
        <w:rPr>
          <w:bCs/>
          <w:iCs/>
        </w:rPr>
      </w:pPr>
      <w:r w:rsidRPr="00F84293">
        <w:rPr>
          <w:b/>
        </w:rPr>
        <w:t>3)</w:t>
      </w:r>
      <w:r>
        <w:t xml:space="preserve"> que e</w:t>
      </w:r>
      <w:r w:rsidRPr="00A019C6">
        <w:t xml:space="preserve">n </w:t>
      </w:r>
      <w:r w:rsidRPr="00F84293">
        <w:rPr>
          <w:bCs/>
          <w:iCs/>
        </w:rPr>
        <w:t xml:space="preserve">Sesión de fecha 27 de junio de 2018, </w:t>
      </w:r>
      <w:r>
        <w:rPr>
          <w:bCs/>
          <w:iCs/>
        </w:rPr>
        <w:t xml:space="preserve">en oportunidad de considerar la reiteración del gasto original, </w:t>
      </w:r>
      <w:r w:rsidRPr="00E639DD">
        <w:rPr>
          <w:bCs/>
          <w:iCs/>
        </w:rPr>
        <w:t xml:space="preserve">este Tribunal  acordó </w:t>
      </w:r>
      <w:r>
        <w:rPr>
          <w:bCs/>
          <w:iCs/>
        </w:rPr>
        <w:t>mantener la observación formulada en Sesió</w:t>
      </w:r>
      <w:r w:rsidR="00C03D28">
        <w:rPr>
          <w:bCs/>
          <w:iCs/>
        </w:rPr>
        <w:t>n de fecha 24 de enero de 2018;</w:t>
      </w:r>
    </w:p>
    <w:p w:rsidR="00F45CEC" w:rsidRDefault="00F45CEC" w:rsidP="00C03D28">
      <w:pPr>
        <w:spacing w:line="360" w:lineRule="auto"/>
        <w:ind w:firstLine="2694"/>
        <w:jc w:val="both"/>
        <w:rPr>
          <w:bCs/>
          <w:iCs/>
        </w:rPr>
      </w:pPr>
      <w:r w:rsidRPr="00F45CEC">
        <w:rPr>
          <w:b/>
          <w:bCs/>
          <w:iCs/>
        </w:rPr>
        <w:lastRenderedPageBreak/>
        <w:t>4)</w:t>
      </w:r>
      <w:r w:rsidRPr="00F45CEC">
        <w:rPr>
          <w:bCs/>
          <w:iCs/>
        </w:rPr>
        <w:t xml:space="preserve"> que en Sesión de fecha 5 de diciembre de 2018, este Tribunal acordó observar el gasto emergente de la adjudicación parcial referente al ítem 37, en virtud de que derivaba de un gasto observado, reiterado y mantenido;</w:t>
      </w:r>
    </w:p>
    <w:p w:rsidR="00F45CEC" w:rsidRDefault="00F45CEC" w:rsidP="00C03D28">
      <w:pPr>
        <w:spacing w:line="360" w:lineRule="auto"/>
        <w:ind w:firstLine="2694"/>
        <w:jc w:val="both"/>
        <w:rPr>
          <w:bCs/>
          <w:iCs/>
        </w:rPr>
      </w:pPr>
      <w:r w:rsidRPr="00F45CEC">
        <w:rPr>
          <w:b/>
          <w:bCs/>
          <w:iCs/>
        </w:rPr>
        <w:t>5)</w:t>
      </w:r>
      <w:r>
        <w:rPr>
          <w:bCs/>
          <w:iCs/>
        </w:rPr>
        <w:t xml:space="preserve"> que </w:t>
      </w:r>
      <w:r w:rsidR="009571BF">
        <w:rPr>
          <w:bCs/>
          <w:iCs/>
        </w:rPr>
        <w:t xml:space="preserve">posteriormente, </w:t>
      </w:r>
      <w:r>
        <w:rPr>
          <w:bCs/>
          <w:iCs/>
        </w:rPr>
        <w:t>e</w:t>
      </w:r>
      <w:r w:rsidRPr="00F45CEC">
        <w:rPr>
          <w:bCs/>
          <w:iCs/>
        </w:rPr>
        <w:t>n Sesión de fecha 16 de enero de 2019, este Tribunal acordó</w:t>
      </w:r>
      <w:r w:rsidR="00602EF4">
        <w:rPr>
          <w:bCs/>
          <w:iCs/>
        </w:rPr>
        <w:t>,</w:t>
      </w:r>
      <w:r w:rsidRPr="00F45CEC">
        <w:rPr>
          <w:bCs/>
          <w:iCs/>
        </w:rPr>
        <w:t xml:space="preserve"> en relación a la reiteración del gasto emergente derivado de la adjudicación del ítem 37, </w:t>
      </w:r>
      <w:r w:rsidRPr="00DD1E05">
        <w:rPr>
          <w:bCs/>
          <w:iCs/>
        </w:rPr>
        <w:t>mantener</w:t>
      </w:r>
      <w:r>
        <w:rPr>
          <w:bCs/>
          <w:iCs/>
        </w:rPr>
        <w:t xml:space="preserve"> la observación formulada en Sesión de fecha 5 de diciembre de 2018;</w:t>
      </w:r>
    </w:p>
    <w:p w:rsidR="00A87918" w:rsidRDefault="00A87918" w:rsidP="00C03D28">
      <w:pPr>
        <w:spacing w:line="360" w:lineRule="auto"/>
        <w:ind w:firstLine="2694"/>
        <w:jc w:val="both"/>
        <w:rPr>
          <w:bCs/>
          <w:iCs/>
        </w:rPr>
      </w:pPr>
      <w:r w:rsidRPr="00A87918">
        <w:rPr>
          <w:b/>
          <w:bCs/>
          <w:iCs/>
        </w:rPr>
        <w:t>6)</w:t>
      </w:r>
      <w:r>
        <w:rPr>
          <w:bCs/>
          <w:iCs/>
        </w:rPr>
        <w:t xml:space="preserve"> </w:t>
      </w:r>
      <w:r w:rsidRPr="00F45CEC">
        <w:rPr>
          <w:bCs/>
          <w:iCs/>
        </w:rPr>
        <w:t xml:space="preserve">que en Sesión de fecha 5 de </w:t>
      </w:r>
      <w:r>
        <w:rPr>
          <w:bCs/>
          <w:iCs/>
        </w:rPr>
        <w:t>junio</w:t>
      </w:r>
      <w:r w:rsidRPr="00F45CEC">
        <w:rPr>
          <w:bCs/>
          <w:iCs/>
        </w:rPr>
        <w:t xml:space="preserve"> de 201</w:t>
      </w:r>
      <w:r>
        <w:rPr>
          <w:bCs/>
          <w:iCs/>
        </w:rPr>
        <w:t>9</w:t>
      </w:r>
      <w:r w:rsidRPr="00F45CEC">
        <w:rPr>
          <w:bCs/>
          <w:iCs/>
        </w:rPr>
        <w:t xml:space="preserve">, este Tribunal acordó observar el gasto emergente de la adjudicación </w:t>
      </w:r>
      <w:r>
        <w:rPr>
          <w:bCs/>
          <w:iCs/>
        </w:rPr>
        <w:t>del saldo</w:t>
      </w:r>
      <w:r w:rsidRPr="00F45CEC">
        <w:rPr>
          <w:bCs/>
          <w:iCs/>
        </w:rPr>
        <w:t xml:space="preserve"> referente al ítem 37, en virtud de que derivaba de un gasto observado, reiterado y mantenido;</w:t>
      </w:r>
    </w:p>
    <w:p w:rsidR="00A87918" w:rsidRDefault="00A87918" w:rsidP="00C03D28">
      <w:pPr>
        <w:spacing w:line="360" w:lineRule="auto"/>
        <w:ind w:firstLine="2694"/>
        <w:jc w:val="both"/>
        <w:rPr>
          <w:rFonts w:cs="Arial"/>
          <w:lang w:val="es-ES_tradnl"/>
        </w:rPr>
      </w:pPr>
      <w:r w:rsidRPr="00A87918">
        <w:rPr>
          <w:b/>
          <w:bCs/>
          <w:iCs/>
        </w:rPr>
        <w:t>7)</w:t>
      </w:r>
      <w:r w:rsidR="003A78D8" w:rsidRPr="0087331A">
        <w:t xml:space="preserve"> que en esta oportunidad, se remite </w:t>
      </w:r>
      <w:r>
        <w:t xml:space="preserve">Resolución de la Dirección Ejecutiva de la </w:t>
      </w:r>
      <w:r w:rsidR="003A78D8" w:rsidRPr="0087331A">
        <w:t xml:space="preserve">UCA de fecha </w:t>
      </w:r>
      <w:r>
        <w:t>25 de junio</w:t>
      </w:r>
      <w:r w:rsidR="00F45CEC" w:rsidRPr="0087331A">
        <w:t xml:space="preserve"> </w:t>
      </w:r>
      <w:r w:rsidR="003A78D8" w:rsidRPr="0087331A">
        <w:t>de 201</w:t>
      </w:r>
      <w:r w:rsidR="00F45CEC" w:rsidRPr="0087331A">
        <w:t>9</w:t>
      </w:r>
      <w:r w:rsidR="003A78D8" w:rsidRPr="0087331A">
        <w:t xml:space="preserve">, </w:t>
      </w:r>
      <w:r>
        <w:t xml:space="preserve">en la que se señala que la Unidad </w:t>
      </w:r>
      <w:r>
        <w:rPr>
          <w:rFonts w:cs="Arial"/>
          <w:lang w:val="es-ES_tradnl"/>
        </w:rPr>
        <w:t xml:space="preserve">ha tomado en cuenta lo observado por este Tribunal, habiendo ajustado los Pliegos de los siguientes llamados realizados y, que la observación formulada refiere a la inobservancia de una disposición que no afecta principios fundamentales de la contratación administrativa, por lo que entiende pertinente insistir en el gasto observado con fecha 5 de junio de 2019, habida cuenta las necesidades impostergables de los Organismos </w:t>
      </w:r>
      <w:r w:rsidR="00263A05">
        <w:rPr>
          <w:rFonts w:cs="Arial"/>
          <w:lang w:val="es-ES_tradnl"/>
        </w:rPr>
        <w:t>con</w:t>
      </w:r>
      <w:r>
        <w:rPr>
          <w:rFonts w:cs="Arial"/>
          <w:lang w:val="es-ES_tradnl"/>
        </w:rPr>
        <w:t xml:space="preserve"> relación </w:t>
      </w:r>
      <w:r w:rsidR="00263A05">
        <w:rPr>
          <w:rFonts w:cs="Arial"/>
          <w:lang w:val="es-ES_tradnl"/>
        </w:rPr>
        <w:t>a</w:t>
      </w:r>
      <w:r w:rsidR="007510D0">
        <w:rPr>
          <w:rFonts w:cs="Arial"/>
          <w:lang w:val="es-ES_tradnl"/>
        </w:rPr>
        <w:t xml:space="preserve"> los insumos </w:t>
      </w:r>
      <w:r>
        <w:rPr>
          <w:rFonts w:cs="Arial"/>
          <w:lang w:val="es-ES_tradnl"/>
        </w:rPr>
        <w:t>a suministr</w:t>
      </w:r>
      <w:r w:rsidR="007510D0">
        <w:rPr>
          <w:rFonts w:cs="Arial"/>
          <w:lang w:val="es-ES_tradnl"/>
        </w:rPr>
        <w:t>ar</w:t>
      </w:r>
      <w:r w:rsidR="00263A05">
        <w:rPr>
          <w:rFonts w:cs="Arial"/>
          <w:lang w:val="es-ES_tradnl"/>
        </w:rPr>
        <w:t>se</w:t>
      </w:r>
      <w:r>
        <w:rPr>
          <w:rFonts w:cs="Arial"/>
          <w:lang w:val="es-ES_tradnl"/>
        </w:rPr>
        <w:t>;</w:t>
      </w:r>
    </w:p>
    <w:p w:rsidR="00EE1C3A" w:rsidRPr="00060ED3" w:rsidRDefault="00EE1C3A" w:rsidP="00C03D28">
      <w:pPr>
        <w:spacing w:line="360" w:lineRule="auto"/>
        <w:ind w:firstLine="851"/>
        <w:jc w:val="both"/>
        <w:rPr>
          <w:rFonts w:cs="Arial"/>
          <w:bCs/>
        </w:rPr>
      </w:pPr>
      <w:r w:rsidRPr="00EE1C3A">
        <w:rPr>
          <w:rFonts w:cs="Arial"/>
          <w:b/>
          <w:bCs/>
        </w:rPr>
        <w:t>CONSIDERANDO:</w:t>
      </w:r>
      <w:r w:rsidRPr="00B145A2">
        <w:rPr>
          <w:rFonts w:cs="Arial"/>
          <w:bCs/>
        </w:rPr>
        <w:t xml:space="preserve"> </w:t>
      </w:r>
      <w:r w:rsidRPr="00060ED3">
        <w:rPr>
          <w:rFonts w:cs="Arial"/>
          <w:bCs/>
        </w:rPr>
        <w:t xml:space="preserve">que </w:t>
      </w:r>
      <w:r w:rsidR="009571BF">
        <w:rPr>
          <w:rFonts w:cs="Arial"/>
          <w:bCs/>
        </w:rPr>
        <w:t xml:space="preserve">si bien la </w:t>
      </w:r>
      <w:r w:rsidRPr="00060ED3">
        <w:rPr>
          <w:rFonts w:cs="Arial"/>
          <w:bCs/>
        </w:rPr>
        <w:t xml:space="preserve">Administración </w:t>
      </w:r>
      <w:r w:rsidR="009571BF">
        <w:rPr>
          <w:rFonts w:cs="Arial"/>
          <w:bCs/>
        </w:rPr>
        <w:t xml:space="preserve">manifiesta </w:t>
      </w:r>
      <w:r w:rsidR="009571BF" w:rsidRPr="009571BF">
        <w:rPr>
          <w:rFonts w:cs="Arial"/>
          <w:bCs/>
        </w:rPr>
        <w:t>hab</w:t>
      </w:r>
      <w:r w:rsidR="009571BF">
        <w:rPr>
          <w:rFonts w:cs="Arial"/>
          <w:bCs/>
        </w:rPr>
        <w:t>er</w:t>
      </w:r>
      <w:r w:rsidR="009571BF" w:rsidRPr="009571BF">
        <w:rPr>
          <w:rFonts w:cs="Arial"/>
          <w:bCs/>
        </w:rPr>
        <w:t xml:space="preserve"> ajustado los Pliegos de los siguientes llamados</w:t>
      </w:r>
      <w:r w:rsidR="009571BF">
        <w:rPr>
          <w:rFonts w:cs="Arial"/>
          <w:bCs/>
        </w:rPr>
        <w:t xml:space="preserve"> tomando en cuenta la observación formulada, se</w:t>
      </w:r>
      <w:r w:rsidRPr="00060ED3">
        <w:rPr>
          <w:rFonts w:cs="Arial"/>
          <w:bCs/>
        </w:rPr>
        <w:t xml:space="preserve"> mant</w:t>
      </w:r>
      <w:r w:rsidR="009571BF">
        <w:rPr>
          <w:rFonts w:cs="Arial"/>
          <w:bCs/>
        </w:rPr>
        <w:t>i</w:t>
      </w:r>
      <w:r w:rsidRPr="00060ED3">
        <w:rPr>
          <w:rFonts w:cs="Arial"/>
          <w:bCs/>
        </w:rPr>
        <w:t>en</w:t>
      </w:r>
      <w:r w:rsidR="009571BF">
        <w:rPr>
          <w:rFonts w:cs="Arial"/>
          <w:bCs/>
        </w:rPr>
        <w:t>en</w:t>
      </w:r>
      <w:r w:rsidRPr="00060ED3">
        <w:rPr>
          <w:rFonts w:cs="Arial"/>
          <w:bCs/>
        </w:rPr>
        <w:t xml:space="preserve"> inalteradas las razones por las cuales se observó el gasto de referencia;</w:t>
      </w:r>
    </w:p>
    <w:p w:rsidR="00EE1C3A" w:rsidRDefault="00EE1C3A" w:rsidP="00C03D28">
      <w:pPr>
        <w:spacing w:line="360" w:lineRule="auto"/>
        <w:ind w:firstLine="851"/>
        <w:jc w:val="both"/>
        <w:rPr>
          <w:rFonts w:cs="Arial"/>
          <w:bCs/>
          <w:lang w:val="es-UY"/>
        </w:rPr>
      </w:pPr>
      <w:r w:rsidRPr="00EE1C3A">
        <w:rPr>
          <w:rFonts w:cs="Arial"/>
          <w:b/>
          <w:lang w:val="es-UY"/>
        </w:rPr>
        <w:t>ATENTO:</w:t>
      </w:r>
      <w:r w:rsidRPr="008F157E">
        <w:rPr>
          <w:rFonts w:cs="Arial"/>
          <w:lang w:val="es-UY"/>
        </w:rPr>
        <w:t xml:space="preserve"> </w:t>
      </w:r>
      <w:r w:rsidRPr="008F157E">
        <w:rPr>
          <w:rFonts w:cs="Arial"/>
          <w:bCs/>
          <w:lang w:val="es-UY"/>
        </w:rPr>
        <w:t>a lo precedentemente expuesto;</w:t>
      </w:r>
    </w:p>
    <w:p w:rsidR="002070E3" w:rsidRDefault="002070E3" w:rsidP="00EE1C3A">
      <w:pPr>
        <w:spacing w:line="360" w:lineRule="auto"/>
        <w:ind w:firstLine="708"/>
        <w:jc w:val="both"/>
        <w:rPr>
          <w:rFonts w:cs="Arial"/>
          <w:bCs/>
          <w:lang w:val="es-UY"/>
        </w:rPr>
      </w:pPr>
    </w:p>
    <w:p w:rsidR="002070E3" w:rsidRDefault="002070E3" w:rsidP="00EE1C3A">
      <w:pPr>
        <w:spacing w:line="360" w:lineRule="auto"/>
        <w:ind w:firstLine="708"/>
        <w:jc w:val="both"/>
        <w:rPr>
          <w:rFonts w:cs="Arial"/>
          <w:bCs/>
          <w:lang w:val="es-UY"/>
        </w:rPr>
      </w:pPr>
    </w:p>
    <w:p w:rsidR="002070E3" w:rsidRPr="008F157E" w:rsidRDefault="002070E3" w:rsidP="00EE1C3A">
      <w:pPr>
        <w:spacing w:line="360" w:lineRule="auto"/>
        <w:ind w:firstLine="708"/>
        <w:jc w:val="both"/>
        <w:rPr>
          <w:rFonts w:cs="Arial"/>
          <w:b/>
          <w:bCs/>
          <w:lang w:val="es-UY"/>
        </w:rPr>
      </w:pPr>
    </w:p>
    <w:p w:rsidR="00EE1C3A" w:rsidRPr="00B145A2" w:rsidRDefault="00EE1C3A" w:rsidP="002070E3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EE1C3A" w:rsidRPr="00817335" w:rsidRDefault="00EE1C3A" w:rsidP="00EE1C3A">
      <w:pPr>
        <w:spacing w:line="360" w:lineRule="auto"/>
        <w:jc w:val="both"/>
        <w:rPr>
          <w:rFonts w:cs="Arial"/>
          <w:b/>
          <w:bCs/>
        </w:rPr>
      </w:pPr>
      <w:r w:rsidRPr="00EE1C3A">
        <w:rPr>
          <w:rFonts w:cs="Arial"/>
          <w:b/>
          <w:bCs/>
        </w:rPr>
        <w:t>1)</w:t>
      </w:r>
      <w:r w:rsidRPr="00817335">
        <w:rPr>
          <w:rFonts w:cs="Arial"/>
          <w:bCs/>
        </w:rPr>
        <w:t xml:space="preserve"> Mantener la observación formulada con fecha </w:t>
      </w:r>
      <w:r>
        <w:rPr>
          <w:rFonts w:cs="Arial"/>
          <w:bCs/>
        </w:rPr>
        <w:t>05/06/2019</w:t>
      </w:r>
      <w:r w:rsidRPr="00817335">
        <w:rPr>
          <w:rFonts w:cs="Arial"/>
          <w:bCs/>
        </w:rPr>
        <w:t>;</w:t>
      </w:r>
    </w:p>
    <w:p w:rsidR="00EE1C3A" w:rsidRPr="00817335" w:rsidRDefault="00EE1C3A" w:rsidP="00EE1C3A">
      <w:pPr>
        <w:spacing w:line="360" w:lineRule="auto"/>
        <w:jc w:val="both"/>
        <w:rPr>
          <w:rFonts w:cs="Arial"/>
          <w:b/>
          <w:bCs/>
        </w:rPr>
      </w:pPr>
      <w:r w:rsidRPr="00A87918">
        <w:rPr>
          <w:rFonts w:cs="Arial"/>
          <w:b/>
          <w:bCs/>
        </w:rPr>
        <w:t>2)</w:t>
      </w:r>
      <w:r>
        <w:rPr>
          <w:rFonts w:cs="Arial"/>
          <w:bCs/>
        </w:rPr>
        <w:t xml:space="preserve"> </w:t>
      </w:r>
      <w:r w:rsidRPr="00817335">
        <w:rPr>
          <w:rFonts w:cs="Arial"/>
          <w:bCs/>
        </w:rPr>
        <w:t>Dar cuenta a la Asamblea General;</w:t>
      </w:r>
    </w:p>
    <w:p w:rsidR="00EE1C3A" w:rsidRPr="00817335" w:rsidRDefault="00EE1C3A" w:rsidP="00EE1C3A">
      <w:pPr>
        <w:spacing w:line="360" w:lineRule="auto"/>
        <w:jc w:val="both"/>
        <w:rPr>
          <w:rFonts w:cs="Arial"/>
          <w:b/>
          <w:bCs/>
        </w:rPr>
      </w:pPr>
      <w:r w:rsidRPr="00A87918">
        <w:rPr>
          <w:rFonts w:cs="Arial"/>
          <w:b/>
          <w:bCs/>
        </w:rPr>
        <w:t>3)</w:t>
      </w:r>
      <w:r>
        <w:rPr>
          <w:rFonts w:cs="Arial"/>
          <w:bCs/>
        </w:rPr>
        <w:t xml:space="preserve"> </w:t>
      </w:r>
      <w:r w:rsidR="008F5934">
        <w:rPr>
          <w:rFonts w:cs="Arial"/>
          <w:bCs/>
        </w:rPr>
        <w:t xml:space="preserve">Comunicar </w:t>
      </w:r>
      <w:r w:rsidRPr="00817335">
        <w:rPr>
          <w:rFonts w:cs="Arial"/>
          <w:bCs/>
        </w:rPr>
        <w:t xml:space="preserve">a la Contadora </w:t>
      </w:r>
      <w:r w:rsidR="00AA255D">
        <w:rPr>
          <w:rFonts w:cs="Arial"/>
          <w:bCs/>
        </w:rPr>
        <w:t>Auditora</w:t>
      </w:r>
      <w:r w:rsidRPr="00817335">
        <w:rPr>
          <w:rFonts w:cs="Arial"/>
          <w:bCs/>
        </w:rPr>
        <w:t>;</w:t>
      </w:r>
    </w:p>
    <w:p w:rsidR="00EE1C3A" w:rsidRDefault="00EE1C3A" w:rsidP="00EE1C3A">
      <w:pPr>
        <w:spacing w:line="360" w:lineRule="auto"/>
        <w:jc w:val="both"/>
        <w:rPr>
          <w:rFonts w:cs="Arial"/>
          <w:b/>
          <w:bCs/>
        </w:rPr>
      </w:pPr>
      <w:r w:rsidRPr="00A87918">
        <w:rPr>
          <w:rFonts w:cs="Arial"/>
          <w:b/>
          <w:bCs/>
        </w:rPr>
        <w:t>4)</w:t>
      </w:r>
      <w:r>
        <w:rPr>
          <w:rFonts w:cs="Arial"/>
          <w:bCs/>
        </w:rPr>
        <w:t xml:space="preserve"> </w:t>
      </w:r>
      <w:r w:rsidR="00A87918">
        <w:rPr>
          <w:rFonts w:cs="Arial"/>
          <w:bCs/>
        </w:rPr>
        <w:t>Devolver las actuaciones al Ministerio de Economía y Finanzas</w:t>
      </w:r>
      <w:r w:rsidR="00C03D28">
        <w:rPr>
          <w:rFonts w:cs="Arial"/>
          <w:bCs/>
        </w:rPr>
        <w:t>.-</w:t>
      </w:r>
    </w:p>
    <w:p w:rsidR="00EE1C3A" w:rsidRPr="00C03D28" w:rsidRDefault="002070E3" w:rsidP="00EE1C3A">
      <w:pPr>
        <w:spacing w:line="360" w:lineRule="auto"/>
        <w:jc w:val="both"/>
        <w:rPr>
          <w:rFonts w:cs="Arial"/>
          <w:bCs/>
          <w:sz w:val="20"/>
          <w:szCs w:val="20"/>
        </w:rPr>
      </w:pPr>
      <w:r w:rsidRPr="00C03D28">
        <w:rPr>
          <w:rFonts w:cs="Arial"/>
          <w:bCs/>
          <w:sz w:val="20"/>
          <w:szCs w:val="20"/>
        </w:rPr>
        <w:t>CLC</w:t>
      </w:r>
    </w:p>
    <w:sectPr w:rsidR="00EE1C3A" w:rsidRPr="00C03D28" w:rsidSect="00B21C4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A77"/>
    <w:multiLevelType w:val="hybridMultilevel"/>
    <w:tmpl w:val="AB4040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ED5E3B"/>
    <w:multiLevelType w:val="hybridMultilevel"/>
    <w:tmpl w:val="7AB84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72583"/>
    <w:multiLevelType w:val="hybridMultilevel"/>
    <w:tmpl w:val="A366F90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3401E68"/>
    <w:multiLevelType w:val="hybridMultilevel"/>
    <w:tmpl w:val="C8866FB2"/>
    <w:lvl w:ilvl="0" w:tplc="61D0E63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C47C3"/>
    <w:multiLevelType w:val="hybridMultilevel"/>
    <w:tmpl w:val="6A4A236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05"/>
    <w:rsid w:val="0004440F"/>
    <w:rsid w:val="002070E3"/>
    <w:rsid w:val="00263A05"/>
    <w:rsid w:val="003A306A"/>
    <w:rsid w:val="003A3224"/>
    <w:rsid w:val="003A78D8"/>
    <w:rsid w:val="003D0FED"/>
    <w:rsid w:val="00470464"/>
    <w:rsid w:val="00591AA6"/>
    <w:rsid w:val="00602EF4"/>
    <w:rsid w:val="0066184F"/>
    <w:rsid w:val="007510D0"/>
    <w:rsid w:val="007C373C"/>
    <w:rsid w:val="0087331A"/>
    <w:rsid w:val="008F5934"/>
    <w:rsid w:val="009571BF"/>
    <w:rsid w:val="00A87918"/>
    <w:rsid w:val="00AA255D"/>
    <w:rsid w:val="00B13F7A"/>
    <w:rsid w:val="00B21C47"/>
    <w:rsid w:val="00C03D28"/>
    <w:rsid w:val="00D35CF7"/>
    <w:rsid w:val="00DA6DC6"/>
    <w:rsid w:val="00DD1E05"/>
    <w:rsid w:val="00E66713"/>
    <w:rsid w:val="00EE1C3A"/>
    <w:rsid w:val="00F4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EE1C3A"/>
    <w:pPr>
      <w:keepNext/>
      <w:jc w:val="center"/>
      <w:outlineLvl w:val="1"/>
    </w:pPr>
    <w:rPr>
      <w:rFonts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D1E05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D1E05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D1E05"/>
    <w:pPr>
      <w:ind w:left="708"/>
    </w:pPr>
  </w:style>
  <w:style w:type="paragraph" w:styleId="Sangra2detindependiente">
    <w:name w:val="Body Text Indent 2"/>
    <w:basedOn w:val="Normal"/>
    <w:link w:val="Sangra2detindependienteCar"/>
    <w:rsid w:val="00DD1E0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E05"/>
    <w:rPr>
      <w:rFonts w:ascii="Arial" w:eastAsia="Times New Roman" w:hAnsi="Arial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DD1E05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DD1E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31A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EE1C3A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EE1C3A"/>
    <w:pPr>
      <w:keepNext/>
      <w:jc w:val="center"/>
      <w:outlineLvl w:val="1"/>
    </w:pPr>
    <w:rPr>
      <w:rFonts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D1E05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D1E05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D1E05"/>
    <w:pPr>
      <w:ind w:left="708"/>
    </w:pPr>
  </w:style>
  <w:style w:type="paragraph" w:styleId="Sangra2detindependiente">
    <w:name w:val="Body Text Indent 2"/>
    <w:basedOn w:val="Normal"/>
    <w:link w:val="Sangra2detindependienteCar"/>
    <w:rsid w:val="00DD1E0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E05"/>
    <w:rPr>
      <w:rFonts w:ascii="Arial" w:eastAsia="Times New Roman" w:hAnsi="Arial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DD1E05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DD1E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31A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EE1C3A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2019-08-01T18:10:00Z</cp:lastPrinted>
  <dcterms:created xsi:type="dcterms:W3CDTF">2019-08-01T18:07:00Z</dcterms:created>
  <dcterms:modified xsi:type="dcterms:W3CDTF">2019-08-14T19:25:00Z</dcterms:modified>
</cp:coreProperties>
</file>