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77" w:rsidRPr="006E6F7D" w:rsidRDefault="00437777" w:rsidP="0043777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E6F7D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437777" w:rsidRPr="006E6F7D" w:rsidRDefault="00437777" w:rsidP="0043777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E6F7D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437777" w:rsidRPr="006E6F7D" w:rsidRDefault="00437777" w:rsidP="0043777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E6F7D">
        <w:rPr>
          <w:rFonts w:ascii="Helvetica" w:hAnsi="Helvetica"/>
          <w:b/>
          <w:sz w:val="24"/>
          <w:szCs w:val="24"/>
          <w:lang w:val="es-ES_tradnl"/>
        </w:rPr>
        <w:t>EN SESION DE FECHA  5 DE JUNIO DE  2013</w:t>
      </w:r>
    </w:p>
    <w:p w:rsidR="00437777" w:rsidRPr="006E6F7D" w:rsidRDefault="00437777" w:rsidP="0043777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F7D">
        <w:rPr>
          <w:rFonts w:ascii="Helvetica" w:hAnsi="Helvetica"/>
          <w:b/>
          <w:sz w:val="24"/>
          <w:szCs w:val="24"/>
          <w:lang w:val="es-ES_tradnl"/>
        </w:rPr>
        <w:t xml:space="preserve">(E. E. </w:t>
      </w:r>
      <w:r w:rsidR="00D85386" w:rsidRPr="006E6F7D">
        <w:rPr>
          <w:rFonts w:ascii="Arial" w:hAnsi="Arial" w:cs="Arial"/>
          <w:b/>
          <w:bCs/>
          <w:sz w:val="24"/>
          <w:szCs w:val="24"/>
        </w:rPr>
        <w:t>2012 -17-1-0001473</w:t>
      </w:r>
      <w:r w:rsidRPr="006E6F7D">
        <w:rPr>
          <w:rFonts w:ascii="Arial" w:hAnsi="Arial" w:cs="Arial"/>
          <w:b/>
          <w:bCs/>
          <w:sz w:val="24"/>
          <w:szCs w:val="24"/>
        </w:rPr>
        <w:t xml:space="preserve"> E. Nº </w:t>
      </w:r>
      <w:r w:rsidR="00D85386" w:rsidRPr="006E6F7D">
        <w:rPr>
          <w:rFonts w:ascii="Arial" w:hAnsi="Arial" w:cs="Arial"/>
          <w:b/>
          <w:sz w:val="24"/>
          <w:szCs w:val="24"/>
        </w:rPr>
        <w:t>2476/1</w:t>
      </w:r>
      <w:r w:rsidR="0078180C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Pr="006E6F7D">
        <w:rPr>
          <w:rFonts w:ascii="Arial" w:hAnsi="Arial" w:cs="Arial"/>
          <w:b/>
          <w:sz w:val="24"/>
          <w:szCs w:val="24"/>
        </w:rPr>
        <w:t>)</w:t>
      </w:r>
    </w:p>
    <w:p w:rsidR="00D85386" w:rsidRPr="00437777" w:rsidRDefault="00D85386" w:rsidP="00437777">
      <w:pPr>
        <w:tabs>
          <w:tab w:val="center" w:pos="4253"/>
        </w:tabs>
        <w:suppressAutoHyphens/>
        <w:spacing w:line="240" w:lineRule="auto"/>
        <w:jc w:val="center"/>
        <w:rPr>
          <w:b/>
        </w:rPr>
      </w:pPr>
      <w:r w:rsidRPr="00437777">
        <w:rPr>
          <w:rFonts w:ascii="Arial" w:hAnsi="Arial" w:cs="Arial"/>
          <w:b/>
        </w:rPr>
        <w:t xml:space="preserve"> </w:t>
      </w:r>
    </w:p>
    <w:p w:rsidR="006E6F7D" w:rsidRDefault="006E6F7D" w:rsidP="006E6F7D">
      <w:pPr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“VISTO:</w:t>
      </w:r>
      <w:r>
        <w:rPr>
          <w:rFonts w:ascii="Arial" w:hAnsi="Arial" w:cs="Arial"/>
          <w:sz w:val="24"/>
          <w:szCs w:val="24"/>
        </w:rPr>
        <w:t xml:space="preserve"> las nuevas actuaciones remitidas por la Administración Nacional de Telecomunicaciones relacionadas con la ampliación de la compra directa por excepción para la adquisición de dispositivos móviles marca Nokia;</w:t>
      </w:r>
    </w:p>
    <w:p w:rsidR="006E6F7D" w:rsidRDefault="006E6F7D" w:rsidP="006E6F7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que, por Resolución Nº 293/12 de fecha 7 de marzo de 2012, el Directorio dispuso la adjudicación a Punto Luz S.A., por un monto total de U$S 9:500.000, en condiciones CIP Montevideo;</w:t>
      </w:r>
    </w:p>
    <w:p w:rsidR="006E6F7D" w:rsidRDefault="006E6F7D" w:rsidP="006E6F7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Tribunal, en sesión de fecha 17 de abril de 2012, acordó intervenir preventivamente el gasto;</w:t>
      </w:r>
    </w:p>
    <w:p w:rsidR="006E6F7D" w:rsidRDefault="006E6F7D" w:rsidP="006E6F7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3)</w:t>
      </w:r>
      <w:r>
        <w:rPr>
          <w:rFonts w:ascii="Arial" w:hAnsi="Arial" w:cs="Arial"/>
          <w:sz w:val="24"/>
          <w:szCs w:val="24"/>
        </w:rPr>
        <w:t xml:space="preserve"> que, por Resolución Nº 1465/12 de fecha 14 de setiembre de 2012, el Directorio dispuso adjudicar a la firma de referencia, el uso de la opción del 100% previsto en el Pliego de Condiciones, por un monto total de U$S 9:500.000 (total máximo a adjudicar CIP Montevideo);</w:t>
      </w:r>
    </w:p>
    <w:p w:rsidR="006E6F7D" w:rsidRDefault="006E6F7D" w:rsidP="006E6F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6B3BF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este Tribunal, en Sesión de fecha 31 de octubre de 2012, cometió  al Contador Delegado la intervención del gasto derivado del uso de la opción del 100 % y éste lo intervino con fecha  14 de noviembre de 2012;</w:t>
      </w:r>
    </w:p>
    <w:p w:rsidR="006E6F7D" w:rsidRDefault="006E6F7D" w:rsidP="006E6F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5) </w:t>
      </w:r>
      <w:r>
        <w:rPr>
          <w:rFonts w:ascii="Arial" w:hAnsi="Arial" w:cs="Arial"/>
          <w:sz w:val="24"/>
          <w:szCs w:val="24"/>
        </w:rPr>
        <w:t xml:space="preserve">que, de conformidad con el Capítulo 6 y el Anexo B del Pliego de Condiciones, el Gerente de División Servicios Convergentes, </w:t>
      </w:r>
      <w:r w:rsidRPr="00440CEA">
        <w:rPr>
          <w:rFonts w:ascii="Arial" w:hAnsi="Arial" w:cs="Arial"/>
          <w:sz w:val="24"/>
          <w:szCs w:val="24"/>
        </w:rPr>
        <w:t>por Resoluciones N</w:t>
      </w:r>
      <w:r>
        <w:rPr>
          <w:rFonts w:ascii="Arial" w:hAnsi="Arial" w:cs="Arial"/>
          <w:sz w:val="24"/>
          <w:szCs w:val="24"/>
        </w:rPr>
        <w:t>º</w:t>
      </w:r>
      <w:r w:rsidRPr="00440CEA">
        <w:rPr>
          <w:rFonts w:ascii="Arial" w:hAnsi="Arial" w:cs="Arial"/>
          <w:sz w:val="24"/>
          <w:szCs w:val="24"/>
        </w:rPr>
        <w:t xml:space="preserve"> 05/12 y 02/13 de fechas 5</w:t>
      </w:r>
      <w:r>
        <w:rPr>
          <w:rFonts w:ascii="Arial" w:hAnsi="Arial" w:cs="Arial"/>
          <w:sz w:val="24"/>
          <w:szCs w:val="24"/>
        </w:rPr>
        <w:t xml:space="preserve"> de diciembre de 20</w:t>
      </w:r>
      <w:r w:rsidRPr="00440CEA">
        <w:rPr>
          <w:rFonts w:ascii="Arial" w:hAnsi="Arial" w:cs="Arial"/>
          <w:sz w:val="24"/>
          <w:szCs w:val="24"/>
        </w:rPr>
        <w:t>12 y 11</w:t>
      </w:r>
      <w:r>
        <w:rPr>
          <w:rFonts w:ascii="Arial" w:hAnsi="Arial" w:cs="Arial"/>
          <w:sz w:val="24"/>
          <w:szCs w:val="24"/>
        </w:rPr>
        <w:t xml:space="preserve"> de marzo de 20</w:t>
      </w:r>
      <w:r w:rsidRPr="00440CEA">
        <w:rPr>
          <w:rFonts w:ascii="Arial" w:hAnsi="Arial" w:cs="Arial"/>
          <w:sz w:val="24"/>
          <w:szCs w:val="24"/>
        </w:rPr>
        <w:t xml:space="preserve">13 respectivamente, </w:t>
      </w:r>
      <w:r>
        <w:rPr>
          <w:rFonts w:ascii="Arial" w:hAnsi="Arial" w:cs="Arial"/>
          <w:sz w:val="24"/>
          <w:szCs w:val="24"/>
        </w:rPr>
        <w:t xml:space="preserve">homologó e incluyó algunos modelos de nuevos terminales </w:t>
      </w:r>
      <w:r w:rsidRPr="006B3BF8">
        <w:rPr>
          <w:rFonts w:ascii="Arial" w:hAnsi="Arial" w:cs="Arial"/>
          <w:sz w:val="24"/>
          <w:szCs w:val="24"/>
        </w:rPr>
        <w:t>por mejora tecnológica</w:t>
      </w:r>
      <w:r>
        <w:rPr>
          <w:rFonts w:ascii="Arial" w:hAnsi="Arial" w:cs="Arial"/>
          <w:sz w:val="24"/>
          <w:szCs w:val="24"/>
        </w:rPr>
        <w:t>;</w:t>
      </w:r>
    </w:p>
    <w:p w:rsidR="006E6F7D" w:rsidRDefault="006E6F7D" w:rsidP="006E6F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el Sector Gestión de Dispositivos, con fecha 21 de marzo de 2013, solicitó tramitar el 100 % de ampliación, a efectos de continuar incrementando los servicios móviles y cumplir con la demanda proyectada;</w:t>
      </w:r>
    </w:p>
    <w:p w:rsidR="006E6F7D" w:rsidRDefault="006E6F7D" w:rsidP="006E6F7D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bCs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la firma brindó su consentimiento a la ampliación solicitada por la Administración con fecha 4 de abril de 2013;</w:t>
      </w:r>
    </w:p>
    <w:p w:rsidR="006E6F7D" w:rsidRDefault="006E6F7D" w:rsidP="006E6F7D">
      <w:pPr>
        <w:pStyle w:val="Textoindependiente2"/>
        <w:spacing w:line="360" w:lineRule="auto"/>
        <w:ind w:left="0" w:firstLine="360"/>
      </w:pPr>
      <w:r>
        <w:t xml:space="preserve">                                     </w:t>
      </w:r>
      <w:r>
        <w:rPr>
          <w:b/>
          <w:bCs/>
        </w:rPr>
        <w:t>8)</w:t>
      </w:r>
      <w:r>
        <w:t xml:space="preserve"> que la Comisión Asesora de Adjudicaciones, con fecha 10 de abril de 2013, emitió informe recomendando adjudicar la ampliación del 100 % de la contratación original - incluido el 100 % de uso de opción a la firma de referencia;</w:t>
      </w:r>
    </w:p>
    <w:p w:rsidR="006E6F7D" w:rsidRDefault="006E6F7D" w:rsidP="006E6F7D">
      <w:pPr>
        <w:pStyle w:val="Textoindependiente2"/>
        <w:spacing w:line="360" w:lineRule="auto"/>
        <w:ind w:left="0" w:firstLine="360"/>
      </w:pPr>
      <w:r>
        <w:t xml:space="preserve">                                     </w:t>
      </w:r>
      <w:r>
        <w:rPr>
          <w:b/>
          <w:bCs/>
        </w:rPr>
        <w:t>9)</w:t>
      </w:r>
      <w:r>
        <w:t xml:space="preserve"> que, por Resolución Nº 654/12 de fecha 26 de abril de 2013, el Directorio dispuso, ad referéndum de la intervención de este Tribunal: a) homologar e incluir por mejora económica algunos modelos de nuevos terminales al amparo de lo establecido por el Capítulo 6 y el Anexo B del Pliego de Condiciones y b) adjudicar la ampliación del Contrato original más el uso de opción a la firma Punto Luz S.A., por un monto máximo de                 U$S 19:000.000, al amparo del Artículo 74 del TOCAF</w:t>
      </w:r>
    </w:p>
    <w:p w:rsidR="006E6F7D" w:rsidRDefault="006E6F7D" w:rsidP="006E6F7D">
      <w:pPr>
        <w:pStyle w:val="Textoindependiente2"/>
        <w:spacing w:line="360" w:lineRule="auto"/>
        <w:ind w:left="0" w:firstLine="360"/>
      </w:pPr>
      <w:r>
        <w:t xml:space="preserve">                                   </w:t>
      </w:r>
      <w:r>
        <w:rPr>
          <w:b/>
          <w:bCs/>
        </w:rPr>
        <w:t>10)</w:t>
      </w:r>
      <w:r>
        <w:t xml:space="preserve"> que con fecha 02.05.13, se procedió a confeccionar la Orden de Imputación Nº 038460, por un monto de                      U$S 19.000.000;</w:t>
      </w:r>
    </w:p>
    <w:p w:rsidR="006E6F7D" w:rsidRDefault="006E6F7D" w:rsidP="006E6F7D">
      <w:pPr>
        <w:pStyle w:val="Textoindependiente2"/>
        <w:spacing w:line="360" w:lineRule="auto"/>
        <w:ind w:left="0" w:firstLine="360"/>
      </w:pPr>
      <w:r>
        <w:t xml:space="preserve">                                   </w:t>
      </w:r>
      <w:r>
        <w:rPr>
          <w:b/>
          <w:bCs/>
        </w:rPr>
        <w:t>11)</w:t>
      </w:r>
      <w:r>
        <w:t xml:space="preserve"> que, con fecha 2 de mayo de 2013, la Unidad Registro Presupuestal informó: a) que se imputó de acuerdo al siguiente detalle: la suma de U$S 11:000.000 en el Programa 1, Objeto 198001 del Ejercicio 2013 y la suma de U$S 8:000.000 en el Programa 1, Objeto 198001 del Ejercicio 2014; b) que para los Ejercicios 2013 y 2014, la asignación presupuestal es de prórroga automática del Ejercicio 2012 y c) que existe </w:t>
      </w:r>
      <w:r>
        <w:lastRenderedPageBreak/>
        <w:t xml:space="preserve">disponibilidad suficiente en los rubros de imputación para cubrir el gasto de referencia; </w:t>
      </w:r>
    </w:p>
    <w:p w:rsidR="006E6F7D" w:rsidRDefault="006E6F7D" w:rsidP="006E6F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gasto derivado de la contratación original fue intervenido preventivamente por este Tribunal y el gasto derivado del uso de la opción fue intervenido oportunamente por el Contador Delegado en tanto, en ambos casos, se imputaron los gastos a rubro con disponibilidad presupuestal suficiente  y se dio cumplimiento a la normativa aplicable al procedimiento;  </w:t>
      </w:r>
    </w:p>
    <w:p w:rsidR="006E6F7D" w:rsidRDefault="006E6F7D" w:rsidP="006E6F7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2) </w:t>
      </w:r>
      <w:r>
        <w:rPr>
          <w:rFonts w:ascii="Arial" w:hAnsi="Arial" w:cs="Arial"/>
          <w:sz w:val="24"/>
          <w:szCs w:val="24"/>
        </w:rPr>
        <w:t>que la ampliación dispuesta encuadra en lo dispuesto por el Artículo 74 del TOCAF, habiéndose obtenido conformidad de la adjudicataria;</w:t>
      </w:r>
    </w:p>
    <w:p w:rsidR="006E6F7D" w:rsidRDefault="006E6F7D" w:rsidP="006E6F7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existe disponibilidad presupuestal suficiente en rubro de imputación en el Ejercicio 2013 para atender el gasto derivado de la presente ampliación; </w:t>
      </w:r>
    </w:p>
    <w:p w:rsidR="006E6F7D" w:rsidRDefault="006E6F7D" w:rsidP="006E6F7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 y a lo dispuesto por el Artículo 211Literal B) de la Constitución de la República;</w:t>
      </w:r>
    </w:p>
    <w:p w:rsidR="006E6F7D" w:rsidRDefault="006E6F7D" w:rsidP="006E6F7D">
      <w:pPr>
        <w:pStyle w:val="Ttulo2"/>
        <w:spacing w:after="0" w:line="240" w:lineRule="auto"/>
        <w:ind w:firstLine="360"/>
      </w:pPr>
      <w:r>
        <w:t>EL TRIBUNAL ACUERDA</w:t>
      </w:r>
    </w:p>
    <w:p w:rsidR="006E6F7D" w:rsidRPr="00EB60CB" w:rsidRDefault="006E6F7D" w:rsidP="006E6F7D">
      <w:pPr>
        <w:pStyle w:val="Prrafodelista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B60CB">
        <w:rPr>
          <w:rFonts w:ascii="Arial" w:hAnsi="Arial" w:cs="Arial"/>
          <w:sz w:val="24"/>
          <w:szCs w:val="24"/>
        </w:rPr>
        <w:t>Intervenir</w:t>
      </w:r>
      <w:r>
        <w:rPr>
          <w:rFonts w:ascii="Arial" w:hAnsi="Arial" w:cs="Arial"/>
          <w:sz w:val="24"/>
          <w:szCs w:val="24"/>
        </w:rPr>
        <w:t xml:space="preserve"> </w:t>
      </w:r>
      <w:r w:rsidRPr="00EB60CB">
        <w:rPr>
          <w:rFonts w:ascii="Arial" w:hAnsi="Arial" w:cs="Arial"/>
          <w:sz w:val="24"/>
          <w:szCs w:val="24"/>
        </w:rPr>
        <w:t xml:space="preserve"> preventivamente </w:t>
      </w:r>
      <w:r>
        <w:rPr>
          <w:rFonts w:ascii="Arial" w:hAnsi="Arial" w:cs="Arial"/>
          <w:sz w:val="24"/>
          <w:szCs w:val="24"/>
        </w:rPr>
        <w:t xml:space="preserve"> </w:t>
      </w:r>
      <w:r w:rsidRPr="00EB60CB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 </w:t>
      </w:r>
      <w:r w:rsidRPr="00EB60CB">
        <w:rPr>
          <w:rFonts w:ascii="Arial" w:hAnsi="Arial" w:cs="Arial"/>
          <w:sz w:val="24"/>
          <w:szCs w:val="24"/>
        </w:rPr>
        <w:t xml:space="preserve">gasto </w:t>
      </w:r>
      <w:r>
        <w:rPr>
          <w:rFonts w:ascii="Arial" w:hAnsi="Arial" w:cs="Arial"/>
          <w:sz w:val="24"/>
          <w:szCs w:val="24"/>
        </w:rPr>
        <w:t xml:space="preserve"> </w:t>
      </w:r>
      <w:r w:rsidRPr="00EB60C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</w:t>
      </w:r>
      <w:r w:rsidRPr="00EB60CB">
        <w:rPr>
          <w:rFonts w:ascii="Arial" w:hAnsi="Arial" w:cs="Arial"/>
          <w:sz w:val="24"/>
          <w:szCs w:val="24"/>
        </w:rPr>
        <w:t xml:space="preserve">U$S 11:000.000, </w:t>
      </w:r>
      <w:r>
        <w:rPr>
          <w:rFonts w:ascii="Arial" w:hAnsi="Arial" w:cs="Arial"/>
          <w:sz w:val="24"/>
          <w:szCs w:val="24"/>
        </w:rPr>
        <w:t xml:space="preserve"> </w:t>
      </w:r>
      <w:r w:rsidRPr="00EB60CB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 </w:t>
      </w:r>
      <w:r w:rsidRPr="00EB60CB">
        <w:rPr>
          <w:rFonts w:ascii="Arial" w:hAnsi="Arial" w:cs="Arial"/>
          <w:sz w:val="24"/>
          <w:szCs w:val="24"/>
        </w:rPr>
        <w:t>condiciones CIP Montevideo, correspondiente al Ejercicio 2013;</w:t>
      </w:r>
    </w:p>
    <w:p w:rsidR="006E6F7D" w:rsidRDefault="006E6F7D" w:rsidP="006E6F7D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09C1">
        <w:rPr>
          <w:rFonts w:ascii="Arial" w:hAnsi="Arial" w:cs="Arial"/>
          <w:sz w:val="24"/>
          <w:szCs w:val="24"/>
        </w:rPr>
        <w:t>Cometer al Contador Delegado la intervención del gasto de U$S 8:000.000, en condiciones CIP Montevideo, correspondiente al Ejercicio 2014, previo control de su imputación con cargo a Grupo adecuado con disponibilidad suficiente;</w:t>
      </w:r>
    </w:p>
    <w:p w:rsidR="006E6F7D" w:rsidRPr="007809C1" w:rsidRDefault="006E6F7D" w:rsidP="006E6F7D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09C1">
        <w:rPr>
          <w:rFonts w:ascii="Arial" w:hAnsi="Arial" w:cs="Arial"/>
          <w:sz w:val="24"/>
          <w:szCs w:val="24"/>
        </w:rPr>
        <w:t>Comunicar al Contador Delegado;</w:t>
      </w:r>
    </w:p>
    <w:p w:rsidR="006E6F7D" w:rsidRDefault="006E6F7D" w:rsidP="006E6F7D">
      <w:pPr>
        <w:numPr>
          <w:ilvl w:val="0"/>
          <w:numId w:val="10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actuaciones”.</w:t>
      </w:r>
    </w:p>
    <w:p w:rsidR="006E6F7D" w:rsidRDefault="006E6F7D" w:rsidP="007D76E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76E1" w:rsidRDefault="007D76E1" w:rsidP="007D76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7D76E1" w:rsidSect="006538B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732"/>
    <w:multiLevelType w:val="hybridMultilevel"/>
    <w:tmpl w:val="46B03D00"/>
    <w:lvl w:ilvl="0" w:tplc="76D8B3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E2079DD"/>
    <w:multiLevelType w:val="hybridMultilevel"/>
    <w:tmpl w:val="E1E0D538"/>
    <w:lvl w:ilvl="0" w:tplc="BB149682">
      <w:start w:val="8"/>
      <w:numFmt w:val="decimal"/>
      <w:lvlText w:val="%1)"/>
      <w:lvlJc w:val="left"/>
      <w:pPr>
        <w:tabs>
          <w:tab w:val="num" w:pos="2370"/>
        </w:tabs>
        <w:ind w:left="237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A0003A5"/>
    <w:multiLevelType w:val="hybridMultilevel"/>
    <w:tmpl w:val="3D2AF080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29A00C4"/>
    <w:multiLevelType w:val="hybridMultilevel"/>
    <w:tmpl w:val="35E0306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3499222E"/>
    <w:multiLevelType w:val="hybridMultilevel"/>
    <w:tmpl w:val="4EC6949C"/>
    <w:lvl w:ilvl="0" w:tplc="380A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3BE1770A"/>
    <w:multiLevelType w:val="hybridMultilevel"/>
    <w:tmpl w:val="3F5E7D24"/>
    <w:lvl w:ilvl="0" w:tplc="BB149682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-570"/>
        </w:tabs>
        <w:ind w:left="-57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50"/>
        </w:tabs>
        <w:ind w:left="15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</w:abstractNum>
  <w:abstractNum w:abstractNumId="6">
    <w:nsid w:val="67352702"/>
    <w:multiLevelType w:val="hybridMultilevel"/>
    <w:tmpl w:val="630E78A2"/>
    <w:lvl w:ilvl="0" w:tplc="BB149682">
      <w:start w:val="8"/>
      <w:numFmt w:val="decimal"/>
      <w:lvlText w:val="%1)"/>
      <w:lvlJc w:val="left"/>
      <w:pPr>
        <w:tabs>
          <w:tab w:val="num" w:pos="2370"/>
        </w:tabs>
        <w:ind w:left="237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  <w:rPr>
        <w:rFonts w:ascii="Times New Roman" w:hAnsi="Times New Roman" w:cs="Times New Roman"/>
      </w:rPr>
    </w:lvl>
  </w:abstractNum>
  <w:abstractNum w:abstractNumId="7">
    <w:nsid w:val="6AAB78FD"/>
    <w:multiLevelType w:val="hybridMultilevel"/>
    <w:tmpl w:val="C94CF086"/>
    <w:lvl w:ilvl="0" w:tplc="9284732C">
      <w:start w:val="8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  <w:rPr>
        <w:rFonts w:ascii="Times New Roman" w:hAnsi="Times New Roman" w:cs="Times New Roman"/>
      </w:rPr>
    </w:lvl>
  </w:abstractNum>
  <w:abstractNum w:abstractNumId="8">
    <w:nsid w:val="6C293C3F"/>
    <w:multiLevelType w:val="hybridMultilevel"/>
    <w:tmpl w:val="0C0C98BC"/>
    <w:lvl w:ilvl="0" w:tplc="1CF8D69E">
      <w:start w:val="8"/>
      <w:numFmt w:val="decimal"/>
      <w:lvlText w:val="%1)"/>
      <w:lvlJc w:val="left"/>
      <w:pPr>
        <w:tabs>
          <w:tab w:val="num" w:pos="2370"/>
        </w:tabs>
        <w:ind w:left="237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  <w:rPr>
        <w:rFonts w:ascii="Times New Roman" w:hAnsi="Times New Roman" w:cs="Times New Roman"/>
      </w:rPr>
    </w:lvl>
  </w:abstractNum>
  <w:abstractNum w:abstractNumId="9">
    <w:nsid w:val="700C45DA"/>
    <w:multiLevelType w:val="hybridMultilevel"/>
    <w:tmpl w:val="CB2E4036"/>
    <w:lvl w:ilvl="0" w:tplc="98D6AF5C">
      <w:start w:val="8"/>
      <w:numFmt w:val="decimal"/>
      <w:lvlText w:val="%1)"/>
      <w:lvlJc w:val="left"/>
      <w:pPr>
        <w:tabs>
          <w:tab w:val="num" w:pos="2010"/>
        </w:tabs>
        <w:ind w:left="201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86"/>
    <w:rsid w:val="000D7876"/>
    <w:rsid w:val="001A643F"/>
    <w:rsid w:val="00290AC9"/>
    <w:rsid w:val="00317748"/>
    <w:rsid w:val="00335329"/>
    <w:rsid w:val="00437777"/>
    <w:rsid w:val="00440CEA"/>
    <w:rsid w:val="00473F55"/>
    <w:rsid w:val="0055028A"/>
    <w:rsid w:val="005D5AFB"/>
    <w:rsid w:val="006538B3"/>
    <w:rsid w:val="006B3BF8"/>
    <w:rsid w:val="006E6F7D"/>
    <w:rsid w:val="0078180C"/>
    <w:rsid w:val="007D76E1"/>
    <w:rsid w:val="007E3F3A"/>
    <w:rsid w:val="00873380"/>
    <w:rsid w:val="0092527D"/>
    <w:rsid w:val="0093661F"/>
    <w:rsid w:val="009C7BB3"/>
    <w:rsid w:val="00A171F6"/>
    <w:rsid w:val="00AC0930"/>
    <w:rsid w:val="00AD6D30"/>
    <w:rsid w:val="00BA5F4F"/>
    <w:rsid w:val="00BA7D54"/>
    <w:rsid w:val="00BD162F"/>
    <w:rsid w:val="00CB3E22"/>
    <w:rsid w:val="00D85386"/>
    <w:rsid w:val="00DA2971"/>
    <w:rsid w:val="00DB03B1"/>
    <w:rsid w:val="00DF6713"/>
    <w:rsid w:val="00F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  <w:lang w:val="es-UY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DC1">
    <w:name w:val="toc 1"/>
    <w:basedOn w:val="Normal"/>
    <w:next w:val="Normal"/>
    <w:autoRedefine/>
    <w:uiPriority w:val="99"/>
  </w:style>
  <w:style w:type="paragraph" w:styleId="TDC2">
    <w:name w:val="toc 2"/>
    <w:basedOn w:val="Normal"/>
    <w:next w:val="Normal"/>
    <w:autoRedefine/>
    <w:uiPriority w:val="99"/>
    <w:pPr>
      <w:ind w:left="220"/>
    </w:pPr>
  </w:style>
  <w:style w:type="paragraph" w:styleId="TDC3">
    <w:name w:val="toc 3"/>
    <w:basedOn w:val="Normal"/>
    <w:next w:val="Normal"/>
    <w:autoRedefine/>
    <w:uiPriority w:val="99"/>
    <w:pPr>
      <w:ind w:left="440"/>
    </w:pPr>
  </w:style>
  <w:style w:type="paragraph" w:styleId="TDC4">
    <w:name w:val="toc 4"/>
    <w:basedOn w:val="Normal"/>
    <w:next w:val="Normal"/>
    <w:autoRedefine/>
    <w:uiPriority w:val="99"/>
    <w:pPr>
      <w:ind w:left="660"/>
    </w:pPr>
  </w:style>
  <w:style w:type="paragraph" w:styleId="TDC5">
    <w:name w:val="toc 5"/>
    <w:basedOn w:val="Normal"/>
    <w:next w:val="Normal"/>
    <w:autoRedefine/>
    <w:uiPriority w:val="99"/>
    <w:pPr>
      <w:ind w:left="880"/>
    </w:pPr>
  </w:style>
  <w:style w:type="paragraph" w:styleId="TDC6">
    <w:name w:val="toc 6"/>
    <w:basedOn w:val="Normal"/>
    <w:next w:val="Normal"/>
    <w:autoRedefine/>
    <w:uiPriority w:val="99"/>
    <w:pPr>
      <w:ind w:left="1100"/>
    </w:pPr>
  </w:style>
  <w:style w:type="paragraph" w:styleId="TDC7">
    <w:name w:val="toc 7"/>
    <w:basedOn w:val="Normal"/>
    <w:next w:val="Normal"/>
    <w:autoRedefine/>
    <w:uiPriority w:val="99"/>
    <w:pPr>
      <w:ind w:left="1320"/>
    </w:pPr>
  </w:style>
  <w:style w:type="paragraph" w:styleId="TDC8">
    <w:name w:val="toc 8"/>
    <w:basedOn w:val="Normal"/>
    <w:next w:val="Normal"/>
    <w:autoRedefine/>
    <w:uiPriority w:val="99"/>
    <w:pPr>
      <w:ind w:left="1540"/>
    </w:pPr>
  </w:style>
  <w:style w:type="paragraph" w:styleId="TDC9">
    <w:name w:val="toc 9"/>
    <w:basedOn w:val="Normal"/>
    <w:next w:val="Normal"/>
    <w:autoRedefine/>
    <w:uiPriority w:val="99"/>
    <w:pPr>
      <w:ind w:left="1760"/>
    </w:pPr>
  </w:style>
  <w:style w:type="paragraph" w:styleId="Textoindependiente">
    <w:name w:val="Body Text"/>
    <w:basedOn w:val="Normal"/>
    <w:link w:val="TextoindependienteCar"/>
    <w:uiPriority w:val="99"/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hAnsi="Calibri" w:cs="Calibri"/>
      <w:lang w:val="es-UY"/>
    </w:rPr>
  </w:style>
  <w:style w:type="paragraph" w:styleId="Textoindependiente2">
    <w:name w:val="Body Text 2"/>
    <w:basedOn w:val="Normal"/>
    <w:link w:val="Textoindependiente2Car"/>
    <w:uiPriority w:val="99"/>
    <w:pPr>
      <w:ind w:left="360"/>
      <w:jc w:val="both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  <w:lang w:val="es-UY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DC1">
    <w:name w:val="toc 1"/>
    <w:basedOn w:val="Normal"/>
    <w:next w:val="Normal"/>
    <w:autoRedefine/>
    <w:uiPriority w:val="99"/>
  </w:style>
  <w:style w:type="paragraph" w:styleId="TDC2">
    <w:name w:val="toc 2"/>
    <w:basedOn w:val="Normal"/>
    <w:next w:val="Normal"/>
    <w:autoRedefine/>
    <w:uiPriority w:val="99"/>
    <w:pPr>
      <w:ind w:left="220"/>
    </w:pPr>
  </w:style>
  <w:style w:type="paragraph" w:styleId="TDC3">
    <w:name w:val="toc 3"/>
    <w:basedOn w:val="Normal"/>
    <w:next w:val="Normal"/>
    <w:autoRedefine/>
    <w:uiPriority w:val="99"/>
    <w:pPr>
      <w:ind w:left="440"/>
    </w:pPr>
  </w:style>
  <w:style w:type="paragraph" w:styleId="TDC4">
    <w:name w:val="toc 4"/>
    <w:basedOn w:val="Normal"/>
    <w:next w:val="Normal"/>
    <w:autoRedefine/>
    <w:uiPriority w:val="99"/>
    <w:pPr>
      <w:ind w:left="660"/>
    </w:pPr>
  </w:style>
  <w:style w:type="paragraph" w:styleId="TDC5">
    <w:name w:val="toc 5"/>
    <w:basedOn w:val="Normal"/>
    <w:next w:val="Normal"/>
    <w:autoRedefine/>
    <w:uiPriority w:val="99"/>
    <w:pPr>
      <w:ind w:left="880"/>
    </w:pPr>
  </w:style>
  <w:style w:type="paragraph" w:styleId="TDC6">
    <w:name w:val="toc 6"/>
    <w:basedOn w:val="Normal"/>
    <w:next w:val="Normal"/>
    <w:autoRedefine/>
    <w:uiPriority w:val="99"/>
    <w:pPr>
      <w:ind w:left="1100"/>
    </w:pPr>
  </w:style>
  <w:style w:type="paragraph" w:styleId="TDC7">
    <w:name w:val="toc 7"/>
    <w:basedOn w:val="Normal"/>
    <w:next w:val="Normal"/>
    <w:autoRedefine/>
    <w:uiPriority w:val="99"/>
    <w:pPr>
      <w:ind w:left="1320"/>
    </w:pPr>
  </w:style>
  <w:style w:type="paragraph" w:styleId="TDC8">
    <w:name w:val="toc 8"/>
    <w:basedOn w:val="Normal"/>
    <w:next w:val="Normal"/>
    <w:autoRedefine/>
    <w:uiPriority w:val="99"/>
    <w:pPr>
      <w:ind w:left="1540"/>
    </w:pPr>
  </w:style>
  <w:style w:type="paragraph" w:styleId="TDC9">
    <w:name w:val="toc 9"/>
    <w:basedOn w:val="Normal"/>
    <w:next w:val="Normal"/>
    <w:autoRedefine/>
    <w:uiPriority w:val="99"/>
    <w:pPr>
      <w:ind w:left="1760"/>
    </w:pPr>
  </w:style>
  <w:style w:type="paragraph" w:styleId="Textoindependiente">
    <w:name w:val="Body Text"/>
    <w:basedOn w:val="Normal"/>
    <w:link w:val="TextoindependienteCar"/>
    <w:uiPriority w:val="99"/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hAnsi="Calibri" w:cs="Calibri"/>
      <w:lang w:val="es-UY"/>
    </w:rPr>
  </w:style>
  <w:style w:type="paragraph" w:styleId="Textoindependiente2">
    <w:name w:val="Body Text 2"/>
    <w:basedOn w:val="Normal"/>
    <w:link w:val="Textoindependiente2Car"/>
    <w:uiPriority w:val="99"/>
    <w:pPr>
      <w:ind w:left="360"/>
      <w:jc w:val="both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2012 -17 -1 -0001473</vt:lpstr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2012 -17 -1 -0001473</dc:title>
  <dc:subject/>
  <dc:creator>TRIBUNAL1</dc:creator>
  <cp:keywords/>
  <dc:description/>
  <cp:lastModifiedBy>Lenovo User</cp:lastModifiedBy>
  <cp:revision>6</cp:revision>
  <cp:lastPrinted>2013-06-07T18:19:00Z</cp:lastPrinted>
  <dcterms:created xsi:type="dcterms:W3CDTF">2013-06-06T19:28:00Z</dcterms:created>
  <dcterms:modified xsi:type="dcterms:W3CDTF">2013-06-07T18:19:00Z</dcterms:modified>
</cp:coreProperties>
</file>