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85" w:rsidRPr="00963785" w:rsidRDefault="00963785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963785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1831</w:t>
      </w:r>
      <w:r w:rsidRPr="00963785">
        <w:rPr>
          <w:rFonts w:ascii="Arial" w:hAnsi="Arial" w:cs="Arial"/>
          <w:sz w:val="28"/>
          <w:szCs w:val="28"/>
          <w:lang w:val="es-ES_tradnl"/>
        </w:rPr>
        <w:t>/19</w:t>
      </w:r>
    </w:p>
    <w:p w:rsidR="00963785" w:rsidRPr="00963785" w:rsidRDefault="00963785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963785" w:rsidRPr="00963785" w:rsidRDefault="0096378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63785">
        <w:rPr>
          <w:rFonts w:ascii="Arial" w:hAnsi="Arial" w:cs="Arial"/>
          <w:lang w:val="es-ES_tradnl"/>
        </w:rPr>
        <w:t>RESOLUCION ADOPTADA POR EL</w:t>
      </w:r>
    </w:p>
    <w:p w:rsidR="00963785" w:rsidRPr="00963785" w:rsidRDefault="0096378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63785" w:rsidRPr="00963785" w:rsidRDefault="0096378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63785">
        <w:rPr>
          <w:rFonts w:ascii="Arial" w:hAnsi="Arial" w:cs="Arial"/>
          <w:lang w:val="es-ES_tradnl"/>
        </w:rPr>
        <w:t>TRIBUNAL DE CUENTAS</w:t>
      </w:r>
    </w:p>
    <w:p w:rsidR="00963785" w:rsidRPr="00963785" w:rsidRDefault="0096378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63785" w:rsidRPr="00963785" w:rsidRDefault="0096378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63785">
        <w:rPr>
          <w:rFonts w:ascii="Arial" w:hAnsi="Arial" w:cs="Arial"/>
          <w:lang w:val="es-ES_tradnl"/>
        </w:rPr>
        <w:t xml:space="preserve">EN SESION DE FECHA 31 DE JULIO </w:t>
      </w:r>
      <w:r w:rsidRPr="00963785">
        <w:rPr>
          <w:rFonts w:ascii="Helvetica" w:hAnsi="Helvetica"/>
          <w:lang w:val="es-ES_tradnl"/>
        </w:rPr>
        <w:t>DE 2019</w:t>
      </w:r>
    </w:p>
    <w:p w:rsidR="00963785" w:rsidRPr="00963785" w:rsidRDefault="0096378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963785" w:rsidRPr="00963785" w:rsidRDefault="00963785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963785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2017-17-1-0000699</w:t>
      </w:r>
      <w:r w:rsidRPr="00963785">
        <w:rPr>
          <w:rFonts w:ascii="Arial" w:hAnsi="Arial" w:cs="Arial"/>
          <w:lang w:val="en-US"/>
        </w:rPr>
        <w:t xml:space="preserve">, </w:t>
      </w:r>
      <w:proofErr w:type="gramStart"/>
      <w:r w:rsidRPr="00963785">
        <w:rPr>
          <w:rFonts w:ascii="Arial" w:hAnsi="Arial" w:cs="Arial"/>
          <w:lang w:val="en-US"/>
        </w:rPr>
        <w:t>Ent</w:t>
      </w:r>
      <w:proofErr w:type="gramEnd"/>
      <w:r w:rsidRPr="00963785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2639/19</w:t>
      </w:r>
      <w:r w:rsidRPr="00963785">
        <w:rPr>
          <w:rFonts w:ascii="Arial" w:hAnsi="Arial" w:cs="Arial"/>
          <w:lang w:val="en-US"/>
        </w:rPr>
        <w:t>)</w:t>
      </w:r>
    </w:p>
    <w:p w:rsidR="00963785" w:rsidRPr="00963785" w:rsidRDefault="00963785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963785" w:rsidRDefault="00D24FFF" w:rsidP="00963785">
      <w:pPr>
        <w:pStyle w:val="Sangradetextonormal"/>
        <w:ind w:firstLine="851"/>
        <w:rPr>
          <w:szCs w:val="24"/>
        </w:rPr>
      </w:pPr>
      <w:r w:rsidRPr="00663BD3">
        <w:rPr>
          <w:b/>
          <w:szCs w:val="24"/>
        </w:rPr>
        <w:t xml:space="preserve">VISTO: </w:t>
      </w:r>
      <w:r w:rsidRPr="00663BD3">
        <w:rPr>
          <w:szCs w:val="24"/>
        </w:rPr>
        <w:t>las actuaciones remitidas por el Ministerio de Salud Pública</w:t>
      </w:r>
      <w:r w:rsidR="00CB290E">
        <w:rPr>
          <w:szCs w:val="24"/>
        </w:rPr>
        <w:t xml:space="preserve"> (MSP)</w:t>
      </w:r>
      <w:r w:rsidRPr="00663BD3">
        <w:rPr>
          <w:szCs w:val="24"/>
        </w:rPr>
        <w:t xml:space="preserve"> </w:t>
      </w:r>
      <w:r w:rsidR="00107593">
        <w:rPr>
          <w:szCs w:val="24"/>
        </w:rPr>
        <w:t>relacionadas con</w:t>
      </w:r>
      <w:r w:rsidRPr="00663BD3">
        <w:rPr>
          <w:szCs w:val="24"/>
        </w:rPr>
        <w:t xml:space="preserve"> la “Adquisición de insumos anticonceptivos al Fondo de Población de las Naciones Unidas (UNFPA)”, en el marco del Acuerdo suscrito por dicha Secretaría de Estado;</w:t>
      </w:r>
    </w:p>
    <w:p w:rsidR="00963785" w:rsidRDefault="00D24FFF" w:rsidP="00963785">
      <w:pPr>
        <w:pStyle w:val="Sangradetextonormal"/>
        <w:ind w:firstLine="851"/>
        <w:rPr>
          <w:bCs/>
          <w:szCs w:val="24"/>
        </w:rPr>
      </w:pPr>
      <w:r w:rsidRPr="00963785">
        <w:rPr>
          <w:b/>
          <w:szCs w:val="24"/>
        </w:rPr>
        <w:t>RESULTANDO: 1)</w:t>
      </w:r>
      <w:r w:rsidRPr="00663BD3">
        <w:rPr>
          <w:szCs w:val="24"/>
        </w:rPr>
        <w:t xml:space="preserve"> </w:t>
      </w:r>
      <w:r w:rsidRPr="00663BD3">
        <w:rPr>
          <w:bCs/>
          <w:szCs w:val="24"/>
        </w:rPr>
        <w:t>que este Tribunal en Sesión de fecha 15 de febrero de 2017</w:t>
      </w:r>
      <w:r w:rsidR="00107593">
        <w:rPr>
          <w:bCs/>
          <w:szCs w:val="24"/>
        </w:rPr>
        <w:t>,</w:t>
      </w:r>
      <w:r w:rsidRPr="00663BD3">
        <w:rPr>
          <w:bCs/>
          <w:szCs w:val="24"/>
        </w:rPr>
        <w:t xml:space="preserve"> acordó </w:t>
      </w:r>
      <w:r w:rsidR="003C4E37" w:rsidRPr="00663BD3">
        <w:rPr>
          <w:bCs/>
          <w:szCs w:val="24"/>
        </w:rPr>
        <w:t xml:space="preserve">cometer al Contador Auditor ante el MSP </w:t>
      </w:r>
      <w:r w:rsidRPr="00663BD3">
        <w:rPr>
          <w:bCs/>
          <w:szCs w:val="24"/>
        </w:rPr>
        <w:t>que</w:t>
      </w:r>
      <w:r w:rsidR="003C4E37">
        <w:rPr>
          <w:bCs/>
          <w:szCs w:val="24"/>
        </w:rPr>
        <w:t>,</w:t>
      </w:r>
      <w:r w:rsidRPr="00663BD3">
        <w:rPr>
          <w:bCs/>
          <w:szCs w:val="24"/>
        </w:rPr>
        <w:t xml:space="preserve"> una vez suscrito el Acuerdo entre el Ministerio de Salud Pública y el Fondo de Población de las Naciones Unidas, </w:t>
      </w:r>
      <w:r w:rsidR="003C4E37">
        <w:rPr>
          <w:bCs/>
          <w:szCs w:val="24"/>
        </w:rPr>
        <w:t>interviniera</w:t>
      </w:r>
      <w:r w:rsidRPr="00663BD3">
        <w:rPr>
          <w:bCs/>
          <w:szCs w:val="24"/>
        </w:rPr>
        <w:t xml:space="preserve"> la suma de $ 14:874.100, previo control</w:t>
      </w:r>
      <w:r w:rsidR="00963785">
        <w:rPr>
          <w:bCs/>
          <w:szCs w:val="24"/>
        </w:rPr>
        <w:t xml:space="preserve"> de su imputación con cargo al G</w:t>
      </w:r>
      <w:r w:rsidRPr="00663BD3">
        <w:rPr>
          <w:bCs/>
          <w:szCs w:val="24"/>
        </w:rPr>
        <w:t>rupo adecuado con disponibilidad suficiente;</w:t>
      </w:r>
    </w:p>
    <w:p w:rsidR="00963785" w:rsidRDefault="00D24FFF" w:rsidP="00963785">
      <w:pPr>
        <w:pStyle w:val="Sangradetextonormal"/>
        <w:ind w:firstLine="2835"/>
        <w:rPr>
          <w:bCs/>
          <w:szCs w:val="24"/>
        </w:rPr>
      </w:pPr>
      <w:r w:rsidRPr="00963785">
        <w:rPr>
          <w:b/>
          <w:szCs w:val="24"/>
        </w:rPr>
        <w:t>2)</w:t>
      </w:r>
      <w:r w:rsidRPr="00663BD3">
        <w:rPr>
          <w:szCs w:val="24"/>
        </w:rPr>
        <w:t xml:space="preserve"> que</w:t>
      </w:r>
      <w:r w:rsidR="00107593">
        <w:rPr>
          <w:szCs w:val="24"/>
        </w:rPr>
        <w:t xml:space="preserve"> posteriormente, </w:t>
      </w:r>
      <w:r w:rsidRPr="00663BD3">
        <w:rPr>
          <w:szCs w:val="24"/>
        </w:rPr>
        <w:t xml:space="preserve"> en Sesión de fecha 24 de enero de 2018</w:t>
      </w:r>
      <w:r w:rsidR="00107593">
        <w:rPr>
          <w:szCs w:val="24"/>
        </w:rPr>
        <w:t xml:space="preserve">, </w:t>
      </w:r>
      <w:r w:rsidR="00107593" w:rsidRPr="00107593">
        <w:rPr>
          <w:szCs w:val="24"/>
        </w:rPr>
        <w:t>este Tribunal</w:t>
      </w:r>
      <w:r w:rsidRPr="00663BD3">
        <w:rPr>
          <w:szCs w:val="24"/>
        </w:rPr>
        <w:t xml:space="preserve"> acordó </w:t>
      </w:r>
      <w:r w:rsidR="003C4E37" w:rsidRPr="00663BD3">
        <w:rPr>
          <w:bCs/>
          <w:szCs w:val="24"/>
        </w:rPr>
        <w:t>cometer a la Contadora Auditora destacada ante</w:t>
      </w:r>
      <w:r w:rsidR="003C4E37">
        <w:rPr>
          <w:bCs/>
          <w:szCs w:val="24"/>
        </w:rPr>
        <w:t xml:space="preserve"> el Ministerio de Salud Pública</w:t>
      </w:r>
      <w:r w:rsidR="003C4E37" w:rsidRPr="00663BD3">
        <w:rPr>
          <w:bCs/>
          <w:szCs w:val="24"/>
        </w:rPr>
        <w:t xml:space="preserve"> </w:t>
      </w:r>
      <w:r w:rsidRPr="00663BD3">
        <w:rPr>
          <w:szCs w:val="24"/>
        </w:rPr>
        <w:t>que</w:t>
      </w:r>
      <w:r w:rsidR="003C4E37">
        <w:rPr>
          <w:szCs w:val="24"/>
        </w:rPr>
        <w:t>,</w:t>
      </w:r>
      <w:r w:rsidRPr="00663BD3">
        <w:rPr>
          <w:szCs w:val="24"/>
        </w:rPr>
        <w:t xml:space="preserve"> una</w:t>
      </w:r>
      <w:r w:rsidRPr="00663BD3">
        <w:rPr>
          <w:bCs/>
          <w:szCs w:val="24"/>
        </w:rPr>
        <w:t xml:space="preserve"> vez suscrito el convenio remitido entre el Ministerio de Salud Pública y el Fondo de Población de las Naciones Unidas, </w:t>
      </w:r>
      <w:r w:rsidR="003C4E37">
        <w:rPr>
          <w:bCs/>
          <w:szCs w:val="24"/>
        </w:rPr>
        <w:t xml:space="preserve">interviniera </w:t>
      </w:r>
      <w:r w:rsidRPr="00663BD3">
        <w:rPr>
          <w:bCs/>
          <w:szCs w:val="24"/>
        </w:rPr>
        <w:t>el gasto de hasta U$S 893.522, previo control</w:t>
      </w:r>
      <w:r w:rsidR="00963785">
        <w:rPr>
          <w:bCs/>
          <w:szCs w:val="24"/>
        </w:rPr>
        <w:t xml:space="preserve"> de su imputación con cargo al G</w:t>
      </w:r>
      <w:r w:rsidRPr="00663BD3">
        <w:rPr>
          <w:bCs/>
          <w:szCs w:val="24"/>
        </w:rPr>
        <w:t>rupo adecuado con disponibilidad suficiente y de la verificación de que el acuerdo definitivo concuerde con las condiciones de la contratación sometidas a consideración de este Tribunal;</w:t>
      </w:r>
    </w:p>
    <w:p w:rsidR="00332C6B" w:rsidRDefault="00C4501F" w:rsidP="00332C6B">
      <w:pPr>
        <w:pStyle w:val="Sangradetextonormal"/>
        <w:ind w:firstLine="2835"/>
        <w:rPr>
          <w:bCs/>
          <w:szCs w:val="24"/>
        </w:rPr>
      </w:pPr>
      <w:r w:rsidRPr="00963785">
        <w:rPr>
          <w:b/>
          <w:bCs/>
          <w:szCs w:val="24"/>
        </w:rPr>
        <w:t>3)</w:t>
      </w:r>
      <w:r w:rsidRPr="00663BD3">
        <w:rPr>
          <w:bCs/>
          <w:szCs w:val="24"/>
        </w:rPr>
        <w:t xml:space="preserve"> que en la oportunidad</w:t>
      </w:r>
      <w:r w:rsidR="00CB290E">
        <w:rPr>
          <w:bCs/>
          <w:szCs w:val="24"/>
        </w:rPr>
        <w:t xml:space="preserve">, </w:t>
      </w:r>
      <w:r w:rsidR="00963785">
        <w:rPr>
          <w:bCs/>
          <w:szCs w:val="24"/>
        </w:rPr>
        <w:t>de acuerdo con</w:t>
      </w:r>
      <w:r w:rsidR="009D5D42">
        <w:rPr>
          <w:bCs/>
          <w:szCs w:val="24"/>
        </w:rPr>
        <w:t xml:space="preserve"> lo informado </w:t>
      </w:r>
      <w:r w:rsidR="00CB290E">
        <w:rPr>
          <w:bCs/>
          <w:szCs w:val="24"/>
        </w:rPr>
        <w:t xml:space="preserve">por </w:t>
      </w:r>
      <w:r w:rsidR="009D5D42">
        <w:rPr>
          <w:bCs/>
          <w:szCs w:val="24"/>
        </w:rPr>
        <w:t xml:space="preserve">el </w:t>
      </w:r>
      <w:r w:rsidR="00CB290E">
        <w:rPr>
          <w:bCs/>
          <w:szCs w:val="24"/>
        </w:rPr>
        <w:t xml:space="preserve">Área Programática de Salud Integral de la Mujer </w:t>
      </w:r>
      <w:r w:rsidR="009D5D42">
        <w:rPr>
          <w:bCs/>
          <w:szCs w:val="24"/>
        </w:rPr>
        <w:t xml:space="preserve">del Ministerio de Salud Pública con fecha 10/04/2019, se solicita la intervención preventiva del gasto para la compra de métodos anticonceptivos a través de UNFPA, por un </w:t>
      </w:r>
      <w:r w:rsidR="00332C6B">
        <w:rPr>
          <w:bCs/>
          <w:szCs w:val="24"/>
        </w:rPr>
        <w:t>valor de U$S 504.450, conforme con</w:t>
      </w:r>
      <w:r w:rsidR="009D5D42">
        <w:rPr>
          <w:bCs/>
          <w:szCs w:val="24"/>
        </w:rPr>
        <w:t xml:space="preserve"> la cotización remitida por la oficina local de la UNFPA y, que será atendida a través del acuerdo de</w:t>
      </w:r>
      <w:r w:rsidR="00332C6B">
        <w:rPr>
          <w:bCs/>
          <w:szCs w:val="24"/>
        </w:rPr>
        <w:t xml:space="preserve"> cofinanciamiento suscrito por</w:t>
      </w:r>
      <w:r w:rsidR="009D5D42">
        <w:rPr>
          <w:bCs/>
          <w:szCs w:val="24"/>
        </w:rPr>
        <w:t xml:space="preserve"> el MSP y UNFPA;</w:t>
      </w:r>
    </w:p>
    <w:p w:rsidR="00332C6B" w:rsidRDefault="003C5941" w:rsidP="00332C6B">
      <w:pPr>
        <w:pStyle w:val="Sangradetextonormal"/>
        <w:ind w:firstLine="2835"/>
        <w:rPr>
          <w:szCs w:val="24"/>
        </w:rPr>
      </w:pPr>
      <w:r w:rsidRPr="00332C6B">
        <w:rPr>
          <w:b/>
          <w:szCs w:val="24"/>
        </w:rPr>
        <w:t>4</w:t>
      </w:r>
      <w:r w:rsidR="00D24FFF" w:rsidRPr="00332C6B">
        <w:rPr>
          <w:b/>
          <w:szCs w:val="24"/>
        </w:rPr>
        <w:t>)</w:t>
      </w:r>
      <w:r w:rsidR="00D24FFF" w:rsidRPr="00663BD3">
        <w:rPr>
          <w:szCs w:val="24"/>
        </w:rPr>
        <w:t xml:space="preserve"> que</w:t>
      </w:r>
      <w:r w:rsidR="00107593">
        <w:rPr>
          <w:szCs w:val="24"/>
        </w:rPr>
        <w:t xml:space="preserve"> se adjunta copia del Convenio suscrito</w:t>
      </w:r>
      <w:r w:rsidR="00C4544A">
        <w:rPr>
          <w:szCs w:val="24"/>
        </w:rPr>
        <w:t xml:space="preserve"> el 10/07/2016</w:t>
      </w:r>
      <w:r w:rsidR="00332C6B">
        <w:rPr>
          <w:szCs w:val="24"/>
        </w:rPr>
        <w:t xml:space="preserve"> por</w:t>
      </w:r>
      <w:r w:rsidR="00107593">
        <w:rPr>
          <w:szCs w:val="24"/>
        </w:rPr>
        <w:t xml:space="preserve"> el MSP y el UNFPA</w:t>
      </w:r>
      <w:r w:rsidR="00C4544A">
        <w:rPr>
          <w:szCs w:val="24"/>
        </w:rPr>
        <w:t>;</w:t>
      </w:r>
    </w:p>
    <w:p w:rsidR="00D24FFF" w:rsidRPr="00663BD3" w:rsidRDefault="00C4544A" w:rsidP="00332C6B">
      <w:pPr>
        <w:pStyle w:val="Sangradetextonormal"/>
        <w:ind w:firstLine="2835"/>
        <w:rPr>
          <w:b/>
          <w:szCs w:val="24"/>
        </w:rPr>
      </w:pPr>
      <w:r w:rsidRPr="00332C6B">
        <w:rPr>
          <w:b/>
          <w:szCs w:val="24"/>
        </w:rPr>
        <w:t>5)</w:t>
      </w:r>
      <w:r>
        <w:rPr>
          <w:szCs w:val="24"/>
        </w:rPr>
        <w:t xml:space="preserve"> que</w:t>
      </w:r>
      <w:r w:rsidR="00D24FFF" w:rsidRPr="00663BD3">
        <w:rPr>
          <w:szCs w:val="24"/>
        </w:rPr>
        <w:t xml:space="preserve"> por Resolución </w:t>
      </w:r>
      <w:r w:rsidR="00CB290E">
        <w:rPr>
          <w:szCs w:val="24"/>
        </w:rPr>
        <w:t>Nº</w:t>
      </w:r>
      <w:r w:rsidR="00107593">
        <w:rPr>
          <w:szCs w:val="24"/>
        </w:rPr>
        <w:t xml:space="preserve"> </w:t>
      </w:r>
      <w:r w:rsidR="00CB290E">
        <w:rPr>
          <w:szCs w:val="24"/>
        </w:rPr>
        <w:t xml:space="preserve">812 </w:t>
      </w:r>
      <w:r w:rsidR="00D24FFF" w:rsidRPr="00663BD3">
        <w:rPr>
          <w:szCs w:val="24"/>
        </w:rPr>
        <w:t xml:space="preserve">de fecha </w:t>
      </w:r>
      <w:r w:rsidR="0027441B" w:rsidRPr="00663BD3">
        <w:rPr>
          <w:szCs w:val="24"/>
        </w:rPr>
        <w:t>04/07/2019, adoptada por el</w:t>
      </w:r>
      <w:r w:rsidR="00D24FFF" w:rsidRPr="00663BD3">
        <w:rPr>
          <w:szCs w:val="24"/>
        </w:rPr>
        <w:t xml:space="preserve"> Ministr</w:t>
      </w:r>
      <w:r w:rsidR="0027441B" w:rsidRPr="00663BD3">
        <w:rPr>
          <w:szCs w:val="24"/>
        </w:rPr>
        <w:t>o interino</w:t>
      </w:r>
      <w:r w:rsidR="00D24FFF" w:rsidRPr="00663BD3">
        <w:rPr>
          <w:szCs w:val="24"/>
        </w:rPr>
        <w:t xml:space="preserve"> de Salud Pública </w:t>
      </w:r>
      <w:r w:rsidR="00107593" w:rsidRPr="00107593">
        <w:rPr>
          <w:szCs w:val="24"/>
        </w:rPr>
        <w:t>se autoriza</w:t>
      </w:r>
      <w:r w:rsidR="00107593">
        <w:rPr>
          <w:szCs w:val="24"/>
        </w:rPr>
        <w:t>,</w:t>
      </w:r>
      <w:r w:rsidR="00107593" w:rsidRPr="00107593">
        <w:rPr>
          <w:szCs w:val="24"/>
        </w:rPr>
        <w:t xml:space="preserve"> </w:t>
      </w:r>
      <w:r w:rsidR="0027441B" w:rsidRPr="00663BD3">
        <w:rPr>
          <w:szCs w:val="24"/>
        </w:rPr>
        <w:t>al a</w:t>
      </w:r>
      <w:r w:rsidR="00332C6B">
        <w:rPr>
          <w:szCs w:val="24"/>
        </w:rPr>
        <w:t>mparo de lo establecido por el Artículo 33 Literal C) N</w:t>
      </w:r>
      <w:r w:rsidR="0027441B" w:rsidRPr="00663BD3">
        <w:rPr>
          <w:szCs w:val="24"/>
        </w:rPr>
        <w:t xml:space="preserve">umeral 5) del TOCAF, </w:t>
      </w:r>
      <w:r w:rsidR="00D24FFF" w:rsidRPr="00663BD3">
        <w:rPr>
          <w:szCs w:val="24"/>
        </w:rPr>
        <w:t xml:space="preserve">la adquisición de insumos anticonceptivos al Fondo de Población de las Naciones Unidas </w:t>
      </w:r>
      <w:r w:rsidR="0027441B" w:rsidRPr="00663BD3">
        <w:rPr>
          <w:szCs w:val="24"/>
        </w:rPr>
        <w:t>(</w:t>
      </w:r>
      <w:r w:rsidR="00D24FFF" w:rsidRPr="00663BD3">
        <w:rPr>
          <w:szCs w:val="24"/>
        </w:rPr>
        <w:t>UNFPA</w:t>
      </w:r>
      <w:r w:rsidR="0027441B" w:rsidRPr="00663BD3">
        <w:rPr>
          <w:szCs w:val="24"/>
        </w:rPr>
        <w:t>)</w:t>
      </w:r>
      <w:r w:rsidR="00D24FFF" w:rsidRPr="00663BD3">
        <w:rPr>
          <w:szCs w:val="24"/>
        </w:rPr>
        <w:t xml:space="preserve">, por la suma de </w:t>
      </w:r>
      <w:r w:rsidR="0027441B" w:rsidRPr="00663BD3">
        <w:rPr>
          <w:szCs w:val="24"/>
        </w:rPr>
        <w:t>U</w:t>
      </w:r>
      <w:r w:rsidR="00D24FFF" w:rsidRPr="00663BD3">
        <w:rPr>
          <w:szCs w:val="24"/>
        </w:rPr>
        <w:t>$</w:t>
      </w:r>
      <w:r w:rsidR="0027441B" w:rsidRPr="00663BD3">
        <w:rPr>
          <w:szCs w:val="24"/>
        </w:rPr>
        <w:t>S</w:t>
      </w:r>
      <w:r w:rsidR="00332C6B">
        <w:rPr>
          <w:szCs w:val="24"/>
        </w:rPr>
        <w:t xml:space="preserve"> </w:t>
      </w:r>
      <w:r w:rsidR="0027441B" w:rsidRPr="00663BD3">
        <w:rPr>
          <w:szCs w:val="24"/>
        </w:rPr>
        <w:t>504.450</w:t>
      </w:r>
      <w:r w:rsidR="00D24FFF" w:rsidRPr="00663BD3">
        <w:rPr>
          <w:szCs w:val="24"/>
        </w:rPr>
        <w:t>, de conformidad con el siguiente detalle a saber: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1134"/>
        <w:gridCol w:w="1808"/>
      </w:tblGrid>
      <w:tr w:rsidR="00234D24" w:rsidRPr="00663BD3" w:rsidTr="00234D24">
        <w:tc>
          <w:tcPr>
            <w:tcW w:w="5778" w:type="dxa"/>
            <w:gridSpan w:val="2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663BD3">
              <w:rPr>
                <w:rFonts w:ascii="Arial" w:hAnsi="Arial" w:cs="Arial"/>
                <w:sz w:val="20"/>
                <w:lang w:val="es-MX"/>
              </w:rPr>
              <w:t>Producto</w:t>
            </w:r>
          </w:p>
        </w:tc>
        <w:tc>
          <w:tcPr>
            <w:tcW w:w="1134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663BD3">
              <w:rPr>
                <w:rFonts w:ascii="Arial" w:hAnsi="Arial" w:cs="Arial"/>
                <w:sz w:val="20"/>
                <w:lang w:val="es-MX"/>
              </w:rPr>
              <w:t>Cantidad</w:t>
            </w: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663BD3">
              <w:rPr>
                <w:rFonts w:ascii="Arial" w:hAnsi="Arial" w:cs="Arial"/>
                <w:sz w:val="20"/>
                <w:lang w:val="es-MX"/>
              </w:rPr>
              <w:t>Monto Total U$S</w:t>
            </w:r>
          </w:p>
        </w:tc>
      </w:tr>
      <w:tr w:rsidR="00234D24" w:rsidRPr="00663BD3" w:rsidTr="00234D24">
        <w:tc>
          <w:tcPr>
            <w:tcW w:w="5778" w:type="dxa"/>
            <w:gridSpan w:val="2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n-US"/>
              </w:rPr>
              <w:t>Male condom 53mm, standard, natural</w:t>
            </w:r>
          </w:p>
        </w:tc>
        <w:tc>
          <w:tcPr>
            <w:tcW w:w="1134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50.000</w:t>
            </w: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195.270,00</w:t>
            </w:r>
          </w:p>
        </w:tc>
      </w:tr>
      <w:tr w:rsidR="00234D24" w:rsidRPr="00663BD3" w:rsidTr="00234D24">
        <w:tc>
          <w:tcPr>
            <w:tcW w:w="5778" w:type="dxa"/>
            <w:gridSpan w:val="2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proofErr w:type="spellStart"/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Lubricants</w:t>
            </w:r>
            <w:proofErr w:type="spellEnd"/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 xml:space="preserve"> 5ml</w:t>
            </w:r>
          </w:p>
        </w:tc>
        <w:tc>
          <w:tcPr>
            <w:tcW w:w="1134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100</w:t>
            </w: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6.930,00</w:t>
            </w:r>
          </w:p>
        </w:tc>
      </w:tr>
      <w:tr w:rsidR="00234D24" w:rsidRPr="00663BD3" w:rsidTr="00234D24">
        <w:tc>
          <w:tcPr>
            <w:tcW w:w="5778" w:type="dxa"/>
            <w:gridSpan w:val="2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n-US"/>
              </w:rPr>
              <w:t>Female condom, nitrile sheath, inner retention ring, 175mm</w:t>
            </w:r>
          </w:p>
        </w:tc>
        <w:tc>
          <w:tcPr>
            <w:tcW w:w="1134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180.000</w:t>
            </w: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95.975,00</w:t>
            </w:r>
          </w:p>
        </w:tc>
      </w:tr>
      <w:tr w:rsidR="00234D24" w:rsidRPr="00663BD3" w:rsidTr="00234D24">
        <w:tc>
          <w:tcPr>
            <w:tcW w:w="5778" w:type="dxa"/>
            <w:gridSpan w:val="2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proofErr w:type="spellStart"/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Levonorgestrel</w:t>
            </w:r>
            <w:proofErr w:type="spellEnd"/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 xml:space="preserve"> 75mg x 2 (JADELLE)</w:t>
            </w:r>
          </w:p>
        </w:tc>
        <w:tc>
          <w:tcPr>
            <w:tcW w:w="1134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15.000</w:t>
            </w: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132.275,00</w:t>
            </w:r>
          </w:p>
        </w:tc>
      </w:tr>
      <w:tr w:rsidR="00234D24" w:rsidRPr="00663BD3" w:rsidTr="00234D24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proofErr w:type="spellStart"/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Medorxyprogesterone</w:t>
            </w:r>
            <w:proofErr w:type="spellEnd"/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 xml:space="preserve"> </w:t>
            </w:r>
            <w:proofErr w:type="spellStart"/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acetate</w:t>
            </w:r>
            <w:proofErr w:type="spellEnd"/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 xml:space="preserve"> 150 mg/ml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16.000</w:t>
            </w: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14.530,00</w:t>
            </w:r>
          </w:p>
        </w:tc>
      </w:tr>
      <w:tr w:rsidR="00234D24" w:rsidRPr="00663BD3" w:rsidTr="00234D24"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color w:val="FFFFFF" w:themeColor="background1"/>
                <w:sz w:val="20"/>
                <w:lang w:val="es-MX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color w:val="FFFFFF" w:themeColor="background1"/>
                <w:sz w:val="20"/>
                <w:lang w:val="es-MX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color w:val="FFFFFF" w:themeColor="background1"/>
                <w:sz w:val="20"/>
                <w:lang w:val="es-MX"/>
              </w:rPr>
            </w:pP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663BD3">
              <w:rPr>
                <w:rFonts w:ascii="Arial" w:hAnsi="Arial" w:cs="Arial"/>
                <w:sz w:val="20"/>
                <w:lang w:val="es-MX"/>
              </w:rPr>
              <w:t>444.980</w:t>
            </w:r>
          </w:p>
        </w:tc>
      </w:tr>
      <w:tr w:rsidR="00234D24" w:rsidRPr="00663BD3" w:rsidTr="00234D24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234D24" w:rsidRPr="00663BD3" w:rsidRDefault="00234D24" w:rsidP="00663BD3">
            <w:pPr>
              <w:spacing w:line="360" w:lineRule="auto"/>
              <w:ind w:firstLine="284"/>
              <w:jc w:val="right"/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  <w:tc>
          <w:tcPr>
            <w:tcW w:w="2126" w:type="dxa"/>
            <w:gridSpan w:val="2"/>
          </w:tcPr>
          <w:p w:rsidR="00234D24" w:rsidRPr="00663BD3" w:rsidRDefault="00234D24" w:rsidP="00663BD3">
            <w:pPr>
              <w:spacing w:line="360" w:lineRule="auto"/>
              <w:ind w:firstLine="284"/>
              <w:jc w:val="right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5% indirectos</w:t>
            </w: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22.249</w:t>
            </w:r>
          </w:p>
        </w:tc>
      </w:tr>
      <w:tr w:rsidR="00234D24" w:rsidRPr="00663BD3" w:rsidTr="00234D24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234D24" w:rsidRPr="00663BD3" w:rsidRDefault="00234D24" w:rsidP="00663BD3">
            <w:pPr>
              <w:spacing w:line="360" w:lineRule="auto"/>
              <w:jc w:val="right"/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  <w:tc>
          <w:tcPr>
            <w:tcW w:w="2126" w:type="dxa"/>
            <w:gridSpan w:val="2"/>
          </w:tcPr>
          <w:p w:rsidR="00234D24" w:rsidRPr="00663BD3" w:rsidRDefault="00234D24" w:rsidP="00663BD3">
            <w:pPr>
              <w:spacing w:line="360" w:lineRule="auto"/>
              <w:jc w:val="right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 xml:space="preserve">Gastos </w:t>
            </w:r>
            <w:proofErr w:type="spellStart"/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desaduanaje</w:t>
            </w:r>
            <w:proofErr w:type="spellEnd"/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13.200</w:t>
            </w:r>
          </w:p>
        </w:tc>
      </w:tr>
      <w:tr w:rsidR="00234D24" w:rsidRPr="00663BD3" w:rsidTr="00234D24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234D24" w:rsidRPr="00663BD3" w:rsidRDefault="00234D24" w:rsidP="00663BD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126" w:type="dxa"/>
            <w:gridSpan w:val="2"/>
          </w:tcPr>
          <w:p w:rsidR="00234D24" w:rsidRPr="00663BD3" w:rsidRDefault="00234D24" w:rsidP="00663BD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s-MX"/>
              </w:rPr>
            </w:pPr>
            <w:r w:rsidRPr="00663BD3">
              <w:rPr>
                <w:rFonts w:ascii="Arial" w:hAnsi="Arial" w:cs="Arial"/>
                <w:sz w:val="20"/>
                <w:lang w:val="es-MX"/>
              </w:rPr>
              <w:t>Subtotal</w:t>
            </w: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480.429</w:t>
            </w:r>
          </w:p>
        </w:tc>
      </w:tr>
      <w:tr w:rsidR="00234D24" w:rsidRPr="00663BD3" w:rsidTr="00234D24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234D24" w:rsidRPr="00663BD3" w:rsidRDefault="00234D24" w:rsidP="00663BD3">
            <w:pPr>
              <w:spacing w:line="360" w:lineRule="auto"/>
              <w:jc w:val="right"/>
              <w:rPr>
                <w:rFonts w:ascii="Arial" w:hAnsi="Arial" w:cs="Arial"/>
                <w:b w:val="0"/>
                <w:sz w:val="20"/>
                <w:lang w:val="es-MX"/>
              </w:rPr>
            </w:pPr>
          </w:p>
        </w:tc>
        <w:tc>
          <w:tcPr>
            <w:tcW w:w="2126" w:type="dxa"/>
            <w:gridSpan w:val="2"/>
          </w:tcPr>
          <w:p w:rsidR="00234D24" w:rsidRPr="00663BD3" w:rsidRDefault="00234D24" w:rsidP="00663BD3">
            <w:pPr>
              <w:spacing w:line="360" w:lineRule="auto"/>
              <w:jc w:val="right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5% directos</w:t>
            </w: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lang w:val="es-MX"/>
              </w:rPr>
            </w:pPr>
            <w:r w:rsidRPr="00663BD3">
              <w:rPr>
                <w:rFonts w:ascii="Arial" w:hAnsi="Arial" w:cs="Arial"/>
                <w:b w:val="0"/>
                <w:sz w:val="20"/>
                <w:lang w:val="es-MX"/>
              </w:rPr>
              <w:t>24.021</w:t>
            </w:r>
          </w:p>
        </w:tc>
      </w:tr>
      <w:tr w:rsidR="00234D24" w:rsidRPr="00663BD3" w:rsidTr="00234D24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234D24" w:rsidRPr="00663BD3" w:rsidRDefault="00234D24" w:rsidP="00663BD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126" w:type="dxa"/>
            <w:gridSpan w:val="2"/>
          </w:tcPr>
          <w:p w:rsidR="00234D24" w:rsidRPr="00663BD3" w:rsidRDefault="00234D24" w:rsidP="00663BD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s-MX"/>
              </w:rPr>
            </w:pPr>
            <w:r w:rsidRPr="00663BD3">
              <w:rPr>
                <w:rFonts w:ascii="Arial" w:hAnsi="Arial" w:cs="Arial"/>
                <w:sz w:val="20"/>
                <w:lang w:val="es-MX"/>
              </w:rPr>
              <w:t>TOTAL ESTIMADO</w:t>
            </w:r>
          </w:p>
        </w:tc>
        <w:tc>
          <w:tcPr>
            <w:tcW w:w="1808" w:type="dxa"/>
          </w:tcPr>
          <w:p w:rsidR="00234D24" w:rsidRPr="00663BD3" w:rsidRDefault="00234D24" w:rsidP="00663BD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663BD3">
              <w:rPr>
                <w:rFonts w:ascii="Arial" w:hAnsi="Arial" w:cs="Arial"/>
                <w:sz w:val="20"/>
                <w:lang w:val="es-MX"/>
              </w:rPr>
              <w:t>504.450</w:t>
            </w:r>
          </w:p>
        </w:tc>
      </w:tr>
    </w:tbl>
    <w:p w:rsidR="00332C6B" w:rsidRDefault="00332C6B" w:rsidP="003C5941">
      <w:pPr>
        <w:spacing w:line="360" w:lineRule="auto"/>
        <w:ind w:firstLine="2552"/>
        <w:jc w:val="both"/>
        <w:rPr>
          <w:rFonts w:ascii="Arial" w:hAnsi="Arial" w:cs="Arial"/>
          <w:szCs w:val="24"/>
          <w:lang w:val="es-MX"/>
        </w:rPr>
      </w:pPr>
    </w:p>
    <w:p w:rsidR="003C5941" w:rsidRPr="00663BD3" w:rsidRDefault="00C4544A" w:rsidP="003C5941">
      <w:pPr>
        <w:spacing w:line="360" w:lineRule="auto"/>
        <w:ind w:firstLine="2552"/>
        <w:jc w:val="both"/>
        <w:rPr>
          <w:rFonts w:ascii="Arial" w:hAnsi="Arial" w:cs="Arial"/>
          <w:b w:val="0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6</w:t>
      </w:r>
      <w:r w:rsidR="003C5941" w:rsidRPr="00663BD3">
        <w:rPr>
          <w:rFonts w:ascii="Arial" w:hAnsi="Arial" w:cs="Arial"/>
          <w:szCs w:val="24"/>
          <w:lang w:val="es-MX"/>
        </w:rPr>
        <w:t xml:space="preserve">) </w:t>
      </w:r>
      <w:r w:rsidR="003C5941" w:rsidRPr="00663BD3">
        <w:rPr>
          <w:rFonts w:ascii="Arial" w:hAnsi="Arial" w:cs="Arial"/>
          <w:b w:val="0"/>
          <w:szCs w:val="24"/>
          <w:lang w:val="es-MX"/>
        </w:rPr>
        <w:t xml:space="preserve">que </w:t>
      </w:r>
      <w:r w:rsidR="003C5941">
        <w:rPr>
          <w:rFonts w:ascii="Arial" w:hAnsi="Arial" w:cs="Arial"/>
          <w:b w:val="0"/>
          <w:szCs w:val="24"/>
          <w:lang w:val="es-MX"/>
        </w:rPr>
        <w:t>consta</w:t>
      </w:r>
      <w:r w:rsidR="003C5941" w:rsidRPr="00663BD3">
        <w:rPr>
          <w:rFonts w:ascii="Arial" w:hAnsi="Arial" w:cs="Arial"/>
          <w:b w:val="0"/>
          <w:szCs w:val="24"/>
          <w:lang w:val="es-MX"/>
        </w:rPr>
        <w:t xml:space="preserve"> Doc</w:t>
      </w:r>
      <w:r w:rsidR="00332C6B">
        <w:rPr>
          <w:rFonts w:ascii="Arial" w:hAnsi="Arial" w:cs="Arial"/>
          <w:b w:val="0"/>
          <w:szCs w:val="24"/>
          <w:lang w:val="es-MX"/>
        </w:rPr>
        <w:t>umento Afectación de Crédito N°</w:t>
      </w:r>
      <w:r w:rsidR="003C5941" w:rsidRPr="00663BD3">
        <w:rPr>
          <w:rFonts w:ascii="Arial" w:hAnsi="Arial" w:cs="Arial"/>
          <w:b w:val="0"/>
          <w:szCs w:val="24"/>
          <w:lang w:val="es-MX"/>
        </w:rPr>
        <w:t>002116 de fecha 24/05/2019</w:t>
      </w:r>
      <w:r w:rsidR="003C5941" w:rsidRPr="00663BD3">
        <w:rPr>
          <w:rFonts w:ascii="Arial" w:hAnsi="Arial" w:cs="Arial"/>
          <w:b w:val="0"/>
          <w:bCs/>
          <w:szCs w:val="24"/>
        </w:rPr>
        <w:t xml:space="preserve">, con cargo al Inciso 12 Ministerio de Salud Pública, Unidad Ejecutora 103 Dirección General de la Salud, </w:t>
      </w:r>
      <w:r w:rsidR="003C5941" w:rsidRPr="00663BD3">
        <w:rPr>
          <w:rFonts w:ascii="Arial" w:hAnsi="Arial" w:cs="Arial"/>
          <w:b w:val="0"/>
          <w:szCs w:val="24"/>
          <w:lang w:val="es-MX"/>
        </w:rPr>
        <w:t>Tipo procedimiento: Compra Directa por Excepción,</w:t>
      </w:r>
      <w:r w:rsidR="003C5941" w:rsidRPr="00663BD3">
        <w:rPr>
          <w:rFonts w:ascii="Arial" w:hAnsi="Arial" w:cs="Arial"/>
          <w:b w:val="0"/>
          <w:bCs/>
          <w:szCs w:val="24"/>
        </w:rPr>
        <w:t xml:space="preserve"> con Financiamiento 1.1. “Rentas Generales”</w:t>
      </w:r>
      <w:r w:rsidR="003C5941" w:rsidRPr="00663BD3">
        <w:rPr>
          <w:rFonts w:ascii="Arial" w:hAnsi="Arial" w:cs="Arial"/>
          <w:b w:val="0"/>
          <w:szCs w:val="24"/>
          <w:lang w:val="es-MX"/>
        </w:rPr>
        <w:t>,</w:t>
      </w:r>
      <w:r w:rsidR="003C5941" w:rsidRPr="00663BD3">
        <w:rPr>
          <w:rFonts w:ascii="Arial" w:hAnsi="Arial" w:cs="Arial"/>
          <w:b w:val="0"/>
          <w:bCs/>
          <w:szCs w:val="24"/>
        </w:rPr>
        <w:t xml:space="preserve"> Programa 441, Proyecto 121, Objeto del Gasto 152, Tipo de Cambio</w:t>
      </w:r>
      <w:r w:rsidR="00107593">
        <w:rPr>
          <w:rFonts w:ascii="Arial" w:hAnsi="Arial" w:cs="Arial"/>
          <w:b w:val="0"/>
          <w:bCs/>
          <w:szCs w:val="24"/>
        </w:rPr>
        <w:t xml:space="preserve"> </w:t>
      </w:r>
      <w:r w:rsidR="003C5941" w:rsidRPr="00663BD3">
        <w:rPr>
          <w:rFonts w:ascii="Arial" w:hAnsi="Arial" w:cs="Arial"/>
          <w:b w:val="0"/>
          <w:bCs/>
          <w:szCs w:val="24"/>
        </w:rPr>
        <w:t xml:space="preserve"> 3, </w:t>
      </w:r>
      <w:r w:rsidR="00107593">
        <w:rPr>
          <w:rFonts w:ascii="Arial" w:hAnsi="Arial" w:cs="Arial"/>
          <w:b w:val="0"/>
          <w:bCs/>
          <w:szCs w:val="24"/>
        </w:rPr>
        <w:t xml:space="preserve">  </w:t>
      </w:r>
      <w:r w:rsidR="003C5941" w:rsidRPr="00663BD3">
        <w:rPr>
          <w:rFonts w:ascii="Arial" w:hAnsi="Arial" w:cs="Arial"/>
          <w:b w:val="0"/>
          <w:szCs w:val="24"/>
          <w:lang w:val="es-MX"/>
        </w:rPr>
        <w:t xml:space="preserve">“Productos </w:t>
      </w:r>
      <w:r w:rsidR="00107593">
        <w:rPr>
          <w:rFonts w:ascii="Arial" w:hAnsi="Arial" w:cs="Arial"/>
          <w:b w:val="0"/>
          <w:szCs w:val="24"/>
          <w:lang w:val="es-MX"/>
        </w:rPr>
        <w:t xml:space="preserve">  </w:t>
      </w:r>
      <w:r w:rsidR="003C5941" w:rsidRPr="00663BD3">
        <w:rPr>
          <w:rFonts w:ascii="Arial" w:hAnsi="Arial" w:cs="Arial"/>
          <w:b w:val="0"/>
          <w:szCs w:val="24"/>
          <w:lang w:val="es-MX"/>
        </w:rPr>
        <w:t>medicinales</w:t>
      </w:r>
      <w:r w:rsidR="00107593">
        <w:rPr>
          <w:rFonts w:ascii="Arial" w:hAnsi="Arial" w:cs="Arial"/>
          <w:b w:val="0"/>
          <w:szCs w:val="24"/>
          <w:lang w:val="es-MX"/>
        </w:rPr>
        <w:t xml:space="preserve"> </w:t>
      </w:r>
      <w:r w:rsidR="003C5941" w:rsidRPr="00663BD3">
        <w:rPr>
          <w:rFonts w:ascii="Arial" w:hAnsi="Arial" w:cs="Arial"/>
          <w:b w:val="0"/>
          <w:szCs w:val="24"/>
          <w:lang w:val="es-MX"/>
        </w:rPr>
        <w:t xml:space="preserve"> y</w:t>
      </w:r>
      <w:r w:rsidR="00107593">
        <w:rPr>
          <w:rFonts w:ascii="Arial" w:hAnsi="Arial" w:cs="Arial"/>
          <w:b w:val="0"/>
          <w:szCs w:val="24"/>
          <w:lang w:val="es-MX"/>
        </w:rPr>
        <w:t xml:space="preserve"> </w:t>
      </w:r>
      <w:r w:rsidR="003C5941" w:rsidRPr="00663BD3">
        <w:rPr>
          <w:rFonts w:ascii="Arial" w:hAnsi="Arial" w:cs="Arial"/>
          <w:b w:val="0"/>
          <w:szCs w:val="24"/>
          <w:lang w:val="es-MX"/>
        </w:rPr>
        <w:t xml:space="preserve"> farmacéuticos”,</w:t>
      </w:r>
      <w:r w:rsidR="00107593">
        <w:rPr>
          <w:rFonts w:ascii="Arial" w:hAnsi="Arial" w:cs="Arial"/>
          <w:b w:val="0"/>
          <w:szCs w:val="24"/>
          <w:lang w:val="es-MX"/>
        </w:rPr>
        <w:t xml:space="preserve">  </w:t>
      </w:r>
      <w:r w:rsidR="003C5941" w:rsidRPr="00663BD3">
        <w:rPr>
          <w:rFonts w:ascii="Arial" w:hAnsi="Arial" w:cs="Arial"/>
          <w:b w:val="0"/>
          <w:bCs/>
          <w:szCs w:val="24"/>
        </w:rPr>
        <w:t xml:space="preserve"> por</w:t>
      </w:r>
      <w:r w:rsidR="00107593">
        <w:rPr>
          <w:rFonts w:ascii="Arial" w:hAnsi="Arial" w:cs="Arial"/>
          <w:b w:val="0"/>
          <w:bCs/>
          <w:szCs w:val="24"/>
        </w:rPr>
        <w:t xml:space="preserve"> </w:t>
      </w:r>
      <w:r w:rsidR="003C5941" w:rsidRPr="00663BD3">
        <w:rPr>
          <w:rFonts w:ascii="Arial" w:hAnsi="Arial" w:cs="Arial"/>
          <w:b w:val="0"/>
          <w:bCs/>
          <w:szCs w:val="24"/>
        </w:rPr>
        <w:t xml:space="preserve"> </w:t>
      </w:r>
      <w:r w:rsidR="00107593">
        <w:rPr>
          <w:rFonts w:ascii="Arial" w:hAnsi="Arial" w:cs="Arial"/>
          <w:b w:val="0"/>
          <w:bCs/>
          <w:szCs w:val="24"/>
        </w:rPr>
        <w:t xml:space="preserve"> </w:t>
      </w:r>
      <w:r w:rsidR="003C5941" w:rsidRPr="00663BD3">
        <w:rPr>
          <w:rFonts w:ascii="Arial" w:hAnsi="Arial" w:cs="Arial"/>
          <w:b w:val="0"/>
          <w:bCs/>
          <w:szCs w:val="24"/>
        </w:rPr>
        <w:t>un</w:t>
      </w:r>
      <w:r w:rsidR="00107593">
        <w:rPr>
          <w:rFonts w:ascii="Arial" w:hAnsi="Arial" w:cs="Arial"/>
          <w:b w:val="0"/>
          <w:bCs/>
          <w:szCs w:val="24"/>
        </w:rPr>
        <w:t xml:space="preserve">  </w:t>
      </w:r>
      <w:r w:rsidR="003C5941" w:rsidRPr="00663BD3">
        <w:rPr>
          <w:rFonts w:ascii="Arial" w:hAnsi="Arial" w:cs="Arial"/>
          <w:b w:val="0"/>
          <w:bCs/>
          <w:szCs w:val="24"/>
        </w:rPr>
        <w:t xml:space="preserve"> </w:t>
      </w:r>
      <w:r w:rsidR="00107593">
        <w:rPr>
          <w:rFonts w:ascii="Arial" w:hAnsi="Arial" w:cs="Arial"/>
          <w:b w:val="0"/>
          <w:bCs/>
          <w:szCs w:val="24"/>
        </w:rPr>
        <w:t xml:space="preserve"> </w:t>
      </w:r>
      <w:r w:rsidR="003C5941" w:rsidRPr="00663BD3">
        <w:rPr>
          <w:rFonts w:ascii="Arial" w:hAnsi="Arial" w:cs="Arial"/>
          <w:b w:val="0"/>
          <w:bCs/>
          <w:szCs w:val="24"/>
        </w:rPr>
        <w:t xml:space="preserve">total </w:t>
      </w:r>
      <w:r w:rsidR="00107593">
        <w:rPr>
          <w:rFonts w:ascii="Arial" w:hAnsi="Arial" w:cs="Arial"/>
          <w:b w:val="0"/>
          <w:bCs/>
          <w:szCs w:val="24"/>
        </w:rPr>
        <w:t xml:space="preserve">  </w:t>
      </w:r>
      <w:r w:rsidR="003C5941" w:rsidRPr="00663BD3">
        <w:rPr>
          <w:rFonts w:ascii="Arial" w:hAnsi="Arial" w:cs="Arial"/>
          <w:b w:val="0"/>
          <w:bCs/>
          <w:szCs w:val="24"/>
        </w:rPr>
        <w:t xml:space="preserve">de </w:t>
      </w:r>
      <w:r w:rsidR="00107593">
        <w:rPr>
          <w:rFonts w:ascii="Arial" w:hAnsi="Arial" w:cs="Arial"/>
          <w:b w:val="0"/>
          <w:bCs/>
          <w:szCs w:val="24"/>
        </w:rPr>
        <w:t xml:space="preserve">  </w:t>
      </w:r>
      <w:r w:rsidR="003C5941" w:rsidRPr="00663BD3">
        <w:rPr>
          <w:rFonts w:ascii="Arial" w:hAnsi="Arial" w:cs="Arial"/>
          <w:b w:val="0"/>
          <w:bCs/>
          <w:szCs w:val="24"/>
        </w:rPr>
        <w:t>$</w:t>
      </w:r>
      <w:r w:rsidR="00107593">
        <w:rPr>
          <w:rFonts w:ascii="Arial" w:hAnsi="Arial" w:cs="Arial"/>
          <w:b w:val="0"/>
          <w:bCs/>
          <w:szCs w:val="24"/>
        </w:rPr>
        <w:t xml:space="preserve"> </w:t>
      </w:r>
      <w:r w:rsidR="003C5941" w:rsidRPr="00663BD3">
        <w:rPr>
          <w:rFonts w:ascii="Arial" w:hAnsi="Arial" w:cs="Arial"/>
          <w:b w:val="0"/>
          <w:bCs/>
          <w:szCs w:val="24"/>
        </w:rPr>
        <w:t>18.236.624, documento confirmado;</w:t>
      </w:r>
    </w:p>
    <w:p w:rsidR="00332C6B" w:rsidRDefault="00D24FFF" w:rsidP="00332C6B">
      <w:pPr>
        <w:pStyle w:val="Textoindependiente"/>
        <w:ind w:firstLine="851"/>
        <w:rPr>
          <w:rFonts w:ascii="Arial" w:hAnsi="Arial" w:cs="Arial"/>
          <w:szCs w:val="24"/>
        </w:rPr>
      </w:pPr>
      <w:r w:rsidRPr="00663BD3">
        <w:rPr>
          <w:rFonts w:ascii="Arial" w:hAnsi="Arial" w:cs="Arial"/>
          <w:b/>
          <w:szCs w:val="24"/>
        </w:rPr>
        <w:t>CONSIDERANDO:</w:t>
      </w:r>
      <w:r w:rsidRPr="00663BD3">
        <w:rPr>
          <w:rFonts w:ascii="Arial" w:hAnsi="Arial" w:cs="Arial"/>
          <w:szCs w:val="24"/>
        </w:rPr>
        <w:t xml:space="preserve"> que el procedimiento se ajust</w:t>
      </w:r>
      <w:r w:rsidR="00107593">
        <w:rPr>
          <w:rFonts w:ascii="Arial" w:hAnsi="Arial" w:cs="Arial"/>
          <w:szCs w:val="24"/>
        </w:rPr>
        <w:t>a</w:t>
      </w:r>
      <w:r w:rsidRPr="00663BD3">
        <w:rPr>
          <w:rFonts w:ascii="Arial" w:hAnsi="Arial" w:cs="Arial"/>
          <w:szCs w:val="24"/>
        </w:rPr>
        <w:t xml:space="preserve"> a </w:t>
      </w:r>
      <w:r w:rsidR="003C4E37">
        <w:rPr>
          <w:rFonts w:ascii="Arial" w:hAnsi="Arial" w:cs="Arial"/>
          <w:szCs w:val="24"/>
        </w:rPr>
        <w:t>la caus</w:t>
      </w:r>
      <w:r w:rsidR="00332C6B">
        <w:rPr>
          <w:rFonts w:ascii="Arial" w:hAnsi="Arial" w:cs="Arial"/>
          <w:szCs w:val="24"/>
        </w:rPr>
        <w:t>al de excepción prevista en el Numeral 5) del L</w:t>
      </w:r>
      <w:r w:rsidR="003C4E37">
        <w:rPr>
          <w:rFonts w:ascii="Arial" w:hAnsi="Arial" w:cs="Arial"/>
          <w:szCs w:val="24"/>
        </w:rPr>
        <w:t>iteral C</w:t>
      </w:r>
      <w:r w:rsidR="00332C6B">
        <w:rPr>
          <w:rFonts w:ascii="Arial" w:hAnsi="Arial" w:cs="Arial"/>
          <w:szCs w:val="24"/>
        </w:rPr>
        <w:t>) del A</w:t>
      </w:r>
      <w:r w:rsidR="003C4E37">
        <w:rPr>
          <w:rFonts w:ascii="Arial" w:hAnsi="Arial" w:cs="Arial"/>
          <w:szCs w:val="24"/>
        </w:rPr>
        <w:t xml:space="preserve">rtículo 33 </w:t>
      </w:r>
      <w:r w:rsidRPr="00663BD3">
        <w:rPr>
          <w:rFonts w:ascii="Arial" w:hAnsi="Arial" w:cs="Arial"/>
          <w:szCs w:val="24"/>
        </w:rPr>
        <w:t>del TOCAF</w:t>
      </w:r>
      <w:r w:rsidR="00107593">
        <w:rPr>
          <w:rFonts w:ascii="Arial" w:hAnsi="Arial" w:cs="Arial"/>
          <w:szCs w:val="24"/>
        </w:rPr>
        <w:t>;</w:t>
      </w:r>
    </w:p>
    <w:p w:rsidR="00D24FFF" w:rsidRPr="00663BD3" w:rsidRDefault="00D24FFF" w:rsidP="00332C6B">
      <w:pPr>
        <w:pStyle w:val="Textoindependiente"/>
        <w:ind w:firstLine="851"/>
        <w:rPr>
          <w:rFonts w:ascii="Arial" w:hAnsi="Arial" w:cs="Arial"/>
          <w:szCs w:val="24"/>
        </w:rPr>
      </w:pPr>
      <w:r w:rsidRPr="00663BD3">
        <w:rPr>
          <w:rFonts w:ascii="Arial" w:hAnsi="Arial" w:cs="Arial"/>
          <w:b/>
          <w:szCs w:val="24"/>
        </w:rPr>
        <w:t>ATENTO:</w:t>
      </w:r>
      <w:r w:rsidRPr="00663BD3">
        <w:rPr>
          <w:rFonts w:ascii="Arial" w:hAnsi="Arial" w:cs="Arial"/>
          <w:szCs w:val="24"/>
        </w:rPr>
        <w:t xml:space="preserve"> a lo expu</w:t>
      </w:r>
      <w:r w:rsidR="00332C6B">
        <w:rPr>
          <w:rFonts w:ascii="Arial" w:hAnsi="Arial" w:cs="Arial"/>
          <w:szCs w:val="24"/>
        </w:rPr>
        <w:t>esto y a lo establecido por el A</w:t>
      </w:r>
      <w:r w:rsidRPr="00663BD3">
        <w:rPr>
          <w:rFonts w:ascii="Arial" w:hAnsi="Arial" w:cs="Arial"/>
          <w:szCs w:val="24"/>
        </w:rPr>
        <w:t xml:space="preserve">rtículo 211 </w:t>
      </w:r>
      <w:r w:rsidR="00332C6B">
        <w:rPr>
          <w:rFonts w:ascii="Arial" w:hAnsi="Arial" w:cs="Arial"/>
          <w:szCs w:val="24"/>
        </w:rPr>
        <w:t>L</w:t>
      </w:r>
      <w:r w:rsidRPr="00663BD3">
        <w:rPr>
          <w:rFonts w:ascii="Arial" w:hAnsi="Arial" w:cs="Arial"/>
          <w:szCs w:val="24"/>
        </w:rPr>
        <w:t>iteral B) de la Constitución de la República;</w:t>
      </w:r>
    </w:p>
    <w:p w:rsidR="00D24FFF" w:rsidRPr="00663BD3" w:rsidRDefault="00D24FFF" w:rsidP="00332C6B">
      <w:pPr>
        <w:pStyle w:val="Textoindependiente"/>
        <w:jc w:val="center"/>
        <w:rPr>
          <w:rFonts w:ascii="Arial" w:hAnsi="Arial" w:cs="Arial"/>
          <w:b/>
          <w:bCs/>
          <w:szCs w:val="24"/>
        </w:rPr>
      </w:pPr>
      <w:r w:rsidRPr="00663BD3">
        <w:rPr>
          <w:rFonts w:ascii="Arial" w:hAnsi="Arial" w:cs="Arial"/>
          <w:b/>
          <w:bCs/>
          <w:szCs w:val="24"/>
        </w:rPr>
        <w:t>EL TRIBUNAL ACUERDA</w:t>
      </w:r>
    </w:p>
    <w:p w:rsidR="008F604C" w:rsidRPr="00CB290E" w:rsidRDefault="003C5941" w:rsidP="00332C6B">
      <w:pPr>
        <w:tabs>
          <w:tab w:val="left" w:pos="709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Cs/>
          <w:color w:val="auto"/>
          <w:szCs w:val="24"/>
          <w:lang w:val="es-ES_tradnl"/>
        </w:rPr>
        <w:t>1)</w:t>
      </w:r>
      <w:r w:rsidR="00CB290E" w:rsidRPr="00CB290E">
        <w:rPr>
          <w:rFonts w:ascii="Arial" w:hAnsi="Arial" w:cs="Arial"/>
          <w:bCs/>
          <w:color w:val="auto"/>
          <w:szCs w:val="24"/>
          <w:lang w:val="es-ES_tradnl"/>
        </w:rPr>
        <w:t xml:space="preserve"> </w:t>
      </w:r>
      <w:r w:rsidR="008F604C" w:rsidRPr="00CB290E">
        <w:rPr>
          <w:rFonts w:ascii="Arial" w:hAnsi="Arial" w:cs="Arial"/>
          <w:b w:val="0"/>
          <w:bCs/>
          <w:szCs w:val="24"/>
        </w:rPr>
        <w:t>Com</w:t>
      </w:r>
      <w:r w:rsidR="00107593">
        <w:rPr>
          <w:rFonts w:ascii="Arial" w:hAnsi="Arial" w:cs="Arial"/>
          <w:b w:val="0"/>
          <w:bCs/>
          <w:szCs w:val="24"/>
        </w:rPr>
        <w:t>eter</w:t>
      </w:r>
      <w:r w:rsidR="008F604C" w:rsidRPr="00CB290E">
        <w:rPr>
          <w:rFonts w:ascii="Arial" w:hAnsi="Arial" w:cs="Arial"/>
          <w:b w:val="0"/>
          <w:bCs/>
          <w:szCs w:val="24"/>
        </w:rPr>
        <w:t xml:space="preserve"> al Contador </w:t>
      </w:r>
      <w:r w:rsidR="008F604C" w:rsidRPr="00CB290E">
        <w:rPr>
          <w:rFonts w:ascii="Arial" w:hAnsi="Arial" w:cs="Arial"/>
          <w:b w:val="0"/>
          <w:bCs/>
          <w:szCs w:val="24"/>
          <w:lang w:val="es-ES_tradnl"/>
        </w:rPr>
        <w:t xml:space="preserve">Auditor </w:t>
      </w:r>
      <w:r w:rsidR="00C4544A">
        <w:rPr>
          <w:rFonts w:ascii="Arial" w:hAnsi="Arial" w:cs="Arial"/>
          <w:b w:val="0"/>
          <w:bCs/>
          <w:szCs w:val="24"/>
          <w:lang w:val="es-ES_tradnl"/>
        </w:rPr>
        <w:t>d</w:t>
      </w:r>
      <w:r w:rsidR="008F604C" w:rsidRPr="00CB290E">
        <w:rPr>
          <w:rFonts w:ascii="Arial" w:hAnsi="Arial" w:cs="Arial"/>
          <w:b w:val="0"/>
          <w:bCs/>
          <w:szCs w:val="24"/>
          <w:lang w:val="es-ES_tradnl"/>
        </w:rPr>
        <w:t>estacad</w:t>
      </w:r>
      <w:r w:rsidR="0094513D">
        <w:rPr>
          <w:rFonts w:ascii="Arial" w:hAnsi="Arial" w:cs="Arial"/>
          <w:b w:val="0"/>
          <w:bCs/>
          <w:szCs w:val="24"/>
          <w:lang w:val="es-ES_tradnl"/>
        </w:rPr>
        <w:t>o</w:t>
      </w:r>
      <w:r w:rsidR="008F604C" w:rsidRPr="00CB290E">
        <w:rPr>
          <w:rFonts w:ascii="Arial" w:hAnsi="Arial" w:cs="Arial"/>
          <w:b w:val="0"/>
          <w:bCs/>
          <w:szCs w:val="24"/>
          <w:lang w:val="es-ES_tradnl"/>
        </w:rPr>
        <w:t xml:space="preserve"> ante el Ministerio de Salud Pública, la intervención de gasto total de U$S 504.450</w:t>
      </w:r>
      <w:r w:rsidR="00C4544A">
        <w:rPr>
          <w:rFonts w:ascii="Arial" w:hAnsi="Arial" w:cs="Arial"/>
          <w:b w:val="0"/>
          <w:bCs/>
          <w:szCs w:val="24"/>
          <w:lang w:val="es-ES_tradnl"/>
        </w:rPr>
        <w:t xml:space="preserve"> a favor de la </w:t>
      </w:r>
      <w:r w:rsidR="00C4544A" w:rsidRPr="00C4544A">
        <w:rPr>
          <w:rFonts w:ascii="Arial" w:hAnsi="Arial" w:cs="Arial"/>
          <w:b w:val="0"/>
          <w:bCs/>
          <w:szCs w:val="24"/>
          <w:lang w:val="es-ES_tradnl"/>
        </w:rPr>
        <w:t>UNFPA</w:t>
      </w:r>
      <w:r w:rsidR="008F604C" w:rsidRPr="00CB290E">
        <w:rPr>
          <w:rFonts w:ascii="Arial" w:hAnsi="Arial" w:cs="Arial"/>
          <w:b w:val="0"/>
          <w:bCs/>
          <w:szCs w:val="24"/>
          <w:lang w:val="es-ES_tradnl"/>
        </w:rPr>
        <w:t>,</w:t>
      </w:r>
      <w:r w:rsidR="008F604C" w:rsidRPr="00CB290E">
        <w:rPr>
          <w:rFonts w:ascii="Arial" w:hAnsi="Arial" w:cs="Arial"/>
          <w:b w:val="0"/>
          <w:szCs w:val="24"/>
        </w:rPr>
        <w:t xml:space="preserve"> </w:t>
      </w:r>
      <w:r w:rsidR="008F604C" w:rsidRPr="00CB290E">
        <w:rPr>
          <w:rFonts w:ascii="Arial" w:hAnsi="Arial" w:cs="Arial"/>
          <w:b w:val="0"/>
          <w:bCs/>
          <w:szCs w:val="24"/>
        </w:rPr>
        <w:t xml:space="preserve">previo control de </w:t>
      </w:r>
      <w:r w:rsidR="00C4544A">
        <w:rPr>
          <w:rFonts w:ascii="Arial" w:hAnsi="Arial" w:cs="Arial"/>
          <w:b w:val="0"/>
          <w:bCs/>
          <w:szCs w:val="24"/>
        </w:rPr>
        <w:t>la</w:t>
      </w:r>
      <w:r w:rsidR="008F604C" w:rsidRPr="00CB290E">
        <w:rPr>
          <w:rFonts w:ascii="Arial" w:hAnsi="Arial" w:cs="Arial"/>
          <w:b w:val="0"/>
          <w:bCs/>
          <w:szCs w:val="24"/>
        </w:rPr>
        <w:t xml:space="preserve"> imputación</w:t>
      </w:r>
      <w:r w:rsidR="00C4544A">
        <w:rPr>
          <w:rFonts w:ascii="Arial" w:hAnsi="Arial" w:cs="Arial"/>
          <w:b w:val="0"/>
          <w:bCs/>
          <w:szCs w:val="24"/>
        </w:rPr>
        <w:t xml:space="preserve"> del gasto </w:t>
      </w:r>
      <w:r w:rsidR="008F604C" w:rsidRPr="00CB290E">
        <w:rPr>
          <w:rFonts w:ascii="Arial" w:hAnsi="Arial" w:cs="Arial"/>
          <w:b w:val="0"/>
          <w:bCs/>
          <w:szCs w:val="24"/>
        </w:rPr>
        <w:t>al Grupo adecuado</w:t>
      </w:r>
      <w:r w:rsidR="00C4544A">
        <w:rPr>
          <w:rFonts w:ascii="Arial" w:hAnsi="Arial" w:cs="Arial"/>
          <w:b w:val="0"/>
          <w:bCs/>
          <w:szCs w:val="24"/>
        </w:rPr>
        <w:t>;</w:t>
      </w:r>
    </w:p>
    <w:p w:rsidR="00DC7467" w:rsidRPr="00663BD3" w:rsidRDefault="00E849DB" w:rsidP="00CB290E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>
        <w:rPr>
          <w:rFonts w:ascii="Arial" w:hAnsi="Arial" w:cs="Arial"/>
          <w:bCs/>
          <w:color w:val="auto"/>
          <w:szCs w:val="24"/>
          <w:lang w:val="es-ES_tradnl"/>
        </w:rPr>
        <w:t>2</w:t>
      </w:r>
      <w:r w:rsidR="00CB290E" w:rsidRPr="00CB290E">
        <w:rPr>
          <w:rFonts w:ascii="Arial" w:hAnsi="Arial" w:cs="Arial"/>
          <w:bCs/>
          <w:color w:val="auto"/>
          <w:szCs w:val="24"/>
          <w:lang w:val="es-ES_tradnl"/>
        </w:rPr>
        <w:t xml:space="preserve">) </w:t>
      </w:r>
      <w:r w:rsidR="00DC7467" w:rsidRPr="00663BD3">
        <w:rPr>
          <w:rFonts w:ascii="Arial" w:hAnsi="Arial" w:cs="Arial"/>
          <w:b w:val="0"/>
          <w:color w:val="auto"/>
          <w:szCs w:val="24"/>
          <w:lang w:val="es-MX"/>
        </w:rPr>
        <w:t>Comun</w:t>
      </w:r>
      <w:r w:rsidR="00C4544A">
        <w:rPr>
          <w:rFonts w:ascii="Arial" w:hAnsi="Arial" w:cs="Arial"/>
          <w:b w:val="0"/>
          <w:color w:val="auto"/>
          <w:szCs w:val="24"/>
          <w:lang w:val="es-MX"/>
        </w:rPr>
        <w:t xml:space="preserve">icar </w:t>
      </w:r>
      <w:r w:rsidR="00DC7467" w:rsidRPr="00663BD3">
        <w:rPr>
          <w:rFonts w:ascii="Arial" w:hAnsi="Arial" w:cs="Arial"/>
          <w:b w:val="0"/>
          <w:color w:val="auto"/>
          <w:szCs w:val="24"/>
          <w:lang w:val="es-MX"/>
        </w:rPr>
        <w:t>al Contador Auditor;</w:t>
      </w:r>
    </w:p>
    <w:p w:rsidR="00267E7B" w:rsidRDefault="00E849DB" w:rsidP="00332C6B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>
        <w:rPr>
          <w:rFonts w:ascii="Arial" w:hAnsi="Arial" w:cs="Arial"/>
          <w:bCs/>
          <w:color w:val="auto"/>
          <w:szCs w:val="24"/>
          <w:lang w:val="es-ES_tradnl"/>
        </w:rPr>
        <w:t>3</w:t>
      </w:r>
      <w:r w:rsidR="00CB290E" w:rsidRPr="00CB290E">
        <w:rPr>
          <w:rFonts w:ascii="Arial" w:hAnsi="Arial" w:cs="Arial"/>
          <w:bCs/>
          <w:color w:val="auto"/>
          <w:szCs w:val="24"/>
          <w:lang w:val="es-ES_tradnl"/>
        </w:rPr>
        <w:t xml:space="preserve">) </w:t>
      </w:r>
      <w:r w:rsidR="008F604C" w:rsidRPr="00663BD3">
        <w:rPr>
          <w:rFonts w:ascii="Arial" w:hAnsi="Arial" w:cs="Arial"/>
          <w:b w:val="0"/>
          <w:color w:val="auto"/>
          <w:szCs w:val="24"/>
          <w:lang w:val="es-MX"/>
        </w:rPr>
        <w:t>Dev</w:t>
      </w:r>
      <w:r w:rsidR="00C4544A">
        <w:rPr>
          <w:rFonts w:ascii="Arial" w:hAnsi="Arial" w:cs="Arial"/>
          <w:b w:val="0"/>
          <w:color w:val="auto"/>
          <w:szCs w:val="24"/>
          <w:lang w:val="es-MX"/>
        </w:rPr>
        <w:t>olver</w:t>
      </w:r>
      <w:r w:rsidR="00DC7467" w:rsidRPr="00663BD3">
        <w:rPr>
          <w:rFonts w:ascii="Arial" w:hAnsi="Arial" w:cs="Arial"/>
          <w:b w:val="0"/>
          <w:color w:val="auto"/>
          <w:szCs w:val="24"/>
          <w:lang w:val="es-MX"/>
        </w:rPr>
        <w:t xml:space="preserve"> las actuaciones </w:t>
      </w:r>
      <w:r w:rsidR="00332C6B">
        <w:rPr>
          <w:rFonts w:ascii="Arial" w:hAnsi="Arial" w:cs="Arial"/>
          <w:b w:val="0"/>
          <w:color w:val="auto"/>
          <w:szCs w:val="24"/>
          <w:lang w:val="es-MX"/>
        </w:rPr>
        <w:t>al Ministerio de Salud Pública.</w:t>
      </w:r>
    </w:p>
    <w:p w:rsidR="00332C6B" w:rsidRDefault="00332C6B" w:rsidP="00332C6B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</w:p>
    <w:p w:rsidR="00332C6B" w:rsidRDefault="00332C6B" w:rsidP="00332C6B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</w:p>
    <w:p w:rsidR="00332C6B" w:rsidRDefault="00332C6B" w:rsidP="00332C6B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</w:p>
    <w:p w:rsidR="00332C6B" w:rsidRDefault="00332C6B" w:rsidP="00332C6B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</w:p>
    <w:p w:rsidR="00332C6B" w:rsidRDefault="00332C6B" w:rsidP="00332C6B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</w:p>
    <w:p w:rsidR="00332C6B" w:rsidRDefault="00332C6B" w:rsidP="00332C6B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</w:p>
    <w:p w:rsidR="00332C6B" w:rsidRPr="00267E7B" w:rsidRDefault="00332C6B" w:rsidP="00332C6B">
      <w:pPr>
        <w:spacing w:line="360" w:lineRule="auto"/>
        <w:ind w:hanging="426"/>
        <w:jc w:val="both"/>
        <w:rPr>
          <w:rFonts w:ascii="Arial" w:hAnsi="Arial" w:cs="Arial"/>
          <w:b w:val="0"/>
          <w:color w:val="auto"/>
          <w:sz w:val="20"/>
          <w:lang w:val="es-MX"/>
        </w:rPr>
      </w:pPr>
      <w:proofErr w:type="gramStart"/>
      <w:r>
        <w:rPr>
          <w:rFonts w:ascii="Arial" w:hAnsi="Arial" w:cs="Arial"/>
          <w:b w:val="0"/>
          <w:color w:val="auto"/>
          <w:szCs w:val="24"/>
          <w:lang w:val="es-MX"/>
        </w:rPr>
        <w:t>dc</w:t>
      </w:r>
      <w:bookmarkStart w:id="0" w:name="_GoBack"/>
      <w:bookmarkEnd w:id="0"/>
      <w:proofErr w:type="gramEnd"/>
    </w:p>
    <w:p w:rsidR="00CB290E" w:rsidRPr="00663BD3" w:rsidRDefault="00CB290E" w:rsidP="00CB290E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</w:p>
    <w:sectPr w:rsidR="00CB290E" w:rsidRPr="00663BD3" w:rsidSect="00332C6B">
      <w:footerReference w:type="even" r:id="rId9"/>
      <w:footerReference w:type="default" r:id="rId10"/>
      <w:pgSz w:w="11906" w:h="16838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FD" w:rsidRDefault="00BF6FFD">
      <w:r>
        <w:separator/>
      </w:r>
    </w:p>
  </w:endnote>
  <w:endnote w:type="continuationSeparator" w:id="0">
    <w:p w:rsidR="00BF6FFD" w:rsidRDefault="00BF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93" w:rsidRDefault="0010759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07593" w:rsidRDefault="001075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220319"/>
      <w:docPartObj>
        <w:docPartGallery w:val="Page Numbers (Bottom of Page)"/>
        <w:docPartUnique/>
      </w:docPartObj>
    </w:sdtPr>
    <w:sdtContent>
      <w:p w:rsidR="00332C6B" w:rsidRDefault="00332C6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07593" w:rsidRDefault="001075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FD" w:rsidRDefault="00BF6FFD">
      <w:r>
        <w:separator/>
      </w:r>
    </w:p>
  </w:footnote>
  <w:footnote w:type="continuationSeparator" w:id="0">
    <w:p w:rsidR="00BF6FFD" w:rsidRDefault="00BF6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7C2"/>
    <w:multiLevelType w:val="hybridMultilevel"/>
    <w:tmpl w:val="EAA209F0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D0155"/>
    <w:multiLevelType w:val="hybridMultilevel"/>
    <w:tmpl w:val="A6E62DC2"/>
    <w:lvl w:ilvl="0" w:tplc="BF3AA17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E677A0"/>
    <w:multiLevelType w:val="hybridMultilevel"/>
    <w:tmpl w:val="E18AE6AE"/>
    <w:lvl w:ilvl="0" w:tplc="442465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62272"/>
    <w:multiLevelType w:val="hybridMultilevel"/>
    <w:tmpl w:val="41EA2FBC"/>
    <w:lvl w:ilvl="0" w:tplc="BF3AA17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3D8A"/>
    <w:multiLevelType w:val="hybridMultilevel"/>
    <w:tmpl w:val="24CC0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C4B5C"/>
    <w:multiLevelType w:val="hybridMultilevel"/>
    <w:tmpl w:val="A6E62DC2"/>
    <w:lvl w:ilvl="0" w:tplc="BF3AA17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F36CEF"/>
    <w:multiLevelType w:val="hybridMultilevel"/>
    <w:tmpl w:val="D3501C28"/>
    <w:lvl w:ilvl="0" w:tplc="BF3AA176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63108C2"/>
    <w:multiLevelType w:val="hybridMultilevel"/>
    <w:tmpl w:val="41EA2FBC"/>
    <w:lvl w:ilvl="0" w:tplc="BF3AA17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C5EA2"/>
    <w:multiLevelType w:val="hybridMultilevel"/>
    <w:tmpl w:val="5094C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25"/>
    <w:rsid w:val="00107593"/>
    <w:rsid w:val="00142BCD"/>
    <w:rsid w:val="00234D24"/>
    <w:rsid w:val="00267E7B"/>
    <w:rsid w:val="0027441B"/>
    <w:rsid w:val="00323D05"/>
    <w:rsid w:val="0032671E"/>
    <w:rsid w:val="00332C6B"/>
    <w:rsid w:val="00351272"/>
    <w:rsid w:val="00361AE3"/>
    <w:rsid w:val="003C4E37"/>
    <w:rsid w:val="003C5941"/>
    <w:rsid w:val="003F3C39"/>
    <w:rsid w:val="004C45AD"/>
    <w:rsid w:val="005A7171"/>
    <w:rsid w:val="00663BD3"/>
    <w:rsid w:val="00714F42"/>
    <w:rsid w:val="00751125"/>
    <w:rsid w:val="00812633"/>
    <w:rsid w:val="008F604C"/>
    <w:rsid w:val="0094513D"/>
    <w:rsid w:val="00963785"/>
    <w:rsid w:val="009D5D42"/>
    <w:rsid w:val="009F32AE"/>
    <w:rsid w:val="00A9650A"/>
    <w:rsid w:val="00AA6D30"/>
    <w:rsid w:val="00BF6FFD"/>
    <w:rsid w:val="00C4501F"/>
    <w:rsid w:val="00C4544A"/>
    <w:rsid w:val="00CB290E"/>
    <w:rsid w:val="00D24FFF"/>
    <w:rsid w:val="00D73CEB"/>
    <w:rsid w:val="00DC73D8"/>
    <w:rsid w:val="00DC7467"/>
    <w:rsid w:val="00E849DB"/>
    <w:rsid w:val="00F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12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751125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75112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12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1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iedepgina">
    <w:name w:val="footer"/>
    <w:basedOn w:val="Normal"/>
    <w:link w:val="PiedepginaCar"/>
    <w:uiPriority w:val="99"/>
    <w:rsid w:val="007511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25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751125"/>
  </w:style>
  <w:style w:type="paragraph" w:styleId="Prrafodelista">
    <w:name w:val="List Paragraph"/>
    <w:basedOn w:val="Normal"/>
    <w:uiPriority w:val="34"/>
    <w:qFormat/>
    <w:rsid w:val="007511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D24FFF"/>
    <w:pPr>
      <w:spacing w:line="360" w:lineRule="auto"/>
      <w:jc w:val="both"/>
    </w:pPr>
    <w:rPr>
      <w:rFonts w:ascii="Bookman Old Style" w:hAnsi="Bookman Old Style"/>
      <w:b w:val="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24FFF"/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D24FFF"/>
    <w:pPr>
      <w:spacing w:line="360" w:lineRule="auto"/>
      <w:ind w:firstLine="708"/>
      <w:jc w:val="both"/>
    </w:pPr>
    <w:rPr>
      <w:rFonts w:ascii="Arial" w:hAnsi="Arial" w:cs="Arial"/>
      <w:b w:val="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24FFF"/>
    <w:rPr>
      <w:rFonts w:ascii="Arial" w:eastAsia="Times New Roman" w:hAnsi="Arial" w:cs="Arial"/>
      <w:color w:val="000000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29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90E"/>
    <w:rPr>
      <w:rFonts w:ascii="Tahoma" w:eastAsia="Times New Roman" w:hAnsi="Tahoma" w:cs="Tahoma"/>
      <w:b/>
      <w:color w:val="000000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B2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290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12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751125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75112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12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1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iedepgina">
    <w:name w:val="footer"/>
    <w:basedOn w:val="Normal"/>
    <w:link w:val="PiedepginaCar"/>
    <w:uiPriority w:val="99"/>
    <w:rsid w:val="007511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25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751125"/>
  </w:style>
  <w:style w:type="paragraph" w:styleId="Prrafodelista">
    <w:name w:val="List Paragraph"/>
    <w:basedOn w:val="Normal"/>
    <w:uiPriority w:val="34"/>
    <w:qFormat/>
    <w:rsid w:val="007511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D24FFF"/>
    <w:pPr>
      <w:spacing w:line="360" w:lineRule="auto"/>
      <w:jc w:val="both"/>
    </w:pPr>
    <w:rPr>
      <w:rFonts w:ascii="Bookman Old Style" w:hAnsi="Bookman Old Style"/>
      <w:b w:val="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24FFF"/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D24FFF"/>
    <w:pPr>
      <w:spacing w:line="360" w:lineRule="auto"/>
      <w:ind w:firstLine="708"/>
      <w:jc w:val="both"/>
    </w:pPr>
    <w:rPr>
      <w:rFonts w:ascii="Arial" w:hAnsi="Arial" w:cs="Arial"/>
      <w:b w:val="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24FFF"/>
    <w:rPr>
      <w:rFonts w:ascii="Arial" w:eastAsia="Times New Roman" w:hAnsi="Arial" w:cs="Arial"/>
      <w:color w:val="000000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29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90E"/>
    <w:rPr>
      <w:rFonts w:ascii="Tahoma" w:eastAsia="Times New Roman" w:hAnsi="Tahoma" w:cs="Tahoma"/>
      <w:b/>
      <w:color w:val="000000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B2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290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A33CF-FA67-43B3-85D2-A17A4B50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2019-08-02T18:11:00Z</cp:lastPrinted>
  <dcterms:created xsi:type="dcterms:W3CDTF">2019-08-02T18:12:00Z</dcterms:created>
  <dcterms:modified xsi:type="dcterms:W3CDTF">2019-08-02T18:12:00Z</dcterms:modified>
</cp:coreProperties>
</file>