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B9" w:rsidRPr="009D05B9" w:rsidRDefault="009D05B9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bookmarkStart w:id="0" w:name="_GoBack"/>
      <w:bookmarkEnd w:id="0"/>
      <w:r w:rsidRPr="009D05B9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1826</w:t>
      </w:r>
      <w:r w:rsidRPr="009D05B9">
        <w:rPr>
          <w:rFonts w:ascii="Arial" w:hAnsi="Arial" w:cs="Arial"/>
          <w:sz w:val="28"/>
          <w:szCs w:val="28"/>
          <w:lang w:val="es-ES_tradnl"/>
        </w:rPr>
        <w:t>/19</w:t>
      </w:r>
    </w:p>
    <w:p w:rsidR="009D05B9" w:rsidRPr="009D05B9" w:rsidRDefault="009D05B9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9D05B9" w:rsidRPr="009D05B9" w:rsidRDefault="009D05B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D05B9">
        <w:rPr>
          <w:rFonts w:ascii="Arial" w:hAnsi="Arial" w:cs="Arial"/>
          <w:lang w:val="es-ES_tradnl"/>
        </w:rPr>
        <w:t>RESOLUCION ADOPTADA POR EL</w:t>
      </w:r>
    </w:p>
    <w:p w:rsidR="009D05B9" w:rsidRPr="009D05B9" w:rsidRDefault="009D05B9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9D05B9" w:rsidRPr="009D05B9" w:rsidRDefault="009D05B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D05B9">
        <w:rPr>
          <w:rFonts w:ascii="Arial" w:hAnsi="Arial" w:cs="Arial"/>
          <w:lang w:val="es-ES_tradnl"/>
        </w:rPr>
        <w:t>TRIBUNAL DE CUENTAS</w:t>
      </w:r>
    </w:p>
    <w:p w:rsidR="009D05B9" w:rsidRPr="009D05B9" w:rsidRDefault="009D05B9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9D05B9" w:rsidRPr="009D05B9" w:rsidRDefault="009D05B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D05B9">
        <w:rPr>
          <w:rFonts w:ascii="Arial" w:hAnsi="Arial" w:cs="Arial"/>
          <w:lang w:val="es-ES_tradnl"/>
        </w:rPr>
        <w:t xml:space="preserve">EN SESION DE FECHA 31 DE JULIO </w:t>
      </w:r>
      <w:r w:rsidRPr="009D05B9">
        <w:rPr>
          <w:rFonts w:ascii="Helvetica" w:hAnsi="Helvetica"/>
          <w:lang w:val="es-ES_tradnl"/>
        </w:rPr>
        <w:t>DE 2019</w:t>
      </w:r>
    </w:p>
    <w:p w:rsidR="009D05B9" w:rsidRPr="009D05B9" w:rsidRDefault="009D05B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9D05B9" w:rsidRPr="00312CA8" w:rsidRDefault="009D05B9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312CA8">
        <w:rPr>
          <w:rFonts w:ascii="Arial" w:hAnsi="Arial" w:cs="Arial"/>
          <w:lang w:val="es-UY"/>
        </w:rPr>
        <w:t xml:space="preserve">(E. E. Nº 2018-17-1-0000258, </w:t>
      </w:r>
      <w:proofErr w:type="spellStart"/>
      <w:r w:rsidRPr="00312CA8">
        <w:rPr>
          <w:rFonts w:ascii="Arial" w:hAnsi="Arial" w:cs="Arial"/>
          <w:lang w:val="es-UY"/>
        </w:rPr>
        <w:t>Ent</w:t>
      </w:r>
      <w:proofErr w:type="spellEnd"/>
      <w:r w:rsidRPr="00312CA8">
        <w:rPr>
          <w:rFonts w:ascii="Arial" w:hAnsi="Arial" w:cs="Arial"/>
          <w:lang w:val="es-UY"/>
        </w:rPr>
        <w:t>. N° 2303/19)</w:t>
      </w:r>
    </w:p>
    <w:p w:rsidR="009D05B9" w:rsidRPr="00312CA8" w:rsidRDefault="009D05B9">
      <w:pPr>
        <w:tabs>
          <w:tab w:val="center" w:pos="4253"/>
        </w:tabs>
        <w:suppressAutoHyphens/>
        <w:jc w:val="center"/>
        <w:rPr>
          <w:rFonts w:ascii="Helvetica" w:hAnsi="Helvetica"/>
          <w:lang w:val="es-UY"/>
        </w:rPr>
      </w:pPr>
    </w:p>
    <w:p w:rsidR="009D05B9" w:rsidRDefault="009D05B9" w:rsidP="009D05B9">
      <w:pPr>
        <w:pStyle w:val="Ttulo1"/>
        <w:spacing w:line="360" w:lineRule="auto"/>
        <w:ind w:firstLine="851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VISTO: </w:t>
      </w:r>
      <w:r>
        <w:rPr>
          <w:rFonts w:ascii="Arial" w:hAnsi="Arial" w:cs="Arial"/>
          <w:b w:val="0"/>
        </w:rPr>
        <w:t>las nuevas actuaciones remitidas por l</w:t>
      </w:r>
      <w:r w:rsidRPr="00656B45">
        <w:rPr>
          <w:rFonts w:ascii="Arial" w:hAnsi="Arial" w:cs="Arial"/>
          <w:b w:val="0"/>
        </w:rPr>
        <w:t xml:space="preserve">a Unidad </w:t>
      </w:r>
      <w:r>
        <w:rPr>
          <w:rFonts w:ascii="Arial" w:hAnsi="Arial" w:cs="Arial"/>
          <w:b w:val="0"/>
        </w:rPr>
        <w:t>Centralizada de Adquisiciones (UCA</w:t>
      </w:r>
      <w:r w:rsidRPr="00656B45">
        <w:rPr>
          <w:rFonts w:ascii="Arial" w:hAnsi="Arial" w:cs="Arial"/>
          <w:b w:val="0"/>
        </w:rPr>
        <w:t>) del Mini</w:t>
      </w:r>
      <w:r>
        <w:rPr>
          <w:rFonts w:ascii="Arial" w:hAnsi="Arial" w:cs="Arial"/>
          <w:b w:val="0"/>
        </w:rPr>
        <w:t>sterio de Economía y Finanzas (MEF</w:t>
      </w:r>
      <w:r w:rsidRPr="00656B45">
        <w:rPr>
          <w:rFonts w:ascii="Arial" w:hAnsi="Arial" w:cs="Arial"/>
          <w:b w:val="0"/>
        </w:rPr>
        <w:t xml:space="preserve">) relacionadas con el Llamado Nº </w:t>
      </w:r>
      <w:r>
        <w:rPr>
          <w:rFonts w:ascii="Arial" w:hAnsi="Arial" w:cs="Arial"/>
          <w:b w:val="0"/>
        </w:rPr>
        <w:t>08/</w:t>
      </w:r>
      <w:r w:rsidRPr="00656B45">
        <w:rPr>
          <w:rFonts w:ascii="Arial" w:hAnsi="Arial" w:cs="Arial"/>
          <w:b w:val="0"/>
        </w:rPr>
        <w:t>201</w:t>
      </w:r>
      <w:r>
        <w:rPr>
          <w:rFonts w:ascii="Arial" w:hAnsi="Arial" w:cs="Arial"/>
          <w:b w:val="0"/>
        </w:rPr>
        <w:t>5</w:t>
      </w:r>
      <w:r w:rsidRPr="00656B45">
        <w:rPr>
          <w:rFonts w:ascii="Arial" w:hAnsi="Arial" w:cs="Arial"/>
          <w:b w:val="0"/>
        </w:rPr>
        <w:t xml:space="preserve"> convocado para </w:t>
      </w:r>
      <w:r>
        <w:rPr>
          <w:rFonts w:ascii="Arial" w:hAnsi="Arial" w:cs="Arial"/>
          <w:b w:val="0"/>
        </w:rPr>
        <w:t>el suministro de reactivos no dependientes de equipos;</w:t>
      </w:r>
    </w:p>
    <w:p w:rsidR="0021741F" w:rsidRDefault="009D05B9" w:rsidP="0021741F">
      <w:pPr>
        <w:pStyle w:val="Ttulo1"/>
        <w:spacing w:line="360" w:lineRule="auto"/>
        <w:ind w:firstLine="851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RESULTANDO: </w:t>
      </w:r>
      <w:r w:rsidRPr="009D05B9">
        <w:rPr>
          <w:rFonts w:ascii="Arial" w:hAnsi="Arial" w:cs="Arial"/>
        </w:rPr>
        <w:t>1)</w:t>
      </w:r>
      <w:r>
        <w:rPr>
          <w:rFonts w:ascii="Arial" w:hAnsi="Arial" w:cs="Arial"/>
          <w:b w:val="0"/>
        </w:rPr>
        <w:t xml:space="preserve"> que por Resolución de la UCA Número 70/2016 de fecha 6 de julio de 2016, se adjudicó el llamado por un monto total de $148:287.612 impuestos incluidos de acuerdo con el siguiente detalle: Administración de los Servicios de Salud del Estado (ASSE) por $57:196.275,84, Banco de Previsión Social (BPS)  por $ 22:322.427,22, Banco de Seguros del Estado (BSE) por $ 890.235,86, Intendencia de Maldonado (IM) por $ 7.530,64, Instituto de Niño y Adolescente del Uruguay (INAU) por $163.102, Ministerio de Defensa Nacional (MDN) por $ 23:106.432,38, Ministerio del Interior (MI) por $ 4:750.861,16, Ministerio de Salud Pública (MSP) por $ 30:333.282,28 y Universidad de la República por (UDELAR) por $9:517.433,70, por el plazo de 2 años, sin perjuicio de las eventuales prórrogas, por hasta cuatro períodos consecutivos de hasta seis meses cada uno;</w:t>
      </w:r>
    </w:p>
    <w:p w:rsidR="0021741F" w:rsidRDefault="009D05B9" w:rsidP="0021741F">
      <w:pPr>
        <w:pStyle w:val="Ttulo1"/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21741F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que venidas las actuaciones a este Tribunal, en Sesión de fecha 17 de agosto de 2016, este Tribunal acordó cometer la interve</w:t>
      </w:r>
      <w:r w:rsidR="0021741F">
        <w:rPr>
          <w:rFonts w:ascii="Arial" w:hAnsi="Arial" w:cs="Arial"/>
          <w:b w:val="0"/>
        </w:rPr>
        <w:t>nción de la suma total de $ 148:</w:t>
      </w:r>
      <w:r>
        <w:rPr>
          <w:rFonts w:ascii="Arial" w:hAnsi="Arial" w:cs="Arial"/>
          <w:b w:val="0"/>
        </w:rPr>
        <w:t xml:space="preserve">287.612 impuestos incluidos a valores históricos, a los Contadores Delegados y/o Auditores según corresponda, </w:t>
      </w:r>
      <w:r>
        <w:rPr>
          <w:rFonts w:ascii="Arial" w:hAnsi="Arial" w:cs="Arial"/>
          <w:b w:val="0"/>
        </w:rPr>
        <w:lastRenderedPageBreak/>
        <w:t>previo control de su imputación en el grupo adecuado con disponibilidad suficiente (E.E. 2016-17-1-0005299);</w:t>
      </w:r>
    </w:p>
    <w:p w:rsidR="006067C2" w:rsidRDefault="009D05B9" w:rsidP="006067C2">
      <w:pPr>
        <w:pStyle w:val="Ttulo1"/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21741F">
        <w:rPr>
          <w:rFonts w:ascii="Arial" w:hAnsi="Arial" w:cs="Arial"/>
        </w:rPr>
        <w:t>3)</w:t>
      </w:r>
      <w:r>
        <w:rPr>
          <w:rFonts w:ascii="Arial" w:hAnsi="Arial" w:cs="Arial"/>
          <w:b w:val="0"/>
        </w:rPr>
        <w:t xml:space="preserve"> que por Resolución de la UCA Número 122/2016 de fecha 21 de noviembre de 2016, se realizó una segunda y última adjudicación del lla</w:t>
      </w:r>
      <w:r w:rsidR="0021741F">
        <w:rPr>
          <w:rFonts w:ascii="Arial" w:hAnsi="Arial" w:cs="Arial"/>
          <w:b w:val="0"/>
        </w:rPr>
        <w:t>mado por un monto total de $ 34:</w:t>
      </w:r>
      <w:r>
        <w:rPr>
          <w:rFonts w:ascii="Arial" w:hAnsi="Arial" w:cs="Arial"/>
          <w:b w:val="0"/>
        </w:rPr>
        <w:t>437.574 impuestos incluidos de acuerdo al s</w:t>
      </w:r>
      <w:r w:rsidR="0021741F">
        <w:rPr>
          <w:rFonts w:ascii="Arial" w:hAnsi="Arial" w:cs="Arial"/>
          <w:b w:val="0"/>
        </w:rPr>
        <w:t>iguiente detalle: ASSE por $ 14:</w:t>
      </w:r>
      <w:r>
        <w:rPr>
          <w:rFonts w:ascii="Arial" w:hAnsi="Arial" w:cs="Arial"/>
          <w:b w:val="0"/>
        </w:rPr>
        <w:t>340.974,14, BPS por</w:t>
      </w:r>
      <w:r w:rsidR="0021741F">
        <w:rPr>
          <w:rFonts w:ascii="Arial" w:hAnsi="Arial" w:cs="Arial"/>
          <w:b w:val="0"/>
        </w:rPr>
        <w:t xml:space="preserve"> $147.882,90, BSE por </w:t>
      </w:r>
      <w:r>
        <w:rPr>
          <w:rFonts w:ascii="Arial" w:hAnsi="Arial" w:cs="Arial"/>
          <w:b w:val="0"/>
        </w:rPr>
        <w:t>$ 229.398,40, IM por $ 41.4</w:t>
      </w:r>
      <w:r w:rsidR="0021741F">
        <w:rPr>
          <w:rFonts w:ascii="Arial" w:hAnsi="Arial" w:cs="Arial"/>
          <w:b w:val="0"/>
        </w:rPr>
        <w:t>72,20, INAU por $ 90.970, MDN (Sanidad de las FFAA) por $ 7:</w:t>
      </w:r>
      <w:r>
        <w:rPr>
          <w:rFonts w:ascii="Arial" w:hAnsi="Arial" w:cs="Arial"/>
          <w:b w:val="0"/>
        </w:rPr>
        <w:t>448.641,59, M</w:t>
      </w:r>
      <w:r w:rsidR="006067C2">
        <w:rPr>
          <w:rFonts w:ascii="Arial" w:hAnsi="Arial" w:cs="Arial"/>
          <w:b w:val="0"/>
        </w:rPr>
        <w:t>I por $ 932.264,29, MSP por $ 9:382.640,12 y UDELAR por $ 1:</w:t>
      </w:r>
      <w:r>
        <w:rPr>
          <w:rFonts w:ascii="Arial" w:hAnsi="Arial" w:cs="Arial"/>
          <w:b w:val="0"/>
        </w:rPr>
        <w:t>823.330,51;</w:t>
      </w:r>
    </w:p>
    <w:p w:rsidR="006067C2" w:rsidRDefault="009D05B9" w:rsidP="006067C2">
      <w:pPr>
        <w:pStyle w:val="Ttulo1"/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6067C2">
        <w:rPr>
          <w:rFonts w:ascii="Arial" w:hAnsi="Arial" w:cs="Arial"/>
        </w:rPr>
        <w:t>4)</w:t>
      </w:r>
      <w:r>
        <w:rPr>
          <w:rFonts w:ascii="Arial" w:hAnsi="Arial" w:cs="Arial"/>
          <w:b w:val="0"/>
        </w:rPr>
        <w:t xml:space="preserve"> que en Sesión de fecha 28 de diciembre de 2016, este Tribunal acordó cometer la interv</w:t>
      </w:r>
      <w:r w:rsidR="006067C2">
        <w:rPr>
          <w:rFonts w:ascii="Arial" w:hAnsi="Arial" w:cs="Arial"/>
          <w:b w:val="0"/>
        </w:rPr>
        <w:t>ención de la suma total de $ 34:</w:t>
      </w:r>
      <w:r>
        <w:rPr>
          <w:rFonts w:ascii="Arial" w:hAnsi="Arial" w:cs="Arial"/>
          <w:b w:val="0"/>
        </w:rPr>
        <w:t xml:space="preserve">437.574 impuestos incluidos a valores históricos, previo </w:t>
      </w:r>
      <w:r w:rsidR="006067C2">
        <w:rPr>
          <w:rFonts w:ascii="Arial" w:hAnsi="Arial" w:cs="Arial"/>
          <w:b w:val="0"/>
        </w:rPr>
        <w:t>control de su imputación en el G</w:t>
      </w:r>
      <w:r>
        <w:rPr>
          <w:rFonts w:ascii="Arial" w:hAnsi="Arial" w:cs="Arial"/>
          <w:b w:val="0"/>
        </w:rPr>
        <w:t>rupo adecuado con disponibilidad suficiente;</w:t>
      </w:r>
    </w:p>
    <w:p w:rsidR="006067C2" w:rsidRDefault="009D05B9" w:rsidP="006067C2">
      <w:pPr>
        <w:pStyle w:val="Ttulo1"/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6067C2">
        <w:rPr>
          <w:rFonts w:ascii="Arial" w:hAnsi="Arial" w:cs="Arial"/>
        </w:rPr>
        <w:t>5)</w:t>
      </w:r>
      <w:r>
        <w:rPr>
          <w:rFonts w:ascii="Arial" w:hAnsi="Arial" w:cs="Arial"/>
          <w:b w:val="0"/>
        </w:rPr>
        <w:t xml:space="preserve"> que posteriormente, este Tribunal en Sesión de fecha 22 de marzo de 2017, acordó cometer a los Contadores Auditores y/o Delegados según corresponda, la intervención del monto total de $ 367.719 impuestos incluidos y a valores históricos, correspondiente al incremento en la adjudicación original del llamado, previo control de su imputaci</w:t>
      </w:r>
      <w:r w:rsidR="006067C2">
        <w:rPr>
          <w:rFonts w:ascii="Arial" w:hAnsi="Arial" w:cs="Arial"/>
          <w:b w:val="0"/>
        </w:rPr>
        <w:t>ón de dicho gasto con cargo al G</w:t>
      </w:r>
      <w:r>
        <w:rPr>
          <w:rFonts w:ascii="Arial" w:hAnsi="Arial" w:cs="Arial"/>
          <w:b w:val="0"/>
        </w:rPr>
        <w:t>rupo adecuado con disponibilidad;</w:t>
      </w:r>
    </w:p>
    <w:p w:rsidR="006067C2" w:rsidRDefault="009D05B9" w:rsidP="006067C2">
      <w:pPr>
        <w:pStyle w:val="Ttulo1"/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6067C2">
        <w:rPr>
          <w:rFonts w:ascii="Arial" w:hAnsi="Arial" w:cs="Arial"/>
        </w:rPr>
        <w:t>6)</w:t>
      </w:r>
      <w:r>
        <w:rPr>
          <w:rFonts w:ascii="Arial" w:hAnsi="Arial" w:cs="Arial"/>
          <w:b w:val="0"/>
        </w:rPr>
        <w:t xml:space="preserve"> que en la oportunidad, se remite fotocopia de la</w:t>
      </w:r>
      <w:r w:rsidR="006067C2">
        <w:rPr>
          <w:rFonts w:ascii="Arial" w:hAnsi="Arial" w:cs="Arial"/>
          <w:b w:val="0"/>
        </w:rPr>
        <w:t xml:space="preserve"> Resolución UCA Nº 61/</w:t>
      </w:r>
      <w:r>
        <w:rPr>
          <w:rFonts w:ascii="Arial" w:hAnsi="Arial" w:cs="Arial"/>
          <w:b w:val="0"/>
        </w:rPr>
        <w:t xml:space="preserve">2019 de fecha 20 de junio de 2019, por la cual se resuelve dejar </w:t>
      </w:r>
      <w:r w:rsidR="006067C2">
        <w:rPr>
          <w:rFonts w:ascii="Arial" w:hAnsi="Arial" w:cs="Arial"/>
          <w:b w:val="0"/>
        </w:rPr>
        <w:t xml:space="preserve">sin efecto la adjudicación del </w:t>
      </w:r>
      <w:proofErr w:type="spellStart"/>
      <w:r w:rsidR="006067C2">
        <w:rPr>
          <w:rFonts w:ascii="Arial" w:hAnsi="Arial" w:cs="Arial"/>
          <w:b w:val="0"/>
        </w:rPr>
        <w:t>i</w:t>
      </w:r>
      <w:r>
        <w:rPr>
          <w:rFonts w:ascii="Arial" w:hAnsi="Arial" w:cs="Arial"/>
          <w:b w:val="0"/>
        </w:rPr>
        <w:t>tem</w:t>
      </w:r>
      <w:proofErr w:type="spellEnd"/>
      <w:r>
        <w:rPr>
          <w:rFonts w:ascii="Arial" w:hAnsi="Arial" w:cs="Arial"/>
          <w:b w:val="0"/>
        </w:rPr>
        <w:t xml:space="preserve"> 1282, lo que representa una disminución en la adjudicación de $ 101.095 por la renuncia formulada por la firma EMILIO BENZO S</w:t>
      </w:r>
      <w:r w:rsidR="006067C2">
        <w:rPr>
          <w:rFonts w:ascii="Arial" w:hAnsi="Arial" w:cs="Arial"/>
          <w:b w:val="0"/>
        </w:rPr>
        <w:t>.</w:t>
      </w:r>
      <w:r>
        <w:rPr>
          <w:rFonts w:ascii="Arial" w:hAnsi="Arial" w:cs="Arial"/>
          <w:b w:val="0"/>
        </w:rPr>
        <w:t>A</w:t>
      </w:r>
      <w:r w:rsidR="006067C2">
        <w:rPr>
          <w:rFonts w:ascii="Arial" w:hAnsi="Arial" w:cs="Arial"/>
          <w:b w:val="0"/>
        </w:rPr>
        <w:t>.</w:t>
      </w:r>
      <w:r>
        <w:rPr>
          <w:rFonts w:ascii="Arial" w:hAnsi="Arial" w:cs="Arial"/>
          <w:b w:val="0"/>
        </w:rPr>
        <w:t>, a la cual se notifica la Resolución;</w:t>
      </w:r>
    </w:p>
    <w:p w:rsidR="006067C2" w:rsidRDefault="009D05B9" w:rsidP="006067C2">
      <w:pPr>
        <w:pStyle w:val="Ttulo1"/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6067C2">
        <w:rPr>
          <w:rFonts w:ascii="Arial" w:hAnsi="Arial" w:cs="Arial"/>
        </w:rPr>
        <w:t>7)</w:t>
      </w:r>
      <w:r>
        <w:rPr>
          <w:rFonts w:ascii="Arial" w:hAnsi="Arial" w:cs="Arial"/>
          <w:b w:val="0"/>
        </w:rPr>
        <w:t xml:space="preserve"> que asimismo se indica que la renuncia no se encuentra amparada en la Cláusula 2 Objeto y Plazo del llamado del Pliego de Condiciones Particulares, Documento A y que no es posible procede</w:t>
      </w:r>
      <w:r w:rsidR="006067C2">
        <w:rPr>
          <w:rFonts w:ascii="Arial" w:hAnsi="Arial" w:cs="Arial"/>
          <w:b w:val="0"/>
        </w:rPr>
        <w:t xml:space="preserve">r a </w:t>
      </w:r>
      <w:proofErr w:type="spellStart"/>
      <w:r w:rsidR="006067C2">
        <w:rPr>
          <w:rFonts w:ascii="Arial" w:hAnsi="Arial" w:cs="Arial"/>
          <w:b w:val="0"/>
        </w:rPr>
        <w:t>readjudicar</w:t>
      </w:r>
      <w:proofErr w:type="spellEnd"/>
      <w:r w:rsidR="006067C2">
        <w:rPr>
          <w:rFonts w:ascii="Arial" w:hAnsi="Arial" w:cs="Arial"/>
          <w:b w:val="0"/>
        </w:rPr>
        <w:t xml:space="preserve"> dicho </w:t>
      </w:r>
      <w:proofErr w:type="spellStart"/>
      <w:r w:rsidR="006067C2">
        <w:rPr>
          <w:rFonts w:ascii="Arial" w:hAnsi="Arial" w:cs="Arial"/>
          <w:b w:val="0"/>
        </w:rPr>
        <w:t>i</w:t>
      </w:r>
      <w:r>
        <w:rPr>
          <w:rFonts w:ascii="Arial" w:hAnsi="Arial" w:cs="Arial"/>
          <w:b w:val="0"/>
        </w:rPr>
        <w:t>tem</w:t>
      </w:r>
      <w:proofErr w:type="spellEnd"/>
      <w:r>
        <w:rPr>
          <w:rFonts w:ascii="Arial" w:hAnsi="Arial" w:cs="Arial"/>
          <w:b w:val="0"/>
        </w:rPr>
        <w:t xml:space="preserve"> al no haberse obtenido la conformidad de la firma incluida en el ranking de ofertas;</w:t>
      </w:r>
    </w:p>
    <w:p w:rsidR="009D05B9" w:rsidRDefault="009D05B9" w:rsidP="006067C2">
      <w:pPr>
        <w:pStyle w:val="Ttulo1"/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6067C2">
        <w:rPr>
          <w:rFonts w:ascii="Arial" w:hAnsi="Arial" w:cs="Arial"/>
        </w:rPr>
        <w:t>8)</w:t>
      </w:r>
      <w:r>
        <w:rPr>
          <w:rFonts w:ascii="Arial" w:hAnsi="Arial" w:cs="Arial"/>
          <w:b w:val="0"/>
        </w:rPr>
        <w:t xml:space="preserve"> que, por último, por dicha Resolución se dispone el pase a la Asesoría Jurídico Notarial a efectos de evaluar el eventual incumplimiento de la firma Emilio </w:t>
      </w:r>
      <w:proofErr w:type="spellStart"/>
      <w:r>
        <w:rPr>
          <w:rFonts w:ascii="Arial" w:hAnsi="Arial" w:cs="Arial"/>
          <w:b w:val="0"/>
        </w:rPr>
        <w:t>Benzo</w:t>
      </w:r>
      <w:proofErr w:type="spellEnd"/>
      <w:r>
        <w:rPr>
          <w:rFonts w:ascii="Arial" w:hAnsi="Arial" w:cs="Arial"/>
          <w:b w:val="0"/>
        </w:rPr>
        <w:t xml:space="preserve"> S.A. a partir de la renuncia efectuada;</w:t>
      </w:r>
    </w:p>
    <w:p w:rsidR="006067C2" w:rsidRDefault="006067C2" w:rsidP="006067C2">
      <w:pPr>
        <w:spacing w:line="360" w:lineRule="auto"/>
        <w:ind w:firstLine="851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>CONSIDERANDO</w:t>
      </w:r>
      <w:r w:rsidR="009D05B9">
        <w:rPr>
          <w:rFonts w:ascii="Arial" w:hAnsi="Arial" w:cs="Arial"/>
          <w:lang w:val="es-ES_tradnl"/>
        </w:rPr>
        <w:t xml:space="preserve">: </w:t>
      </w:r>
      <w:r w:rsidR="009D05B9" w:rsidRPr="006067C2">
        <w:rPr>
          <w:rFonts w:ascii="Arial" w:hAnsi="Arial" w:cs="Arial"/>
          <w:lang w:val="es-ES_tradnl"/>
        </w:rPr>
        <w:t>1)</w:t>
      </w:r>
      <w:r w:rsidR="009D05B9">
        <w:rPr>
          <w:rFonts w:ascii="Arial" w:hAnsi="Arial" w:cs="Arial"/>
          <w:b w:val="0"/>
          <w:lang w:val="es-ES_tradnl"/>
        </w:rPr>
        <w:t xml:space="preserve"> que en la Resolución de la UCA Nº 61/2019 de fecha 20 de junio de 2019, se indica que la renuncia no se encuentra amparada en la Cláusula 2 del Pliego de Condic</w:t>
      </w:r>
      <w:r>
        <w:rPr>
          <w:rFonts w:ascii="Arial" w:hAnsi="Arial" w:cs="Arial"/>
          <w:b w:val="0"/>
          <w:lang w:val="es-ES_tradnl"/>
        </w:rPr>
        <w:t>iones Particulares, Documento A</w:t>
      </w:r>
      <w:r w:rsidR="009D05B9">
        <w:rPr>
          <w:rFonts w:ascii="Arial" w:hAnsi="Arial" w:cs="Arial"/>
          <w:b w:val="0"/>
          <w:lang w:val="es-ES_tradnl"/>
        </w:rPr>
        <w:t>;</w:t>
      </w:r>
    </w:p>
    <w:p w:rsidR="009D05B9" w:rsidRDefault="009D05B9" w:rsidP="006067C2">
      <w:pPr>
        <w:spacing w:line="360" w:lineRule="auto"/>
        <w:ind w:firstLine="2977"/>
        <w:jc w:val="both"/>
        <w:rPr>
          <w:rFonts w:ascii="Arial" w:hAnsi="Arial" w:cs="Arial"/>
          <w:b w:val="0"/>
          <w:lang w:val="es-ES_tradnl"/>
        </w:rPr>
      </w:pPr>
      <w:r w:rsidRPr="006067C2">
        <w:rPr>
          <w:rFonts w:ascii="Arial" w:hAnsi="Arial" w:cs="Arial"/>
          <w:lang w:val="es-ES_tradnl"/>
        </w:rPr>
        <w:t>2)</w:t>
      </w:r>
      <w:r>
        <w:rPr>
          <w:rFonts w:ascii="Arial" w:hAnsi="Arial" w:cs="Arial"/>
          <w:b w:val="0"/>
          <w:lang w:val="es-ES_tradnl"/>
        </w:rPr>
        <w:t xml:space="preserve"> que la aceptación de la renuncia relacionada</w:t>
      </w:r>
      <w:r w:rsidR="00AF43A8">
        <w:rPr>
          <w:rFonts w:ascii="Arial" w:hAnsi="Arial" w:cs="Arial"/>
          <w:b w:val="0"/>
          <w:lang w:val="es-ES_tradnl"/>
        </w:rPr>
        <w:t xml:space="preserve"> por parte de la UCA se enmarca</w:t>
      </w:r>
      <w:r>
        <w:rPr>
          <w:rFonts w:ascii="Arial" w:hAnsi="Arial" w:cs="Arial"/>
          <w:b w:val="0"/>
          <w:lang w:val="es-ES_tradnl"/>
        </w:rPr>
        <w:t xml:space="preserve"> en lo establecido </w:t>
      </w:r>
      <w:r w:rsidR="006067C2">
        <w:rPr>
          <w:rFonts w:ascii="Arial" w:hAnsi="Arial" w:cs="Arial"/>
          <w:b w:val="0"/>
          <w:lang w:val="es-ES_tradnl"/>
        </w:rPr>
        <w:t>en el Artículo 163 de la Ley Nº</w:t>
      </w:r>
      <w:r>
        <w:rPr>
          <w:rFonts w:ascii="Arial" w:hAnsi="Arial" w:cs="Arial"/>
          <w:b w:val="0"/>
          <w:lang w:val="es-ES_tradnl"/>
        </w:rPr>
        <w:t xml:space="preserve">18.172 de fecha 31 de agosto de 2007, no habiendo </w:t>
      </w:r>
      <w:r w:rsidR="006067C2">
        <w:rPr>
          <w:rFonts w:ascii="Arial" w:hAnsi="Arial" w:cs="Arial"/>
          <w:b w:val="0"/>
          <w:lang w:val="es-ES_tradnl"/>
        </w:rPr>
        <w:t>objeciones legales que realizar</w:t>
      </w:r>
      <w:r>
        <w:rPr>
          <w:rFonts w:ascii="Arial" w:hAnsi="Arial" w:cs="Arial"/>
          <w:b w:val="0"/>
          <w:lang w:val="es-ES_tradnl"/>
        </w:rPr>
        <w:t xml:space="preserve">;                                     </w:t>
      </w:r>
    </w:p>
    <w:p w:rsidR="009D05B9" w:rsidRDefault="006067C2" w:rsidP="006067C2">
      <w:pPr>
        <w:spacing w:line="360" w:lineRule="auto"/>
        <w:ind w:firstLine="851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>ATENTO</w:t>
      </w:r>
      <w:r w:rsidR="009D05B9">
        <w:rPr>
          <w:rFonts w:ascii="Arial" w:hAnsi="Arial" w:cs="Arial"/>
          <w:lang w:val="es-ES_tradnl"/>
        </w:rPr>
        <w:t xml:space="preserve">: </w:t>
      </w:r>
      <w:r w:rsidR="009D05B9">
        <w:rPr>
          <w:rFonts w:ascii="Arial" w:hAnsi="Arial" w:cs="Arial"/>
          <w:b w:val="0"/>
          <w:lang w:val="es-ES_tradnl"/>
        </w:rPr>
        <w:t xml:space="preserve">a lo precedentemente expuesto y a lo establecido en el Artículo 211 Literal B) de </w:t>
      </w:r>
      <w:r>
        <w:rPr>
          <w:rFonts w:ascii="Arial" w:hAnsi="Arial" w:cs="Arial"/>
          <w:b w:val="0"/>
          <w:lang w:val="es-ES_tradnl"/>
        </w:rPr>
        <w:t>la Constitución de la República</w:t>
      </w:r>
      <w:r w:rsidR="009D05B9">
        <w:rPr>
          <w:rFonts w:ascii="Arial" w:hAnsi="Arial" w:cs="Arial"/>
          <w:b w:val="0"/>
          <w:lang w:val="es-ES_tradnl"/>
        </w:rPr>
        <w:t>;</w:t>
      </w:r>
    </w:p>
    <w:p w:rsidR="009D05B9" w:rsidRDefault="009D05B9" w:rsidP="006067C2">
      <w:pPr>
        <w:spacing w:line="360" w:lineRule="auto"/>
        <w:jc w:val="center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>EL TRIBUNAL ACUERDA</w:t>
      </w:r>
    </w:p>
    <w:p w:rsidR="009D05B9" w:rsidRDefault="009D05B9" w:rsidP="00AF43A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b w:val="0"/>
          <w:lang w:val="es-ES_tradnl"/>
        </w:rPr>
        <w:t>Cometer a los Contadores Audito</w:t>
      </w:r>
      <w:r w:rsidR="00AF43A8">
        <w:rPr>
          <w:rFonts w:ascii="Arial" w:hAnsi="Arial" w:cs="Arial"/>
          <w:b w:val="0"/>
          <w:lang w:val="es-ES_tradnl"/>
        </w:rPr>
        <w:t>res y/o Delegados según el caso</w:t>
      </w:r>
      <w:r>
        <w:rPr>
          <w:rFonts w:ascii="Arial" w:hAnsi="Arial" w:cs="Arial"/>
          <w:b w:val="0"/>
          <w:lang w:val="es-ES_tradnl"/>
        </w:rPr>
        <w:t>, el control de la desafectación del monto de $ 101.095 impuestos incluidos;</w:t>
      </w:r>
    </w:p>
    <w:p w:rsidR="009D05B9" w:rsidRDefault="009D05B9" w:rsidP="00AF43A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b w:val="0"/>
          <w:lang w:val="es-ES_tradnl"/>
        </w:rPr>
        <w:t>De las medidas que se adopten ante el  eventual incumplimiento de la firma EMILIO BENZO S</w:t>
      </w:r>
      <w:r w:rsidR="00AF43A8">
        <w:rPr>
          <w:rFonts w:ascii="Arial" w:hAnsi="Arial" w:cs="Arial"/>
          <w:b w:val="0"/>
          <w:lang w:val="es-ES_tradnl"/>
        </w:rPr>
        <w:t>.</w:t>
      </w:r>
      <w:r>
        <w:rPr>
          <w:rFonts w:ascii="Arial" w:hAnsi="Arial" w:cs="Arial"/>
          <w:b w:val="0"/>
          <w:lang w:val="es-ES_tradnl"/>
        </w:rPr>
        <w:t>A</w:t>
      </w:r>
      <w:r w:rsidR="00AF43A8">
        <w:rPr>
          <w:rFonts w:ascii="Arial" w:hAnsi="Arial" w:cs="Arial"/>
          <w:b w:val="0"/>
          <w:lang w:val="es-ES_tradnl"/>
        </w:rPr>
        <w:t>.</w:t>
      </w:r>
      <w:r>
        <w:rPr>
          <w:rFonts w:ascii="Arial" w:hAnsi="Arial" w:cs="Arial"/>
          <w:b w:val="0"/>
          <w:lang w:val="es-ES_tradnl"/>
        </w:rPr>
        <w:t xml:space="preserve"> (Resultando 8), de</w:t>
      </w:r>
      <w:r w:rsidR="00AF43A8">
        <w:rPr>
          <w:rFonts w:ascii="Arial" w:hAnsi="Arial" w:cs="Arial"/>
          <w:b w:val="0"/>
          <w:lang w:val="es-ES_tradnl"/>
        </w:rPr>
        <w:t>berá informarse a este Tribunal</w:t>
      </w:r>
      <w:r>
        <w:rPr>
          <w:rFonts w:ascii="Arial" w:hAnsi="Arial" w:cs="Arial"/>
          <w:b w:val="0"/>
          <w:lang w:val="es-ES_tradnl"/>
        </w:rPr>
        <w:t>;</w:t>
      </w:r>
    </w:p>
    <w:p w:rsidR="00AF43A8" w:rsidRDefault="009D05B9" w:rsidP="00AF43A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b w:val="0"/>
          <w:lang w:val="es-ES_tradnl"/>
        </w:rPr>
        <w:t>Comunicar a los Contadores Auditores y/o Delegados respectivos</w:t>
      </w:r>
      <w:r w:rsidR="00AF43A8">
        <w:rPr>
          <w:rFonts w:ascii="Arial" w:hAnsi="Arial" w:cs="Arial"/>
          <w:b w:val="0"/>
          <w:lang w:val="es-ES_tradnl"/>
        </w:rPr>
        <w:t>.</w:t>
      </w:r>
    </w:p>
    <w:p w:rsidR="00AF43A8" w:rsidRDefault="00AF43A8" w:rsidP="00AF43A8">
      <w:pPr>
        <w:spacing w:line="360" w:lineRule="auto"/>
        <w:jc w:val="both"/>
        <w:rPr>
          <w:rFonts w:ascii="Arial" w:hAnsi="Arial" w:cs="Arial"/>
          <w:b w:val="0"/>
          <w:lang w:val="es-ES_tradnl"/>
        </w:rPr>
      </w:pPr>
    </w:p>
    <w:p w:rsidR="00AF43A8" w:rsidRDefault="00AF43A8" w:rsidP="00AF43A8">
      <w:pPr>
        <w:spacing w:line="360" w:lineRule="auto"/>
        <w:jc w:val="both"/>
        <w:rPr>
          <w:rFonts w:ascii="Arial" w:hAnsi="Arial" w:cs="Arial"/>
          <w:b w:val="0"/>
          <w:lang w:val="es-ES_tradnl"/>
        </w:rPr>
      </w:pPr>
    </w:p>
    <w:p w:rsidR="008753CF" w:rsidRPr="00312CA8" w:rsidRDefault="00AF43A8" w:rsidP="00312CA8">
      <w:pPr>
        <w:spacing w:line="360" w:lineRule="auto"/>
        <w:ind w:hanging="426"/>
        <w:jc w:val="both"/>
        <w:rPr>
          <w:rFonts w:ascii="Arial" w:hAnsi="Arial" w:cs="Arial"/>
          <w:b w:val="0"/>
          <w:lang w:val="es-ES_tradnl"/>
        </w:rPr>
      </w:pPr>
      <w:proofErr w:type="gramStart"/>
      <w:r>
        <w:rPr>
          <w:rFonts w:ascii="Arial" w:hAnsi="Arial" w:cs="Arial"/>
          <w:b w:val="0"/>
          <w:lang w:val="es-ES_tradnl"/>
        </w:rPr>
        <w:t>dc</w:t>
      </w:r>
      <w:proofErr w:type="gramEnd"/>
    </w:p>
    <w:sectPr w:rsidR="008753CF" w:rsidRPr="00312CA8" w:rsidSect="009D05B9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41F" w:rsidRDefault="0021741F" w:rsidP="0021741F">
      <w:r>
        <w:separator/>
      </w:r>
    </w:p>
  </w:endnote>
  <w:endnote w:type="continuationSeparator" w:id="0">
    <w:p w:rsidR="0021741F" w:rsidRDefault="0021741F" w:rsidP="0021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45702"/>
      <w:docPartObj>
        <w:docPartGallery w:val="Page Numbers (Bottom of Page)"/>
        <w:docPartUnique/>
      </w:docPartObj>
    </w:sdtPr>
    <w:sdtEndPr/>
    <w:sdtContent>
      <w:p w:rsidR="0021741F" w:rsidRDefault="0021741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CA8">
          <w:rPr>
            <w:noProof/>
          </w:rPr>
          <w:t>1</w:t>
        </w:r>
        <w:r>
          <w:fldChar w:fldCharType="end"/>
        </w:r>
      </w:p>
    </w:sdtContent>
  </w:sdt>
  <w:p w:rsidR="0021741F" w:rsidRDefault="002174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41F" w:rsidRDefault="0021741F" w:rsidP="0021741F">
      <w:r>
        <w:separator/>
      </w:r>
    </w:p>
  </w:footnote>
  <w:footnote w:type="continuationSeparator" w:id="0">
    <w:p w:rsidR="0021741F" w:rsidRDefault="0021741F" w:rsidP="00217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02B20"/>
    <w:multiLevelType w:val="hybridMultilevel"/>
    <w:tmpl w:val="F0EE6D9C"/>
    <w:lvl w:ilvl="0" w:tplc="781C60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B9"/>
    <w:rsid w:val="0021741F"/>
    <w:rsid w:val="00312CA8"/>
    <w:rsid w:val="00326F48"/>
    <w:rsid w:val="006067C2"/>
    <w:rsid w:val="00646413"/>
    <w:rsid w:val="009D05B9"/>
    <w:rsid w:val="00A31B5F"/>
    <w:rsid w:val="00AF43A8"/>
    <w:rsid w:val="00D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5B9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D05B9"/>
    <w:pPr>
      <w:keepNext/>
      <w:outlineLvl w:val="0"/>
    </w:pPr>
    <w:rPr>
      <w:rFonts w:ascii="Bookman Old Style" w:hAnsi="Bookman Old Sty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D05B9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174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741F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74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41F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5B9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D05B9"/>
    <w:pPr>
      <w:keepNext/>
      <w:outlineLvl w:val="0"/>
    </w:pPr>
    <w:rPr>
      <w:rFonts w:ascii="Bookman Old Style" w:hAnsi="Bookman Old Sty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D05B9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174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741F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74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41F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699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2019-08-06T17:09:00Z</cp:lastPrinted>
  <dcterms:created xsi:type="dcterms:W3CDTF">2019-08-06T16:35:00Z</dcterms:created>
  <dcterms:modified xsi:type="dcterms:W3CDTF">2019-08-16T17:54:00Z</dcterms:modified>
</cp:coreProperties>
</file>