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E8" w:rsidRPr="001423E8" w:rsidRDefault="001423E8" w:rsidP="001423E8">
      <w:pPr>
        <w:tabs>
          <w:tab w:val="center" w:pos="4253"/>
        </w:tabs>
        <w:suppressAutoHyphens/>
        <w:spacing w:after="0" w:line="360" w:lineRule="auto"/>
        <w:jc w:val="right"/>
        <w:rPr>
          <w:rFonts w:ascii="Arial" w:hAnsi="Arial" w:cs="Arial"/>
          <w:b/>
          <w:sz w:val="28"/>
          <w:szCs w:val="28"/>
          <w:lang w:val="es-ES_tradnl"/>
        </w:rPr>
      </w:pPr>
      <w:r w:rsidRPr="001423E8">
        <w:rPr>
          <w:rFonts w:ascii="Arial" w:hAnsi="Arial" w:cs="Arial"/>
          <w:b/>
          <w:sz w:val="28"/>
          <w:szCs w:val="28"/>
          <w:lang w:val="es-ES_tradnl"/>
        </w:rPr>
        <w:t xml:space="preserve">RES. </w:t>
      </w:r>
      <w:r>
        <w:rPr>
          <w:rFonts w:ascii="Arial" w:hAnsi="Arial" w:cs="Arial"/>
          <w:b/>
          <w:sz w:val="28"/>
          <w:szCs w:val="28"/>
          <w:lang w:val="es-ES_tradnl"/>
        </w:rPr>
        <w:t>1770</w:t>
      </w:r>
      <w:r w:rsidRPr="001423E8">
        <w:rPr>
          <w:rFonts w:ascii="Arial" w:hAnsi="Arial" w:cs="Arial"/>
          <w:b/>
          <w:sz w:val="28"/>
          <w:szCs w:val="28"/>
          <w:lang w:val="es-ES_tradnl"/>
        </w:rPr>
        <w:t>/19</w:t>
      </w:r>
    </w:p>
    <w:p w:rsidR="001423E8" w:rsidRPr="001423E8" w:rsidRDefault="001423E8" w:rsidP="001423E8">
      <w:pPr>
        <w:tabs>
          <w:tab w:val="center" w:pos="4253"/>
        </w:tabs>
        <w:suppressAutoHyphens/>
        <w:spacing w:after="0" w:line="360" w:lineRule="auto"/>
        <w:jc w:val="right"/>
        <w:rPr>
          <w:rFonts w:ascii="Arial" w:hAnsi="Arial" w:cs="Arial"/>
          <w:b/>
          <w:sz w:val="24"/>
          <w:szCs w:val="24"/>
          <w:lang w:val="es-ES_tradnl"/>
        </w:rPr>
      </w:pPr>
    </w:p>
    <w:p w:rsidR="001423E8" w:rsidRPr="001423E8" w:rsidRDefault="001423E8" w:rsidP="001423E8">
      <w:pPr>
        <w:tabs>
          <w:tab w:val="center" w:pos="4253"/>
        </w:tabs>
        <w:suppressAutoHyphens/>
        <w:spacing w:after="0" w:line="360" w:lineRule="auto"/>
        <w:jc w:val="center"/>
        <w:rPr>
          <w:rFonts w:ascii="Arial" w:hAnsi="Arial" w:cs="Arial"/>
          <w:b/>
          <w:sz w:val="24"/>
          <w:szCs w:val="24"/>
          <w:lang w:val="es-ES_tradnl"/>
        </w:rPr>
      </w:pPr>
      <w:r w:rsidRPr="001423E8">
        <w:rPr>
          <w:rFonts w:ascii="Arial" w:hAnsi="Arial" w:cs="Arial"/>
          <w:b/>
          <w:sz w:val="24"/>
          <w:szCs w:val="24"/>
          <w:lang w:val="es-ES_tradnl"/>
        </w:rPr>
        <w:t>RESOLUCION ADOPTADA POR EL</w:t>
      </w:r>
    </w:p>
    <w:p w:rsidR="001423E8" w:rsidRPr="001423E8" w:rsidRDefault="001423E8" w:rsidP="001423E8">
      <w:pPr>
        <w:tabs>
          <w:tab w:val="center" w:pos="4253"/>
        </w:tabs>
        <w:suppressAutoHyphens/>
        <w:spacing w:after="0" w:line="360" w:lineRule="auto"/>
        <w:jc w:val="center"/>
        <w:rPr>
          <w:rFonts w:ascii="Arial" w:hAnsi="Arial" w:cs="Arial"/>
          <w:b/>
          <w:sz w:val="24"/>
          <w:szCs w:val="24"/>
          <w:lang w:val="es-ES_tradnl"/>
        </w:rPr>
      </w:pPr>
      <w:r w:rsidRPr="001423E8">
        <w:rPr>
          <w:rFonts w:ascii="Arial" w:hAnsi="Arial" w:cs="Arial"/>
          <w:b/>
          <w:sz w:val="24"/>
          <w:szCs w:val="24"/>
          <w:lang w:val="es-ES_tradnl"/>
        </w:rPr>
        <w:t>TRIBUNAL DE CUENTAS</w:t>
      </w:r>
    </w:p>
    <w:p w:rsidR="001423E8" w:rsidRPr="001423E8" w:rsidRDefault="001423E8" w:rsidP="001423E8">
      <w:pPr>
        <w:tabs>
          <w:tab w:val="center" w:pos="4253"/>
        </w:tabs>
        <w:suppressAutoHyphens/>
        <w:spacing w:after="0" w:line="360" w:lineRule="auto"/>
        <w:jc w:val="center"/>
        <w:rPr>
          <w:rFonts w:ascii="Arial" w:hAnsi="Arial" w:cs="Arial"/>
          <w:b/>
          <w:sz w:val="24"/>
          <w:szCs w:val="24"/>
          <w:lang w:val="es-ES_tradnl"/>
        </w:rPr>
      </w:pPr>
      <w:r w:rsidRPr="001423E8">
        <w:rPr>
          <w:rFonts w:ascii="Arial" w:hAnsi="Arial" w:cs="Arial"/>
          <w:b/>
          <w:sz w:val="24"/>
          <w:szCs w:val="24"/>
          <w:lang w:val="es-ES_tradnl"/>
        </w:rPr>
        <w:t>EN SESION DE FECHA 24 DE JULIO DE 2019</w:t>
      </w:r>
    </w:p>
    <w:p w:rsidR="001423E8" w:rsidRPr="001423E8" w:rsidRDefault="001423E8" w:rsidP="001423E8">
      <w:pPr>
        <w:tabs>
          <w:tab w:val="center" w:pos="4253"/>
        </w:tabs>
        <w:suppressAutoHyphens/>
        <w:spacing w:after="0" w:line="360" w:lineRule="auto"/>
        <w:jc w:val="center"/>
        <w:rPr>
          <w:rFonts w:ascii="Arial" w:hAnsi="Arial" w:cs="Arial"/>
          <w:b/>
          <w:sz w:val="24"/>
          <w:szCs w:val="24"/>
          <w:lang w:val="en-US"/>
        </w:rPr>
      </w:pPr>
      <w:r w:rsidRPr="001423E8">
        <w:rPr>
          <w:rFonts w:ascii="Arial" w:hAnsi="Arial" w:cs="Arial"/>
          <w:b/>
          <w:sz w:val="24"/>
          <w:szCs w:val="24"/>
          <w:lang w:val="en-US"/>
        </w:rPr>
        <w:t xml:space="preserve">(E. E. Nº </w:t>
      </w:r>
      <w:r>
        <w:rPr>
          <w:rFonts w:ascii="Arial" w:hAnsi="Arial" w:cs="Arial"/>
          <w:b/>
          <w:sz w:val="24"/>
          <w:szCs w:val="24"/>
          <w:lang w:val="en-US"/>
        </w:rPr>
        <w:t>2018-17-1-0007321</w:t>
      </w:r>
      <w:r w:rsidRPr="001423E8">
        <w:rPr>
          <w:rFonts w:ascii="Arial" w:hAnsi="Arial" w:cs="Arial"/>
          <w:b/>
          <w:sz w:val="24"/>
          <w:szCs w:val="24"/>
          <w:lang w:val="en-US"/>
        </w:rPr>
        <w:t xml:space="preserve">, </w:t>
      </w:r>
      <w:proofErr w:type="gramStart"/>
      <w:r w:rsidRPr="001423E8">
        <w:rPr>
          <w:rFonts w:ascii="Arial" w:hAnsi="Arial" w:cs="Arial"/>
          <w:b/>
          <w:sz w:val="24"/>
          <w:szCs w:val="24"/>
          <w:lang w:val="en-US"/>
        </w:rPr>
        <w:t>Ent</w:t>
      </w:r>
      <w:proofErr w:type="gramEnd"/>
      <w:r w:rsidRPr="001423E8">
        <w:rPr>
          <w:rFonts w:ascii="Arial" w:hAnsi="Arial" w:cs="Arial"/>
          <w:b/>
          <w:sz w:val="24"/>
          <w:szCs w:val="24"/>
          <w:lang w:val="en-US"/>
        </w:rPr>
        <w:t xml:space="preserve">. N° </w:t>
      </w:r>
      <w:r>
        <w:rPr>
          <w:rFonts w:ascii="Arial" w:hAnsi="Arial" w:cs="Arial"/>
          <w:b/>
          <w:sz w:val="24"/>
          <w:szCs w:val="24"/>
          <w:lang w:val="en-US"/>
        </w:rPr>
        <w:t>1640/19</w:t>
      </w:r>
      <w:r w:rsidRPr="001423E8">
        <w:rPr>
          <w:rFonts w:ascii="Arial" w:hAnsi="Arial" w:cs="Arial"/>
          <w:b/>
          <w:sz w:val="24"/>
          <w:szCs w:val="24"/>
          <w:lang w:val="en-US"/>
        </w:rPr>
        <w:t>)</w:t>
      </w:r>
    </w:p>
    <w:p w:rsidR="001423E8" w:rsidRDefault="001423E8">
      <w:pPr>
        <w:tabs>
          <w:tab w:val="center" w:pos="4253"/>
        </w:tabs>
        <w:suppressAutoHyphens/>
        <w:jc w:val="center"/>
        <w:rPr>
          <w:rFonts w:ascii="Helvetica" w:hAnsi="Helvetica"/>
          <w:b/>
          <w:lang w:val="en-US"/>
        </w:rPr>
      </w:pPr>
    </w:p>
    <w:p w:rsidR="00452579" w:rsidRDefault="00452579" w:rsidP="001423E8">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la</w:t>
      </w:r>
      <w:r>
        <w:rPr>
          <w:rFonts w:ascii="Arial" w:hAnsi="Arial" w:cs="Arial"/>
          <w:b/>
          <w:sz w:val="24"/>
          <w:szCs w:val="24"/>
        </w:rPr>
        <w:t xml:space="preserve"> </w:t>
      </w:r>
      <w:r>
        <w:rPr>
          <w:rFonts w:ascii="Arial" w:hAnsi="Arial" w:cs="Arial"/>
          <w:sz w:val="24"/>
          <w:szCs w:val="24"/>
        </w:rPr>
        <w:t xml:space="preserve">Administración Nacional de </w:t>
      </w:r>
      <w:r w:rsidR="00C53CC0">
        <w:rPr>
          <w:rFonts w:ascii="Arial" w:hAnsi="Arial" w:cs="Arial"/>
          <w:sz w:val="24"/>
          <w:szCs w:val="24"/>
        </w:rPr>
        <w:t>Telecomunicaciones</w:t>
      </w:r>
      <w:r>
        <w:rPr>
          <w:rFonts w:ascii="Arial" w:hAnsi="Arial" w:cs="Arial"/>
          <w:sz w:val="24"/>
          <w:szCs w:val="24"/>
        </w:rPr>
        <w:t xml:space="preserve">, relacionadas </w:t>
      </w:r>
      <w:r w:rsidRPr="00452579">
        <w:rPr>
          <w:rFonts w:ascii="Arial" w:hAnsi="Arial" w:cs="Arial"/>
          <w:sz w:val="24"/>
          <w:szCs w:val="24"/>
        </w:rPr>
        <w:t>con la Licitación Abreviada N°</w:t>
      </w:r>
      <w:r>
        <w:rPr>
          <w:rFonts w:ascii="Arial" w:hAnsi="Arial" w:cs="Arial"/>
          <w:sz w:val="24"/>
          <w:szCs w:val="24"/>
        </w:rPr>
        <w:t xml:space="preserve"> </w:t>
      </w:r>
      <w:r w:rsidR="00C53CC0">
        <w:rPr>
          <w:rFonts w:ascii="Arial" w:hAnsi="Arial" w:cs="Arial"/>
          <w:sz w:val="24"/>
          <w:szCs w:val="24"/>
        </w:rPr>
        <w:t>1674/2018</w:t>
      </w:r>
      <w:r>
        <w:rPr>
          <w:rFonts w:ascii="Arial" w:hAnsi="Arial" w:cs="Arial"/>
          <w:sz w:val="24"/>
          <w:szCs w:val="24"/>
        </w:rPr>
        <w:t xml:space="preserve">, para la contratación </w:t>
      </w:r>
      <w:r w:rsidR="00C53CC0">
        <w:rPr>
          <w:rFonts w:ascii="Arial" w:hAnsi="Arial" w:cs="Arial"/>
          <w:sz w:val="24"/>
          <w:szCs w:val="24"/>
        </w:rPr>
        <w:t>de servicios de agencia digital para el desarrollo integral de campañas en medios digitales;</w:t>
      </w:r>
    </w:p>
    <w:p w:rsidR="00C53CC0" w:rsidRDefault="00452579" w:rsidP="001423E8">
      <w:pPr>
        <w:spacing w:after="0" w:line="360" w:lineRule="auto"/>
        <w:ind w:firstLine="709"/>
        <w:jc w:val="both"/>
        <w:rPr>
          <w:rFonts w:ascii="Arial" w:hAnsi="Arial" w:cs="Arial"/>
          <w:sz w:val="24"/>
          <w:szCs w:val="24"/>
        </w:rPr>
      </w:pPr>
      <w:r w:rsidRPr="00452579">
        <w:rPr>
          <w:rFonts w:ascii="Arial" w:hAnsi="Arial" w:cs="Arial"/>
          <w:b/>
          <w:sz w:val="24"/>
          <w:szCs w:val="24"/>
        </w:rPr>
        <w:t>RESULTANDO:</w:t>
      </w:r>
      <w:r w:rsidR="001423E8">
        <w:rPr>
          <w:rFonts w:ascii="Arial" w:hAnsi="Arial" w:cs="Arial"/>
          <w:b/>
          <w:sz w:val="24"/>
          <w:szCs w:val="24"/>
        </w:rPr>
        <w:t xml:space="preserve"> </w:t>
      </w:r>
      <w:r>
        <w:rPr>
          <w:rFonts w:ascii="Arial" w:hAnsi="Arial" w:cs="Arial"/>
          <w:b/>
          <w:sz w:val="24"/>
          <w:szCs w:val="24"/>
        </w:rPr>
        <w:t>1)</w:t>
      </w:r>
      <w:r w:rsidR="007135BF">
        <w:rPr>
          <w:rFonts w:ascii="Arial" w:hAnsi="Arial" w:cs="Arial"/>
          <w:b/>
          <w:sz w:val="24"/>
          <w:szCs w:val="24"/>
        </w:rPr>
        <w:t xml:space="preserve"> </w:t>
      </w:r>
      <w:r w:rsidR="00C53CC0">
        <w:rPr>
          <w:rFonts w:ascii="Arial" w:hAnsi="Arial" w:cs="Arial"/>
          <w:sz w:val="24"/>
          <w:szCs w:val="24"/>
        </w:rPr>
        <w:t xml:space="preserve">que la </w:t>
      </w:r>
      <w:r w:rsidR="003014FF">
        <w:rPr>
          <w:rFonts w:ascii="Arial" w:hAnsi="Arial" w:cs="Arial"/>
          <w:sz w:val="24"/>
          <w:szCs w:val="24"/>
        </w:rPr>
        <w:t>Sub – Gerencia General Estrategia de Negocios</w:t>
      </w:r>
      <w:r w:rsidR="00A866F2">
        <w:rPr>
          <w:rFonts w:ascii="Arial" w:hAnsi="Arial" w:cs="Arial"/>
          <w:sz w:val="24"/>
          <w:szCs w:val="24"/>
        </w:rPr>
        <w:t xml:space="preserve"> </w:t>
      </w:r>
      <w:r w:rsidR="00063BA1">
        <w:rPr>
          <w:rFonts w:ascii="Arial" w:hAnsi="Arial" w:cs="Arial"/>
          <w:sz w:val="24"/>
          <w:szCs w:val="24"/>
        </w:rPr>
        <w:t xml:space="preserve">por Resolución </w:t>
      </w:r>
      <w:r w:rsidR="00A866F2">
        <w:rPr>
          <w:rFonts w:ascii="Arial" w:hAnsi="Arial" w:cs="Arial"/>
          <w:sz w:val="24"/>
          <w:szCs w:val="24"/>
        </w:rPr>
        <w:t>N° 298/18</w:t>
      </w:r>
      <w:r w:rsidR="00700D60">
        <w:rPr>
          <w:rFonts w:ascii="Arial" w:hAnsi="Arial" w:cs="Arial"/>
          <w:sz w:val="24"/>
          <w:szCs w:val="24"/>
        </w:rPr>
        <w:t>, en ejercicio de atribuciones delegadas,</w:t>
      </w:r>
      <w:r w:rsidR="00A866F2">
        <w:rPr>
          <w:rFonts w:ascii="Arial" w:hAnsi="Arial" w:cs="Arial"/>
          <w:sz w:val="24"/>
          <w:szCs w:val="24"/>
        </w:rPr>
        <w:t xml:space="preserve"> </w:t>
      </w:r>
      <w:r w:rsidR="0018603A">
        <w:rPr>
          <w:rFonts w:ascii="Arial" w:hAnsi="Arial" w:cs="Arial"/>
          <w:sz w:val="24"/>
          <w:szCs w:val="24"/>
        </w:rPr>
        <w:t>autorizó</w:t>
      </w:r>
      <w:r w:rsidR="00A866F2">
        <w:rPr>
          <w:rFonts w:ascii="Arial" w:hAnsi="Arial" w:cs="Arial"/>
          <w:sz w:val="24"/>
          <w:szCs w:val="24"/>
        </w:rPr>
        <w:t xml:space="preserve"> el llamado a Licitación Abreviada N° 1673/2018 cuyo objeto fue el detallado en el Visto, aprobándose el Pliego de Condiciones Particulares</w:t>
      </w:r>
      <w:r w:rsidR="0018603A">
        <w:rPr>
          <w:rFonts w:ascii="Arial" w:hAnsi="Arial" w:cs="Arial"/>
          <w:sz w:val="24"/>
          <w:szCs w:val="24"/>
        </w:rPr>
        <w:t>;</w:t>
      </w:r>
    </w:p>
    <w:p w:rsidR="0018603A" w:rsidRDefault="0018603A"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Pr>
          <w:rFonts w:ascii="Arial" w:hAnsi="Arial" w:cs="Arial"/>
          <w:b/>
          <w:sz w:val="24"/>
          <w:szCs w:val="24"/>
        </w:rPr>
        <w:t xml:space="preserve">2) </w:t>
      </w:r>
      <w:r w:rsidR="00F90586">
        <w:rPr>
          <w:rFonts w:ascii="Arial" w:hAnsi="Arial" w:cs="Arial"/>
          <w:sz w:val="24"/>
          <w:szCs w:val="24"/>
        </w:rPr>
        <w:t xml:space="preserve">que por Resolución </w:t>
      </w:r>
      <w:r w:rsidR="00A238A2">
        <w:rPr>
          <w:rFonts w:ascii="Arial" w:hAnsi="Arial" w:cs="Arial"/>
          <w:sz w:val="24"/>
          <w:szCs w:val="24"/>
        </w:rPr>
        <w:t>N° 346/18</w:t>
      </w:r>
      <w:r w:rsidR="00014D4D">
        <w:rPr>
          <w:rFonts w:ascii="Arial" w:hAnsi="Arial" w:cs="Arial"/>
          <w:sz w:val="24"/>
          <w:szCs w:val="24"/>
        </w:rPr>
        <w:t xml:space="preserve"> de 12 de julio de 2018, </w:t>
      </w:r>
      <w:r w:rsidR="00A238A2">
        <w:rPr>
          <w:rFonts w:ascii="Arial" w:hAnsi="Arial" w:cs="Arial"/>
          <w:sz w:val="24"/>
          <w:szCs w:val="24"/>
        </w:rPr>
        <w:t xml:space="preserve"> </w:t>
      </w:r>
      <w:r w:rsidR="00F90586">
        <w:rPr>
          <w:rFonts w:ascii="Arial" w:hAnsi="Arial" w:cs="Arial"/>
          <w:sz w:val="24"/>
          <w:szCs w:val="24"/>
        </w:rPr>
        <w:t xml:space="preserve">de la misma Sub </w:t>
      </w:r>
      <w:r w:rsidR="00C56677">
        <w:rPr>
          <w:rFonts w:ascii="Arial" w:hAnsi="Arial" w:cs="Arial"/>
          <w:sz w:val="24"/>
          <w:szCs w:val="24"/>
        </w:rPr>
        <w:t>– Gerencia,</w:t>
      </w:r>
      <w:r w:rsidR="00700D60">
        <w:rPr>
          <w:rFonts w:ascii="Arial" w:hAnsi="Arial" w:cs="Arial"/>
          <w:sz w:val="24"/>
          <w:szCs w:val="24"/>
        </w:rPr>
        <w:t xml:space="preserve"> </w:t>
      </w:r>
      <w:r w:rsidR="00A238A2">
        <w:rPr>
          <w:rFonts w:ascii="Arial" w:hAnsi="Arial" w:cs="Arial"/>
          <w:sz w:val="24"/>
          <w:szCs w:val="24"/>
        </w:rPr>
        <w:t xml:space="preserve">la que actuó </w:t>
      </w:r>
      <w:r w:rsidR="00700D60">
        <w:rPr>
          <w:rFonts w:ascii="Arial" w:hAnsi="Arial" w:cs="Arial"/>
          <w:sz w:val="24"/>
          <w:szCs w:val="24"/>
        </w:rPr>
        <w:t>en ejercicio de atribuciones delegadas</w:t>
      </w:r>
      <w:r w:rsidR="00152B0C">
        <w:rPr>
          <w:rFonts w:ascii="Arial" w:hAnsi="Arial" w:cs="Arial"/>
          <w:sz w:val="24"/>
          <w:szCs w:val="24"/>
        </w:rPr>
        <w:t>, se dio por finalizado el procedimiento por entender que ello era necesario a efectos de dar cumplimiento a lo establecido en el Pliego de Condiciones en lo que refiere a los plazos</w:t>
      </w:r>
      <w:r w:rsidR="00014D4D">
        <w:rPr>
          <w:rFonts w:ascii="Arial" w:hAnsi="Arial" w:cs="Arial"/>
          <w:sz w:val="24"/>
          <w:szCs w:val="24"/>
        </w:rPr>
        <w:t>; en el mismo</w:t>
      </w:r>
      <w:r w:rsidR="00C56677">
        <w:rPr>
          <w:rFonts w:ascii="Arial" w:hAnsi="Arial" w:cs="Arial"/>
          <w:sz w:val="24"/>
          <w:szCs w:val="24"/>
        </w:rPr>
        <w:t xml:space="preserve"> acto administrativo </w:t>
      </w:r>
      <w:r w:rsidR="00014D4D">
        <w:rPr>
          <w:rFonts w:ascii="Arial" w:hAnsi="Arial" w:cs="Arial"/>
          <w:sz w:val="24"/>
          <w:szCs w:val="24"/>
        </w:rPr>
        <w:t>se</w:t>
      </w:r>
      <w:r w:rsidR="00C56677">
        <w:rPr>
          <w:rFonts w:ascii="Arial" w:hAnsi="Arial" w:cs="Arial"/>
          <w:sz w:val="24"/>
          <w:szCs w:val="24"/>
        </w:rPr>
        <w:t xml:space="preserve"> dispuso autorizar una nueva Licitación Abreviada</w:t>
      </w:r>
      <w:r w:rsidR="00890AD0">
        <w:rPr>
          <w:rFonts w:ascii="Arial" w:hAnsi="Arial" w:cs="Arial"/>
          <w:sz w:val="24"/>
          <w:szCs w:val="24"/>
        </w:rPr>
        <w:t xml:space="preserve"> (N° 1674/18)</w:t>
      </w:r>
      <w:r w:rsidR="00C56677">
        <w:rPr>
          <w:rFonts w:ascii="Arial" w:hAnsi="Arial" w:cs="Arial"/>
          <w:sz w:val="24"/>
          <w:szCs w:val="24"/>
        </w:rPr>
        <w:t xml:space="preserve">, con </w:t>
      </w:r>
      <w:r w:rsidR="00890AD0">
        <w:rPr>
          <w:rFonts w:ascii="Arial" w:hAnsi="Arial" w:cs="Arial"/>
          <w:sz w:val="24"/>
          <w:szCs w:val="24"/>
        </w:rPr>
        <w:t>objeto, bases y especificaciones idénticas a</w:t>
      </w:r>
      <w:r w:rsidR="00B62D8C">
        <w:rPr>
          <w:rFonts w:ascii="Arial" w:hAnsi="Arial" w:cs="Arial"/>
          <w:sz w:val="24"/>
          <w:szCs w:val="24"/>
        </w:rPr>
        <w:t xml:space="preserve"> las del procedimiento anterior;</w:t>
      </w:r>
    </w:p>
    <w:p w:rsidR="007135BF" w:rsidRDefault="00B134B0"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Pr>
          <w:rFonts w:ascii="Arial" w:hAnsi="Arial" w:cs="Arial"/>
          <w:b/>
          <w:sz w:val="24"/>
          <w:szCs w:val="24"/>
        </w:rPr>
        <w:t xml:space="preserve">3) </w:t>
      </w:r>
      <w:r w:rsidR="007135BF">
        <w:rPr>
          <w:rFonts w:ascii="Arial" w:hAnsi="Arial" w:cs="Arial"/>
          <w:sz w:val="24"/>
          <w:szCs w:val="24"/>
        </w:rPr>
        <w:t xml:space="preserve">que cumplido el requisito legal de publicidad con antelación suficiente, con fecha </w:t>
      </w:r>
      <w:r w:rsidR="00787F3B">
        <w:rPr>
          <w:rFonts w:ascii="Arial" w:hAnsi="Arial" w:cs="Arial"/>
          <w:sz w:val="24"/>
          <w:szCs w:val="24"/>
        </w:rPr>
        <w:t>05.09.18</w:t>
      </w:r>
      <w:r w:rsidR="007135BF">
        <w:rPr>
          <w:rFonts w:ascii="Arial" w:hAnsi="Arial" w:cs="Arial"/>
          <w:sz w:val="24"/>
          <w:szCs w:val="24"/>
        </w:rPr>
        <w:t xml:space="preserve"> se procedió a la apertura de ofertas, recibiéndose las propuestas de: </w:t>
      </w:r>
      <w:proofErr w:type="spellStart"/>
      <w:r w:rsidR="00787F3B">
        <w:rPr>
          <w:rFonts w:ascii="Arial" w:hAnsi="Arial" w:cs="Arial"/>
          <w:sz w:val="24"/>
          <w:szCs w:val="24"/>
        </w:rPr>
        <w:t>Electrify</w:t>
      </w:r>
      <w:proofErr w:type="spellEnd"/>
      <w:r w:rsidR="00787F3B">
        <w:rPr>
          <w:rFonts w:ascii="Arial" w:hAnsi="Arial" w:cs="Arial"/>
          <w:sz w:val="24"/>
          <w:szCs w:val="24"/>
        </w:rPr>
        <w:t xml:space="preserve"> S.A., Young &amp; </w:t>
      </w:r>
      <w:proofErr w:type="spellStart"/>
      <w:r w:rsidR="00787F3B">
        <w:rPr>
          <w:rFonts w:ascii="Arial" w:hAnsi="Arial" w:cs="Arial"/>
          <w:sz w:val="24"/>
          <w:szCs w:val="24"/>
        </w:rPr>
        <w:t>Rubicam</w:t>
      </w:r>
      <w:proofErr w:type="spellEnd"/>
      <w:r w:rsidR="00787F3B">
        <w:rPr>
          <w:rFonts w:ascii="Arial" w:hAnsi="Arial" w:cs="Arial"/>
          <w:sz w:val="24"/>
          <w:szCs w:val="24"/>
        </w:rPr>
        <w:t xml:space="preserve"> S.A. – </w:t>
      </w:r>
      <w:proofErr w:type="spellStart"/>
      <w:r w:rsidR="00787F3B">
        <w:rPr>
          <w:rFonts w:ascii="Arial" w:hAnsi="Arial" w:cs="Arial"/>
          <w:sz w:val="24"/>
          <w:szCs w:val="24"/>
        </w:rPr>
        <w:t>Renier</w:t>
      </w:r>
      <w:proofErr w:type="spellEnd"/>
      <w:r w:rsidR="00787F3B">
        <w:rPr>
          <w:rFonts w:ascii="Arial" w:hAnsi="Arial" w:cs="Arial"/>
          <w:sz w:val="24"/>
          <w:szCs w:val="24"/>
        </w:rPr>
        <w:t xml:space="preserve"> S.A. (con intención de consorciarse), Amén S.A. – </w:t>
      </w:r>
      <w:proofErr w:type="spellStart"/>
      <w:r w:rsidR="00787F3B">
        <w:rPr>
          <w:rFonts w:ascii="Arial" w:hAnsi="Arial" w:cs="Arial"/>
          <w:sz w:val="24"/>
          <w:szCs w:val="24"/>
        </w:rPr>
        <w:t>Kybalion</w:t>
      </w:r>
      <w:proofErr w:type="spellEnd"/>
      <w:r w:rsidR="00787F3B">
        <w:rPr>
          <w:rFonts w:ascii="Arial" w:hAnsi="Arial" w:cs="Arial"/>
          <w:sz w:val="24"/>
          <w:szCs w:val="24"/>
        </w:rPr>
        <w:t xml:space="preserve"> S.R.L. (con intención de consorciarse) e IPG Media </w:t>
      </w:r>
      <w:proofErr w:type="spellStart"/>
      <w:r w:rsidR="00787F3B">
        <w:rPr>
          <w:rFonts w:ascii="Arial" w:hAnsi="Arial" w:cs="Arial"/>
          <w:sz w:val="24"/>
          <w:szCs w:val="24"/>
        </w:rPr>
        <w:t>Brands</w:t>
      </w:r>
      <w:proofErr w:type="spellEnd"/>
      <w:r w:rsidR="00787F3B">
        <w:rPr>
          <w:rFonts w:ascii="Arial" w:hAnsi="Arial" w:cs="Arial"/>
          <w:sz w:val="24"/>
          <w:szCs w:val="24"/>
        </w:rPr>
        <w:t xml:space="preserve"> S.A. (sucursal Uruguay);</w:t>
      </w:r>
    </w:p>
    <w:p w:rsidR="007135BF" w:rsidRDefault="007135BF"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002909ED" w:rsidRPr="002909ED">
        <w:rPr>
          <w:rFonts w:ascii="Arial" w:hAnsi="Arial" w:cs="Arial"/>
          <w:b/>
          <w:sz w:val="24"/>
          <w:szCs w:val="24"/>
        </w:rPr>
        <w:t>4</w:t>
      </w:r>
      <w:r w:rsidRPr="007135BF">
        <w:rPr>
          <w:rFonts w:ascii="Arial" w:hAnsi="Arial" w:cs="Arial"/>
          <w:b/>
          <w:sz w:val="24"/>
          <w:szCs w:val="24"/>
        </w:rPr>
        <w:t>)</w:t>
      </w:r>
      <w:r>
        <w:rPr>
          <w:rFonts w:ascii="Arial" w:hAnsi="Arial" w:cs="Arial"/>
          <w:sz w:val="24"/>
          <w:szCs w:val="24"/>
        </w:rPr>
        <w:t xml:space="preserve"> que con fecha</w:t>
      </w:r>
      <w:r w:rsidR="002D427B">
        <w:rPr>
          <w:rFonts w:ascii="Arial" w:hAnsi="Arial" w:cs="Arial"/>
          <w:sz w:val="24"/>
          <w:szCs w:val="24"/>
        </w:rPr>
        <w:t xml:space="preserve"> 23.11.18</w:t>
      </w:r>
      <w:r>
        <w:rPr>
          <w:rFonts w:ascii="Arial" w:hAnsi="Arial" w:cs="Arial"/>
          <w:sz w:val="24"/>
          <w:szCs w:val="24"/>
        </w:rPr>
        <w:t xml:space="preserve">, la Comisión Asesora de Adjudicaciones realizó un informe </w:t>
      </w:r>
      <w:r w:rsidR="002D427B">
        <w:rPr>
          <w:rFonts w:ascii="Arial" w:hAnsi="Arial" w:cs="Arial"/>
          <w:sz w:val="24"/>
          <w:szCs w:val="24"/>
        </w:rPr>
        <w:t xml:space="preserve">en el cual, tras examinar el cumplimiento de </w:t>
      </w:r>
      <w:r w:rsidR="002D427B">
        <w:rPr>
          <w:rFonts w:ascii="Arial" w:hAnsi="Arial" w:cs="Arial"/>
          <w:sz w:val="24"/>
          <w:szCs w:val="24"/>
        </w:rPr>
        <w:lastRenderedPageBreak/>
        <w:t>los requisitos exigidos en el Pliego y valorar la propuesta técnica, entendió que correspondía el rechazo de</w:t>
      </w:r>
      <w:r w:rsidR="00A238A2">
        <w:rPr>
          <w:rFonts w:ascii="Arial" w:hAnsi="Arial" w:cs="Arial"/>
          <w:sz w:val="24"/>
          <w:szCs w:val="24"/>
        </w:rPr>
        <w:t xml:space="preserve"> todas</w:t>
      </w:r>
      <w:r w:rsidR="002D427B">
        <w:rPr>
          <w:rFonts w:ascii="Arial" w:hAnsi="Arial" w:cs="Arial"/>
          <w:sz w:val="24"/>
          <w:szCs w:val="24"/>
        </w:rPr>
        <w:t xml:space="preserve"> las ofertas presentadas y sugirió dar por finalizado el procedimiento de acuerdo con lo establecido por el num</w:t>
      </w:r>
      <w:r w:rsidR="002909ED">
        <w:rPr>
          <w:rFonts w:ascii="Arial" w:hAnsi="Arial" w:cs="Arial"/>
          <w:sz w:val="24"/>
          <w:szCs w:val="24"/>
        </w:rPr>
        <w:t>eral 4.1 de las Condiciones Técnicas y numeral 16.3 del Decreto N° 351/007;</w:t>
      </w:r>
    </w:p>
    <w:p w:rsidR="002909ED" w:rsidRPr="002909ED" w:rsidRDefault="007135BF"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002909ED">
        <w:rPr>
          <w:rFonts w:ascii="Arial" w:hAnsi="Arial" w:cs="Arial"/>
          <w:b/>
          <w:sz w:val="24"/>
          <w:szCs w:val="24"/>
        </w:rPr>
        <w:t>5</w:t>
      </w:r>
      <w:r w:rsidRPr="007135BF">
        <w:rPr>
          <w:rFonts w:ascii="Arial" w:hAnsi="Arial" w:cs="Arial"/>
          <w:b/>
          <w:sz w:val="24"/>
          <w:szCs w:val="24"/>
        </w:rPr>
        <w:t>)</w:t>
      </w:r>
      <w:r w:rsidR="002909ED">
        <w:rPr>
          <w:rFonts w:ascii="Arial" w:hAnsi="Arial" w:cs="Arial"/>
          <w:b/>
          <w:sz w:val="24"/>
          <w:szCs w:val="24"/>
        </w:rPr>
        <w:t xml:space="preserve"> </w:t>
      </w:r>
      <w:r w:rsidR="002909ED">
        <w:rPr>
          <w:rFonts w:ascii="Arial" w:hAnsi="Arial" w:cs="Arial"/>
          <w:sz w:val="24"/>
          <w:szCs w:val="24"/>
        </w:rPr>
        <w:t xml:space="preserve">que de dicho informe se confirió vista a los oferentes, presentando descargos únicamente las empresas Amén S.A. – </w:t>
      </w:r>
      <w:proofErr w:type="spellStart"/>
      <w:r w:rsidR="002909ED">
        <w:rPr>
          <w:rFonts w:ascii="Arial" w:hAnsi="Arial" w:cs="Arial"/>
          <w:sz w:val="24"/>
          <w:szCs w:val="24"/>
        </w:rPr>
        <w:t>Kybalion</w:t>
      </w:r>
      <w:proofErr w:type="spellEnd"/>
      <w:r w:rsidR="002909ED">
        <w:rPr>
          <w:rFonts w:ascii="Arial" w:hAnsi="Arial" w:cs="Arial"/>
          <w:sz w:val="24"/>
          <w:szCs w:val="24"/>
        </w:rPr>
        <w:t xml:space="preserve"> S.R.L e IPG Media </w:t>
      </w:r>
      <w:proofErr w:type="spellStart"/>
      <w:r w:rsidR="002909ED">
        <w:rPr>
          <w:rFonts w:ascii="Arial" w:hAnsi="Arial" w:cs="Arial"/>
          <w:sz w:val="24"/>
          <w:szCs w:val="24"/>
        </w:rPr>
        <w:t>Brands</w:t>
      </w:r>
      <w:proofErr w:type="spellEnd"/>
      <w:r w:rsidR="002909ED">
        <w:rPr>
          <w:rFonts w:ascii="Arial" w:hAnsi="Arial" w:cs="Arial"/>
          <w:sz w:val="24"/>
          <w:szCs w:val="24"/>
        </w:rPr>
        <w:t xml:space="preserve"> (sucursal Uruguay)</w:t>
      </w:r>
      <w:r w:rsidR="00744A9C">
        <w:rPr>
          <w:rFonts w:ascii="Arial" w:hAnsi="Arial" w:cs="Arial"/>
          <w:sz w:val="24"/>
          <w:szCs w:val="24"/>
        </w:rPr>
        <w:t>, peticionando la primera que se den por cumplidos los incumplimientos señalados y la segunda por subsanadas las observaciones en base a la documentación que aporta en esa instancia;</w:t>
      </w:r>
    </w:p>
    <w:p w:rsidR="007135BF" w:rsidRDefault="00744A9C"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Pr="00744A9C">
        <w:rPr>
          <w:rFonts w:ascii="Arial" w:hAnsi="Arial" w:cs="Arial"/>
          <w:b/>
          <w:sz w:val="24"/>
          <w:szCs w:val="24"/>
        </w:rPr>
        <w:t>6</w:t>
      </w:r>
      <w:r w:rsidR="007135BF" w:rsidRPr="007135BF">
        <w:rPr>
          <w:rFonts w:ascii="Arial" w:hAnsi="Arial" w:cs="Arial"/>
          <w:b/>
          <w:sz w:val="24"/>
          <w:szCs w:val="24"/>
        </w:rPr>
        <w:t>)</w:t>
      </w:r>
      <w:r w:rsidR="000B6C25">
        <w:rPr>
          <w:rFonts w:ascii="Arial" w:hAnsi="Arial" w:cs="Arial"/>
          <w:b/>
          <w:sz w:val="24"/>
          <w:szCs w:val="24"/>
        </w:rPr>
        <w:t xml:space="preserve"> </w:t>
      </w:r>
      <w:r w:rsidR="00F423C0">
        <w:rPr>
          <w:rFonts w:ascii="Arial" w:hAnsi="Arial" w:cs="Arial"/>
          <w:sz w:val="24"/>
          <w:szCs w:val="24"/>
        </w:rPr>
        <w:t>que con fecha 18.12.18, la Comisión produce nuevo informe, manteniendo en un todo su dictamen de fecha 23.11.18 y rechazando las observaciones presentadas</w:t>
      </w:r>
      <w:r w:rsidR="00B833E8">
        <w:rPr>
          <w:rFonts w:ascii="Arial" w:hAnsi="Arial" w:cs="Arial"/>
          <w:sz w:val="24"/>
          <w:szCs w:val="24"/>
        </w:rPr>
        <w:t xml:space="preserve"> por los oferentes referidos</w:t>
      </w:r>
      <w:r w:rsidR="007135BF">
        <w:rPr>
          <w:rFonts w:ascii="Arial" w:hAnsi="Arial" w:cs="Arial"/>
          <w:sz w:val="24"/>
          <w:szCs w:val="24"/>
        </w:rPr>
        <w:t>;</w:t>
      </w:r>
    </w:p>
    <w:p w:rsidR="001423E8" w:rsidRDefault="00F423C0"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Pr="00F423C0">
        <w:rPr>
          <w:rFonts w:ascii="Arial" w:hAnsi="Arial" w:cs="Arial"/>
          <w:b/>
          <w:sz w:val="24"/>
          <w:szCs w:val="24"/>
        </w:rPr>
        <w:t>7</w:t>
      </w:r>
      <w:r w:rsidR="007135BF" w:rsidRPr="007135BF">
        <w:rPr>
          <w:rFonts w:ascii="Arial" w:hAnsi="Arial" w:cs="Arial"/>
          <w:b/>
          <w:sz w:val="24"/>
          <w:szCs w:val="24"/>
        </w:rPr>
        <w:t>)</w:t>
      </w:r>
      <w:r w:rsidR="00391BD7">
        <w:rPr>
          <w:rFonts w:ascii="Arial" w:hAnsi="Arial" w:cs="Arial"/>
          <w:b/>
          <w:sz w:val="24"/>
          <w:szCs w:val="24"/>
        </w:rPr>
        <w:t xml:space="preserve"> </w:t>
      </w:r>
      <w:r w:rsidR="00391BD7">
        <w:rPr>
          <w:rFonts w:ascii="Arial" w:hAnsi="Arial" w:cs="Arial"/>
          <w:sz w:val="24"/>
          <w:szCs w:val="24"/>
        </w:rPr>
        <w:t xml:space="preserve">que </w:t>
      </w:r>
      <w:r w:rsidR="001423E8">
        <w:rPr>
          <w:rFonts w:ascii="Arial" w:hAnsi="Arial" w:cs="Arial"/>
          <w:sz w:val="24"/>
          <w:szCs w:val="24"/>
        </w:rPr>
        <w:t xml:space="preserve">    </w:t>
      </w:r>
      <w:r w:rsidR="00391BD7">
        <w:rPr>
          <w:rFonts w:ascii="Arial" w:hAnsi="Arial" w:cs="Arial"/>
          <w:sz w:val="24"/>
          <w:szCs w:val="24"/>
        </w:rPr>
        <w:t xml:space="preserve">la </w:t>
      </w:r>
      <w:r w:rsidR="001423E8">
        <w:rPr>
          <w:rFonts w:ascii="Arial" w:hAnsi="Arial" w:cs="Arial"/>
          <w:sz w:val="24"/>
          <w:szCs w:val="24"/>
        </w:rPr>
        <w:t xml:space="preserve">    </w:t>
      </w:r>
      <w:r w:rsidR="00391BD7">
        <w:rPr>
          <w:rFonts w:ascii="Arial" w:hAnsi="Arial" w:cs="Arial"/>
          <w:sz w:val="24"/>
          <w:szCs w:val="24"/>
        </w:rPr>
        <w:t xml:space="preserve">Sub </w:t>
      </w:r>
      <w:r w:rsidR="001423E8">
        <w:rPr>
          <w:rFonts w:ascii="Arial" w:hAnsi="Arial" w:cs="Arial"/>
          <w:sz w:val="24"/>
          <w:szCs w:val="24"/>
        </w:rPr>
        <w:t xml:space="preserve">  </w:t>
      </w:r>
      <w:r w:rsidR="00391BD7">
        <w:rPr>
          <w:rFonts w:ascii="Arial" w:hAnsi="Arial" w:cs="Arial"/>
          <w:sz w:val="24"/>
          <w:szCs w:val="24"/>
        </w:rPr>
        <w:t xml:space="preserve">– </w:t>
      </w:r>
      <w:r w:rsidR="001423E8">
        <w:rPr>
          <w:rFonts w:ascii="Arial" w:hAnsi="Arial" w:cs="Arial"/>
          <w:sz w:val="24"/>
          <w:szCs w:val="24"/>
        </w:rPr>
        <w:t xml:space="preserve">  </w:t>
      </w:r>
      <w:r w:rsidR="00391BD7">
        <w:rPr>
          <w:rFonts w:ascii="Arial" w:hAnsi="Arial" w:cs="Arial"/>
          <w:sz w:val="24"/>
          <w:szCs w:val="24"/>
        </w:rPr>
        <w:t xml:space="preserve">Gerencia </w:t>
      </w:r>
      <w:r w:rsidR="001423E8">
        <w:rPr>
          <w:rFonts w:ascii="Arial" w:hAnsi="Arial" w:cs="Arial"/>
          <w:sz w:val="24"/>
          <w:szCs w:val="24"/>
        </w:rPr>
        <w:t xml:space="preserve">  </w:t>
      </w:r>
      <w:r w:rsidR="00391BD7">
        <w:rPr>
          <w:rFonts w:ascii="Arial" w:hAnsi="Arial" w:cs="Arial"/>
          <w:sz w:val="24"/>
          <w:szCs w:val="24"/>
        </w:rPr>
        <w:t xml:space="preserve">por </w:t>
      </w:r>
      <w:r w:rsidR="001423E8">
        <w:rPr>
          <w:rFonts w:ascii="Arial" w:hAnsi="Arial" w:cs="Arial"/>
          <w:sz w:val="24"/>
          <w:szCs w:val="24"/>
        </w:rPr>
        <w:t xml:space="preserve">  </w:t>
      </w:r>
      <w:r w:rsidR="00391BD7">
        <w:rPr>
          <w:rFonts w:ascii="Arial" w:hAnsi="Arial" w:cs="Arial"/>
          <w:sz w:val="24"/>
          <w:szCs w:val="24"/>
        </w:rPr>
        <w:t xml:space="preserve">Resolución </w:t>
      </w:r>
    </w:p>
    <w:p w:rsidR="007135BF" w:rsidRDefault="00391BD7" w:rsidP="001423E8">
      <w:pPr>
        <w:spacing w:after="0" w:line="360" w:lineRule="auto"/>
        <w:jc w:val="both"/>
        <w:rPr>
          <w:rFonts w:ascii="Arial" w:hAnsi="Arial" w:cs="Arial"/>
          <w:sz w:val="24"/>
          <w:szCs w:val="24"/>
        </w:rPr>
      </w:pPr>
      <w:r>
        <w:rPr>
          <w:rFonts w:ascii="Arial" w:hAnsi="Arial" w:cs="Arial"/>
          <w:sz w:val="24"/>
          <w:szCs w:val="24"/>
        </w:rPr>
        <w:t xml:space="preserve">N° 716/18 de fecha 27.12.18, </w:t>
      </w:r>
      <w:r w:rsidR="00B833E8">
        <w:rPr>
          <w:rFonts w:ascii="Arial" w:hAnsi="Arial" w:cs="Arial"/>
          <w:sz w:val="24"/>
          <w:szCs w:val="24"/>
        </w:rPr>
        <w:t>-</w:t>
      </w:r>
      <w:r>
        <w:rPr>
          <w:rFonts w:ascii="Arial" w:hAnsi="Arial" w:cs="Arial"/>
          <w:sz w:val="24"/>
          <w:szCs w:val="24"/>
        </w:rPr>
        <w:t>en ejercicio de atribuciones delegadas</w:t>
      </w:r>
      <w:r w:rsidR="00B833E8">
        <w:rPr>
          <w:rFonts w:ascii="Arial" w:hAnsi="Arial" w:cs="Arial"/>
          <w:sz w:val="24"/>
          <w:szCs w:val="24"/>
        </w:rPr>
        <w:t>-</w:t>
      </w:r>
      <w:r>
        <w:rPr>
          <w:rFonts w:ascii="Arial" w:hAnsi="Arial" w:cs="Arial"/>
          <w:sz w:val="24"/>
          <w:szCs w:val="24"/>
        </w:rPr>
        <w:t>, dispuso dar por finalizado el procedimiento de Licitación Abreviada N° 1674/18, atento a lo dispuesto por el numeral 4.1 del Pliego, Resolución N° 813/15</w:t>
      </w:r>
      <w:r w:rsidR="00C84ADC">
        <w:rPr>
          <w:rFonts w:ascii="Arial" w:hAnsi="Arial" w:cs="Arial"/>
          <w:sz w:val="24"/>
          <w:szCs w:val="24"/>
        </w:rPr>
        <w:t xml:space="preserve"> y a lo </w:t>
      </w:r>
      <w:proofErr w:type="gramStart"/>
      <w:r w:rsidR="00C84ADC">
        <w:rPr>
          <w:rFonts w:ascii="Arial" w:hAnsi="Arial" w:cs="Arial"/>
          <w:sz w:val="24"/>
          <w:szCs w:val="24"/>
        </w:rPr>
        <w:t>informado</w:t>
      </w:r>
      <w:proofErr w:type="gramEnd"/>
      <w:r w:rsidR="00C84ADC">
        <w:rPr>
          <w:rFonts w:ascii="Arial" w:hAnsi="Arial" w:cs="Arial"/>
          <w:sz w:val="24"/>
          <w:szCs w:val="24"/>
        </w:rPr>
        <w:t xml:space="preserve"> por la Comisión Asesora de Adjudicaciones y por la Gerencia de Gestión de Contrataciones</w:t>
      </w:r>
      <w:r w:rsidR="00264FF2">
        <w:rPr>
          <w:rFonts w:ascii="Arial" w:hAnsi="Arial" w:cs="Arial"/>
          <w:sz w:val="24"/>
          <w:szCs w:val="24"/>
        </w:rPr>
        <w:t>;</w:t>
      </w:r>
    </w:p>
    <w:p w:rsidR="00264FF2" w:rsidRDefault="00AF36A7" w:rsidP="001423E8">
      <w:pPr>
        <w:spacing w:after="0" w:line="360" w:lineRule="auto"/>
        <w:ind w:firstLine="709"/>
        <w:jc w:val="both"/>
        <w:rPr>
          <w:rFonts w:ascii="Arial" w:hAnsi="Arial" w:cs="Arial"/>
          <w:sz w:val="24"/>
          <w:szCs w:val="24"/>
        </w:rPr>
      </w:pPr>
      <w:r w:rsidRPr="00AF36A7">
        <w:rPr>
          <w:rFonts w:ascii="Arial" w:hAnsi="Arial" w:cs="Arial"/>
          <w:b/>
          <w:sz w:val="24"/>
          <w:szCs w:val="24"/>
        </w:rPr>
        <w:t>CONSIDERANDO:</w:t>
      </w:r>
      <w:r>
        <w:rPr>
          <w:rFonts w:ascii="Arial" w:hAnsi="Arial" w:cs="Arial"/>
          <w:b/>
          <w:sz w:val="24"/>
          <w:szCs w:val="24"/>
        </w:rPr>
        <w:tab/>
        <w:t>1)</w:t>
      </w:r>
      <w:r w:rsidR="00895344">
        <w:rPr>
          <w:rFonts w:ascii="Arial" w:hAnsi="Arial" w:cs="Arial"/>
          <w:b/>
          <w:sz w:val="24"/>
          <w:szCs w:val="24"/>
        </w:rPr>
        <w:t xml:space="preserve"> </w:t>
      </w:r>
      <w:r w:rsidR="00CE2004">
        <w:rPr>
          <w:rFonts w:ascii="Arial" w:hAnsi="Arial" w:cs="Arial"/>
          <w:sz w:val="24"/>
          <w:szCs w:val="24"/>
        </w:rPr>
        <w:t xml:space="preserve">que no obstante </w:t>
      </w:r>
      <w:r w:rsidR="00014D4D">
        <w:rPr>
          <w:rFonts w:ascii="Arial" w:hAnsi="Arial" w:cs="Arial"/>
          <w:sz w:val="24"/>
          <w:szCs w:val="24"/>
        </w:rPr>
        <w:t xml:space="preserve">que </w:t>
      </w:r>
      <w:r w:rsidR="00CE2004">
        <w:rPr>
          <w:rFonts w:ascii="Arial" w:hAnsi="Arial" w:cs="Arial"/>
          <w:sz w:val="24"/>
          <w:szCs w:val="24"/>
        </w:rPr>
        <w:t>el procedimiento fue dado por finalizado por la Administración, existieron apartamientos a las normas que rigen los procedimientos de contratación</w:t>
      </w:r>
      <w:r w:rsidR="00B833E8">
        <w:rPr>
          <w:rFonts w:ascii="Arial" w:hAnsi="Arial" w:cs="Arial"/>
          <w:sz w:val="24"/>
          <w:szCs w:val="24"/>
        </w:rPr>
        <w:t xml:space="preserve"> que corresponde señalar</w:t>
      </w:r>
      <w:r w:rsidR="00CE2004">
        <w:rPr>
          <w:rFonts w:ascii="Arial" w:hAnsi="Arial" w:cs="Arial"/>
          <w:sz w:val="24"/>
          <w:szCs w:val="24"/>
        </w:rPr>
        <w:t>;</w:t>
      </w:r>
    </w:p>
    <w:p w:rsidR="008E500C" w:rsidRDefault="00CE2004"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Pr>
          <w:rFonts w:ascii="Arial" w:hAnsi="Arial" w:cs="Arial"/>
          <w:b/>
          <w:sz w:val="24"/>
          <w:szCs w:val="24"/>
        </w:rPr>
        <w:t xml:space="preserve">2) </w:t>
      </w:r>
      <w:r w:rsidR="00014D4D">
        <w:rPr>
          <w:rFonts w:ascii="Arial" w:hAnsi="Arial" w:cs="Arial"/>
          <w:sz w:val="24"/>
          <w:szCs w:val="24"/>
        </w:rPr>
        <w:t>que, en es</w:t>
      </w:r>
      <w:r w:rsidR="00B833E8">
        <w:rPr>
          <w:rFonts w:ascii="Arial" w:hAnsi="Arial" w:cs="Arial"/>
          <w:sz w:val="24"/>
          <w:szCs w:val="24"/>
        </w:rPr>
        <w:t>e sentido</w:t>
      </w:r>
      <w:r w:rsidR="00014D4D">
        <w:rPr>
          <w:rFonts w:ascii="Arial" w:hAnsi="Arial" w:cs="Arial"/>
          <w:sz w:val="24"/>
          <w:szCs w:val="24"/>
        </w:rPr>
        <w:t>,</w:t>
      </w:r>
      <w:r w:rsidR="00B833E8">
        <w:rPr>
          <w:rFonts w:ascii="Arial" w:hAnsi="Arial" w:cs="Arial"/>
          <w:sz w:val="24"/>
          <w:szCs w:val="24"/>
        </w:rPr>
        <w:t xml:space="preserve"> </w:t>
      </w:r>
      <w:r>
        <w:rPr>
          <w:rFonts w:ascii="Arial" w:hAnsi="Arial" w:cs="Arial"/>
          <w:sz w:val="24"/>
          <w:szCs w:val="24"/>
        </w:rPr>
        <w:t xml:space="preserve"> el artículo 2.2.1.3 del Pliego exige la presentación de los currículums vitae de los titulares que componen la socieda</w:t>
      </w:r>
      <w:r w:rsidR="00643F2B">
        <w:rPr>
          <w:rFonts w:ascii="Arial" w:hAnsi="Arial" w:cs="Arial"/>
          <w:sz w:val="24"/>
          <w:szCs w:val="24"/>
        </w:rPr>
        <w:t xml:space="preserve">d o representantes autorizados así como los </w:t>
      </w:r>
      <w:proofErr w:type="spellStart"/>
      <w:r w:rsidR="00643F2B">
        <w:rPr>
          <w:rFonts w:ascii="Arial" w:hAnsi="Arial" w:cs="Arial"/>
          <w:sz w:val="24"/>
          <w:szCs w:val="24"/>
        </w:rPr>
        <w:t>curriculums</w:t>
      </w:r>
      <w:proofErr w:type="spellEnd"/>
      <w:r w:rsidR="00B833E8">
        <w:rPr>
          <w:rFonts w:ascii="Arial" w:hAnsi="Arial" w:cs="Arial"/>
          <w:sz w:val="24"/>
          <w:szCs w:val="24"/>
        </w:rPr>
        <w:t xml:space="preserve"> </w:t>
      </w:r>
      <w:r w:rsidR="00643F2B">
        <w:rPr>
          <w:rFonts w:ascii="Arial" w:hAnsi="Arial" w:cs="Arial"/>
          <w:sz w:val="24"/>
          <w:szCs w:val="24"/>
        </w:rPr>
        <w:t>de los integrantes del D</w:t>
      </w:r>
      <w:r w:rsidR="00014D4D">
        <w:rPr>
          <w:rFonts w:ascii="Arial" w:hAnsi="Arial" w:cs="Arial"/>
          <w:sz w:val="24"/>
          <w:szCs w:val="24"/>
        </w:rPr>
        <w:t>irectorio</w:t>
      </w:r>
      <w:r>
        <w:rPr>
          <w:rFonts w:ascii="Arial" w:hAnsi="Arial" w:cs="Arial"/>
          <w:sz w:val="24"/>
          <w:szCs w:val="24"/>
        </w:rPr>
        <w:t xml:space="preserve"> </w:t>
      </w:r>
      <w:r w:rsidR="001E4FB5">
        <w:rPr>
          <w:rFonts w:ascii="Arial" w:hAnsi="Arial" w:cs="Arial"/>
          <w:sz w:val="24"/>
          <w:szCs w:val="24"/>
        </w:rPr>
        <w:t xml:space="preserve">y la forma de su presentación está establecida en </w:t>
      </w:r>
      <w:r>
        <w:rPr>
          <w:rFonts w:ascii="Arial" w:hAnsi="Arial" w:cs="Arial"/>
          <w:sz w:val="24"/>
          <w:szCs w:val="24"/>
        </w:rPr>
        <w:t xml:space="preserve"> 6.7 del </w:t>
      </w:r>
      <w:r w:rsidR="001E4FB5">
        <w:rPr>
          <w:rFonts w:ascii="Arial" w:hAnsi="Arial" w:cs="Arial"/>
          <w:sz w:val="24"/>
          <w:szCs w:val="24"/>
        </w:rPr>
        <w:t xml:space="preserve"> referido </w:t>
      </w:r>
      <w:r>
        <w:rPr>
          <w:rFonts w:ascii="Arial" w:hAnsi="Arial" w:cs="Arial"/>
          <w:sz w:val="24"/>
          <w:szCs w:val="24"/>
        </w:rPr>
        <w:t>Pliego</w:t>
      </w:r>
      <w:r w:rsidR="008E500C">
        <w:rPr>
          <w:rFonts w:ascii="Arial" w:hAnsi="Arial" w:cs="Arial"/>
          <w:sz w:val="24"/>
          <w:szCs w:val="24"/>
        </w:rPr>
        <w:t xml:space="preserve">; </w:t>
      </w:r>
    </w:p>
    <w:p w:rsidR="00F95FAC" w:rsidRPr="001423E8" w:rsidRDefault="008E500C"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001E4FB5">
        <w:rPr>
          <w:rFonts w:ascii="Arial" w:hAnsi="Arial" w:cs="Arial"/>
          <w:b/>
          <w:sz w:val="24"/>
          <w:szCs w:val="24"/>
        </w:rPr>
        <w:t>3</w:t>
      </w:r>
      <w:r>
        <w:rPr>
          <w:rFonts w:ascii="Arial" w:hAnsi="Arial" w:cs="Arial"/>
          <w:b/>
          <w:sz w:val="24"/>
          <w:szCs w:val="24"/>
        </w:rPr>
        <w:t>)</w:t>
      </w:r>
      <w:r w:rsidR="00F95FAC">
        <w:rPr>
          <w:rFonts w:ascii="Arial" w:hAnsi="Arial" w:cs="Arial"/>
          <w:b/>
          <w:sz w:val="24"/>
          <w:szCs w:val="24"/>
        </w:rPr>
        <w:t xml:space="preserve"> </w:t>
      </w:r>
      <w:r w:rsidR="00F95FAC" w:rsidRPr="00F95FAC">
        <w:rPr>
          <w:rFonts w:ascii="Arial" w:hAnsi="Arial" w:cs="Arial"/>
          <w:sz w:val="24"/>
          <w:szCs w:val="24"/>
        </w:rPr>
        <w:t xml:space="preserve">que </w:t>
      </w:r>
      <w:r w:rsidR="00A238A2">
        <w:rPr>
          <w:rFonts w:ascii="Arial" w:hAnsi="Arial" w:cs="Arial"/>
          <w:sz w:val="24"/>
          <w:szCs w:val="24"/>
        </w:rPr>
        <w:t>si bien</w:t>
      </w:r>
      <w:r w:rsidR="00CE2004">
        <w:rPr>
          <w:rFonts w:ascii="Arial" w:hAnsi="Arial" w:cs="Arial"/>
          <w:sz w:val="24"/>
          <w:szCs w:val="24"/>
        </w:rPr>
        <w:t xml:space="preserve"> esta exigencia se en</w:t>
      </w:r>
      <w:r w:rsidR="001E4FB5">
        <w:rPr>
          <w:rFonts w:ascii="Arial" w:hAnsi="Arial" w:cs="Arial"/>
          <w:sz w:val="24"/>
          <w:szCs w:val="24"/>
        </w:rPr>
        <w:t>cuentra contenida en parte</w:t>
      </w:r>
      <w:r w:rsidR="00373A77">
        <w:rPr>
          <w:rFonts w:ascii="Arial" w:hAnsi="Arial" w:cs="Arial"/>
          <w:sz w:val="24"/>
          <w:szCs w:val="24"/>
        </w:rPr>
        <w:t xml:space="preserve">, </w:t>
      </w:r>
      <w:r w:rsidR="001E4FB5">
        <w:rPr>
          <w:rFonts w:ascii="Arial" w:hAnsi="Arial" w:cs="Arial"/>
          <w:sz w:val="24"/>
          <w:szCs w:val="24"/>
        </w:rPr>
        <w:t xml:space="preserve"> en  el Pliego G</w:t>
      </w:r>
      <w:r w:rsidR="00373A77">
        <w:rPr>
          <w:rFonts w:ascii="Arial" w:hAnsi="Arial" w:cs="Arial"/>
          <w:sz w:val="24"/>
          <w:szCs w:val="24"/>
        </w:rPr>
        <w:t xml:space="preserve">eneral para la Contratación de Servicios de </w:t>
      </w:r>
      <w:r w:rsidR="00373A77">
        <w:rPr>
          <w:rFonts w:ascii="Arial" w:hAnsi="Arial" w:cs="Arial"/>
          <w:sz w:val="24"/>
          <w:szCs w:val="24"/>
        </w:rPr>
        <w:lastRenderedPageBreak/>
        <w:t>Agencias de P</w:t>
      </w:r>
      <w:r w:rsidR="00CE2004">
        <w:rPr>
          <w:rFonts w:ascii="Arial" w:hAnsi="Arial" w:cs="Arial"/>
          <w:sz w:val="24"/>
          <w:szCs w:val="24"/>
        </w:rPr>
        <w:t xml:space="preserve">ublicidad (Decreto Nº 351/007), el Pliego Particular debió recoger en este punto una solución acorde a lo establecido en la norma de superior jerarquía, esto es, el </w:t>
      </w:r>
      <w:r w:rsidR="00F95FAC">
        <w:rPr>
          <w:rFonts w:ascii="Arial" w:hAnsi="Arial" w:cs="Arial"/>
          <w:sz w:val="24"/>
          <w:szCs w:val="24"/>
        </w:rPr>
        <w:t>artículo 48, inciso 6 del TOCAF</w:t>
      </w:r>
      <w:r w:rsidR="001E4FB5">
        <w:rPr>
          <w:rFonts w:ascii="Arial" w:hAnsi="Arial" w:cs="Arial"/>
          <w:sz w:val="24"/>
          <w:szCs w:val="24"/>
        </w:rPr>
        <w:t xml:space="preserve">, y no extender las exigencias de presentación del </w:t>
      </w:r>
      <w:proofErr w:type="spellStart"/>
      <w:r w:rsidR="001E4FB5">
        <w:rPr>
          <w:rFonts w:ascii="Arial" w:hAnsi="Arial" w:cs="Arial"/>
          <w:sz w:val="24"/>
          <w:szCs w:val="24"/>
        </w:rPr>
        <w:t>curriculum</w:t>
      </w:r>
      <w:proofErr w:type="spellEnd"/>
      <w:r w:rsidR="001E4FB5">
        <w:rPr>
          <w:rFonts w:ascii="Arial" w:hAnsi="Arial" w:cs="Arial"/>
          <w:sz w:val="24"/>
          <w:szCs w:val="24"/>
        </w:rPr>
        <w:t xml:space="preserve">  mas allá de las necesarias a las personas que están vinculadas al objeto, sobre todo pensado en que puede tratarse de empresas con vinculaciones internacionales, lo que </w:t>
      </w:r>
      <w:r w:rsidR="00014D4D">
        <w:rPr>
          <w:rFonts w:ascii="Arial" w:hAnsi="Arial" w:cs="Arial"/>
          <w:sz w:val="24"/>
          <w:szCs w:val="24"/>
        </w:rPr>
        <w:t xml:space="preserve">dificultaría  el </w:t>
      </w:r>
      <w:r w:rsidR="00014D4D" w:rsidRPr="001423E8">
        <w:rPr>
          <w:rFonts w:ascii="Arial" w:hAnsi="Arial" w:cs="Arial"/>
          <w:sz w:val="24"/>
          <w:szCs w:val="24"/>
        </w:rPr>
        <w:t>cumplimiento de es</w:t>
      </w:r>
      <w:r w:rsidR="001E4FB5" w:rsidRPr="001423E8">
        <w:rPr>
          <w:rFonts w:ascii="Arial" w:hAnsi="Arial" w:cs="Arial"/>
          <w:sz w:val="24"/>
          <w:szCs w:val="24"/>
        </w:rPr>
        <w:t>e requisit</w:t>
      </w:r>
      <w:r w:rsidR="0017239C" w:rsidRPr="001423E8">
        <w:rPr>
          <w:rFonts w:ascii="Arial" w:hAnsi="Arial" w:cs="Arial"/>
          <w:sz w:val="24"/>
          <w:szCs w:val="24"/>
        </w:rPr>
        <w:t>o</w:t>
      </w:r>
      <w:r w:rsidR="00F95FAC" w:rsidRPr="001423E8">
        <w:rPr>
          <w:rFonts w:ascii="Arial" w:hAnsi="Arial" w:cs="Arial"/>
          <w:sz w:val="24"/>
          <w:szCs w:val="24"/>
        </w:rPr>
        <w:t>;</w:t>
      </w:r>
    </w:p>
    <w:p w:rsidR="0017239C" w:rsidRDefault="001E4FB5" w:rsidP="001423E8">
      <w:pPr>
        <w:spacing w:after="0" w:line="360" w:lineRule="auto"/>
        <w:jc w:val="both"/>
        <w:rPr>
          <w:rFonts w:ascii="Arial" w:hAnsi="Arial" w:cs="Arial"/>
          <w:sz w:val="24"/>
          <w:szCs w:val="24"/>
        </w:rPr>
      </w:pPr>
      <w:r w:rsidRPr="001423E8">
        <w:rPr>
          <w:rFonts w:ascii="Arial" w:hAnsi="Arial" w:cs="Arial"/>
          <w:sz w:val="24"/>
          <w:szCs w:val="24"/>
        </w:rPr>
        <w:tab/>
      </w:r>
      <w:r w:rsidRPr="001423E8">
        <w:rPr>
          <w:rFonts w:ascii="Arial" w:hAnsi="Arial" w:cs="Arial"/>
          <w:sz w:val="24"/>
          <w:szCs w:val="24"/>
        </w:rPr>
        <w:tab/>
      </w:r>
      <w:r w:rsidRPr="001423E8">
        <w:rPr>
          <w:rFonts w:ascii="Arial" w:hAnsi="Arial" w:cs="Arial"/>
          <w:sz w:val="24"/>
          <w:szCs w:val="24"/>
        </w:rPr>
        <w:tab/>
        <w:t xml:space="preserve">  </w:t>
      </w:r>
      <w:r w:rsidR="001423E8">
        <w:rPr>
          <w:rFonts w:ascii="Arial" w:hAnsi="Arial" w:cs="Arial"/>
          <w:sz w:val="24"/>
          <w:szCs w:val="24"/>
        </w:rPr>
        <w:t xml:space="preserve">          </w:t>
      </w:r>
      <w:r w:rsidRPr="001423E8">
        <w:rPr>
          <w:rFonts w:ascii="Arial" w:hAnsi="Arial" w:cs="Arial"/>
          <w:b/>
          <w:sz w:val="24"/>
          <w:szCs w:val="24"/>
        </w:rPr>
        <w:t xml:space="preserve">4) </w:t>
      </w:r>
      <w:r w:rsidR="00373A77" w:rsidRPr="001423E8">
        <w:rPr>
          <w:rFonts w:ascii="Arial" w:hAnsi="Arial" w:cs="Arial"/>
          <w:sz w:val="24"/>
          <w:szCs w:val="24"/>
        </w:rPr>
        <w:t xml:space="preserve">que </w:t>
      </w:r>
      <w:r w:rsidR="0017239C" w:rsidRPr="001423E8">
        <w:rPr>
          <w:rFonts w:ascii="Arial" w:hAnsi="Arial" w:cs="Arial"/>
          <w:sz w:val="24"/>
          <w:szCs w:val="24"/>
        </w:rPr>
        <w:t>el artículo 2.2.6 del Pliego estableció que “Durante el estudio de las ofertas la Administración podrá solicitar ampliación de la información técnica, otorgando plazo para ello. En caso de no presentar lo solicitado en el plazo estipulado, se descartará la oferta”, lo cual otorga una</w:t>
      </w:r>
      <w:r w:rsidR="0017239C">
        <w:rPr>
          <w:rFonts w:ascii="Arial" w:hAnsi="Arial" w:cs="Arial"/>
          <w:sz w:val="24"/>
          <w:szCs w:val="24"/>
        </w:rPr>
        <w:t xml:space="preserve"> amplitud que contraviene  lo establecido  por los artículo 65 (incisos 7 y 8) del TOCAF por  cuanto el mismo autoriza a la Administración a otorgar un plazo de dos días para “salvar los defectos, carencias formales o errores evidentes…” y también lo previsto por el artículo 66 inciso 3 literal 2ª” del mismo Texto Ordenado, que solo habilita a la administración a solicitar  “aclaraciones necesarias, no pudiendo pedir ni permitir que se modifique el contenido de la oferta…” , cualquier otra “modificación” o incorporación de nuevos elementos que no sean meras aclaraciones o errores evidentes, no encuadra dentro de la normativa citada; </w:t>
      </w:r>
    </w:p>
    <w:p w:rsidR="00373A77" w:rsidRDefault="0017239C" w:rsidP="004C06D2">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Pr="001423E8">
        <w:rPr>
          <w:rFonts w:ascii="Arial" w:hAnsi="Arial" w:cs="Arial"/>
          <w:b/>
          <w:sz w:val="24"/>
          <w:szCs w:val="24"/>
        </w:rPr>
        <w:t xml:space="preserve">5) </w:t>
      </w:r>
      <w:r w:rsidR="00970DBF" w:rsidRPr="001423E8">
        <w:rPr>
          <w:rFonts w:ascii="Arial" w:hAnsi="Arial" w:cs="Arial"/>
          <w:sz w:val="24"/>
          <w:szCs w:val="24"/>
        </w:rPr>
        <w:t>que p</w:t>
      </w:r>
      <w:r w:rsidR="00DC754A" w:rsidRPr="001423E8">
        <w:rPr>
          <w:rFonts w:ascii="Arial" w:hAnsi="Arial" w:cs="Arial"/>
          <w:sz w:val="24"/>
          <w:szCs w:val="24"/>
        </w:rPr>
        <w:t xml:space="preserve">or su parte, </w:t>
      </w:r>
      <w:r w:rsidR="00373A77" w:rsidRPr="001423E8">
        <w:rPr>
          <w:rFonts w:ascii="Arial" w:hAnsi="Arial" w:cs="Arial"/>
          <w:sz w:val="24"/>
          <w:szCs w:val="24"/>
        </w:rPr>
        <w:t xml:space="preserve">el </w:t>
      </w:r>
      <w:r w:rsidR="004C06D2" w:rsidRPr="001423E8">
        <w:rPr>
          <w:rFonts w:ascii="Arial" w:hAnsi="Arial" w:cs="Arial"/>
          <w:sz w:val="24"/>
          <w:szCs w:val="24"/>
        </w:rPr>
        <w:t xml:space="preserve"> artículo 3.2.1 del Pliego</w:t>
      </w:r>
      <w:r w:rsidR="00C22212" w:rsidRPr="001423E8">
        <w:rPr>
          <w:rFonts w:ascii="Arial" w:hAnsi="Arial" w:cs="Arial"/>
          <w:b/>
          <w:sz w:val="24"/>
          <w:szCs w:val="24"/>
        </w:rPr>
        <w:t xml:space="preserve"> </w:t>
      </w:r>
      <w:r w:rsidR="004C06D2" w:rsidRPr="001423E8">
        <w:rPr>
          <w:rFonts w:ascii="Arial" w:hAnsi="Arial" w:cs="Arial"/>
          <w:sz w:val="24"/>
          <w:szCs w:val="24"/>
        </w:rPr>
        <w:t>establec</w:t>
      </w:r>
      <w:r w:rsidR="00EF21AD" w:rsidRPr="001423E8">
        <w:rPr>
          <w:rFonts w:ascii="Arial" w:hAnsi="Arial" w:cs="Arial"/>
          <w:sz w:val="24"/>
          <w:szCs w:val="24"/>
        </w:rPr>
        <w:t>ió</w:t>
      </w:r>
      <w:r w:rsidR="004C06D2" w:rsidRPr="001423E8">
        <w:rPr>
          <w:rFonts w:ascii="Arial" w:hAnsi="Arial" w:cs="Arial"/>
          <w:sz w:val="24"/>
          <w:szCs w:val="24"/>
        </w:rPr>
        <w:t xml:space="preserve"> que “para proceder al estudio técnico” los oferentes deb</w:t>
      </w:r>
      <w:r w:rsidR="00EF21AD" w:rsidRPr="001423E8">
        <w:rPr>
          <w:rFonts w:ascii="Arial" w:hAnsi="Arial" w:cs="Arial"/>
          <w:sz w:val="24"/>
          <w:szCs w:val="24"/>
        </w:rPr>
        <w:t>ían</w:t>
      </w:r>
      <w:r w:rsidR="004C06D2" w:rsidRPr="001423E8">
        <w:rPr>
          <w:rFonts w:ascii="Arial" w:hAnsi="Arial" w:cs="Arial"/>
          <w:sz w:val="24"/>
          <w:szCs w:val="24"/>
        </w:rPr>
        <w:t xml:space="preserve"> cumplir</w:t>
      </w:r>
      <w:r w:rsidR="004C06D2">
        <w:rPr>
          <w:rFonts w:ascii="Arial" w:hAnsi="Arial" w:cs="Arial"/>
          <w:sz w:val="24"/>
          <w:szCs w:val="24"/>
        </w:rPr>
        <w:t xml:space="preserve"> obligatoriamente los requisitos</w:t>
      </w:r>
      <w:r w:rsidR="00373A77">
        <w:rPr>
          <w:rFonts w:ascii="Arial" w:hAnsi="Arial" w:cs="Arial"/>
          <w:sz w:val="24"/>
          <w:szCs w:val="24"/>
        </w:rPr>
        <w:t xml:space="preserve"> </w:t>
      </w:r>
      <w:r w:rsidR="004C06D2">
        <w:rPr>
          <w:rFonts w:ascii="Arial" w:hAnsi="Arial" w:cs="Arial"/>
          <w:sz w:val="24"/>
          <w:szCs w:val="24"/>
        </w:rPr>
        <w:t xml:space="preserve"> señalados en</w:t>
      </w:r>
      <w:r w:rsidR="00C22212">
        <w:rPr>
          <w:rFonts w:ascii="Arial" w:hAnsi="Arial" w:cs="Arial"/>
          <w:sz w:val="24"/>
          <w:szCs w:val="24"/>
        </w:rPr>
        <w:t xml:space="preserve"> el artículo 3.2.1.1 a 3.2.1.3, </w:t>
      </w:r>
      <w:r w:rsidR="00373A77">
        <w:rPr>
          <w:rFonts w:ascii="Arial" w:hAnsi="Arial" w:cs="Arial"/>
          <w:sz w:val="24"/>
          <w:szCs w:val="24"/>
        </w:rPr>
        <w:t xml:space="preserve"> (como de admisibilidad) y </w:t>
      </w:r>
      <w:r w:rsidR="00014D4D">
        <w:rPr>
          <w:rFonts w:ascii="Arial" w:hAnsi="Arial" w:cs="Arial"/>
          <w:sz w:val="24"/>
          <w:szCs w:val="24"/>
        </w:rPr>
        <w:t>más</w:t>
      </w:r>
      <w:r w:rsidR="00373A77">
        <w:rPr>
          <w:rFonts w:ascii="Arial" w:hAnsi="Arial" w:cs="Arial"/>
          <w:sz w:val="24"/>
          <w:szCs w:val="24"/>
        </w:rPr>
        <w:t xml:space="preserve"> adelante refiere a  otros requisitos </w:t>
      </w:r>
      <w:r w:rsidR="004C06D2">
        <w:rPr>
          <w:rFonts w:ascii="Arial" w:hAnsi="Arial" w:cs="Arial"/>
          <w:sz w:val="24"/>
          <w:szCs w:val="24"/>
        </w:rPr>
        <w:t xml:space="preserve"> en los artículo</w:t>
      </w:r>
      <w:r w:rsidR="00C22212">
        <w:rPr>
          <w:rFonts w:ascii="Arial" w:hAnsi="Arial" w:cs="Arial"/>
          <w:sz w:val="24"/>
          <w:szCs w:val="24"/>
        </w:rPr>
        <w:t>s 2.2.1, 2.2.2 y 2.2.4 a 2.2.6</w:t>
      </w:r>
      <w:r w:rsidR="00373A77">
        <w:rPr>
          <w:rFonts w:ascii="Arial" w:hAnsi="Arial" w:cs="Arial"/>
          <w:sz w:val="24"/>
          <w:szCs w:val="24"/>
        </w:rPr>
        <w:t xml:space="preserve"> ( que no están incluidos como de admisibilidad por el anterior) pero en la evaluación  de la </w:t>
      </w:r>
      <w:r w:rsidR="004C06D2">
        <w:rPr>
          <w:rFonts w:ascii="Arial" w:hAnsi="Arial" w:cs="Arial"/>
          <w:sz w:val="24"/>
          <w:szCs w:val="24"/>
        </w:rPr>
        <w:t xml:space="preserve">Comisión Asesora de Adjudicaciones también </w:t>
      </w:r>
      <w:r w:rsidR="00373A77">
        <w:rPr>
          <w:rFonts w:ascii="Arial" w:hAnsi="Arial" w:cs="Arial"/>
          <w:sz w:val="24"/>
          <w:szCs w:val="24"/>
        </w:rPr>
        <w:t xml:space="preserve">fueron considerados como de admisibilidad y por ello descartadas algunas ofertas; </w:t>
      </w:r>
    </w:p>
    <w:p w:rsidR="001E48FE" w:rsidRPr="001423E8" w:rsidRDefault="001446F8" w:rsidP="001E48FE">
      <w:pPr>
        <w:spacing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001423E8">
        <w:rPr>
          <w:rFonts w:ascii="Arial" w:hAnsi="Arial" w:cs="Arial"/>
          <w:sz w:val="24"/>
          <w:szCs w:val="24"/>
        </w:rPr>
        <w:t xml:space="preserve">                </w:t>
      </w:r>
      <w:r w:rsidR="00373A77">
        <w:rPr>
          <w:rFonts w:ascii="Arial" w:hAnsi="Arial" w:cs="Arial"/>
          <w:b/>
          <w:sz w:val="24"/>
          <w:szCs w:val="24"/>
        </w:rPr>
        <w:t>6</w:t>
      </w:r>
      <w:r>
        <w:rPr>
          <w:rFonts w:ascii="Arial" w:hAnsi="Arial" w:cs="Arial"/>
          <w:b/>
          <w:sz w:val="24"/>
          <w:szCs w:val="24"/>
        </w:rPr>
        <w:t xml:space="preserve">) </w:t>
      </w:r>
      <w:r w:rsidRPr="001446F8">
        <w:rPr>
          <w:rFonts w:ascii="Arial" w:hAnsi="Arial" w:cs="Arial"/>
          <w:sz w:val="24"/>
          <w:szCs w:val="24"/>
        </w:rPr>
        <w:t>que</w:t>
      </w:r>
      <w:r w:rsidR="004C06D2">
        <w:rPr>
          <w:rFonts w:ascii="Arial" w:hAnsi="Arial" w:cs="Arial"/>
          <w:sz w:val="24"/>
          <w:szCs w:val="24"/>
        </w:rPr>
        <w:t xml:space="preserve"> </w:t>
      </w:r>
      <w:r w:rsidR="00014D4D">
        <w:rPr>
          <w:rFonts w:ascii="Arial" w:hAnsi="Arial" w:cs="Arial"/>
          <w:sz w:val="24"/>
          <w:szCs w:val="24"/>
        </w:rPr>
        <w:t>e</w:t>
      </w:r>
      <w:r w:rsidR="00373A77">
        <w:rPr>
          <w:rFonts w:ascii="Arial" w:hAnsi="Arial" w:cs="Arial"/>
          <w:sz w:val="24"/>
          <w:szCs w:val="24"/>
        </w:rPr>
        <w:t xml:space="preserve">ste proceder de la Comisión Asesora, en el estudio de las ofertas </w:t>
      </w:r>
      <w:r w:rsidR="004C06D2">
        <w:rPr>
          <w:rFonts w:ascii="Arial" w:hAnsi="Arial" w:cs="Arial"/>
          <w:sz w:val="24"/>
          <w:szCs w:val="24"/>
        </w:rPr>
        <w:t xml:space="preserve"> </w:t>
      </w:r>
      <w:r w:rsidR="00373A77">
        <w:rPr>
          <w:rFonts w:ascii="Arial" w:hAnsi="Arial" w:cs="Arial"/>
          <w:sz w:val="24"/>
          <w:szCs w:val="24"/>
        </w:rPr>
        <w:t xml:space="preserve">- incluyendo </w:t>
      </w:r>
      <w:r w:rsidR="004C06D2">
        <w:rPr>
          <w:rFonts w:ascii="Arial" w:hAnsi="Arial" w:cs="Arial"/>
          <w:sz w:val="24"/>
          <w:szCs w:val="24"/>
        </w:rPr>
        <w:t>“Requisitos o</w:t>
      </w:r>
      <w:r>
        <w:rPr>
          <w:rFonts w:ascii="Arial" w:hAnsi="Arial" w:cs="Arial"/>
          <w:sz w:val="24"/>
          <w:szCs w:val="24"/>
        </w:rPr>
        <w:t>bl</w:t>
      </w:r>
      <w:r w:rsidR="00373A77">
        <w:rPr>
          <w:rFonts w:ascii="Arial" w:hAnsi="Arial" w:cs="Arial"/>
          <w:sz w:val="24"/>
          <w:szCs w:val="24"/>
        </w:rPr>
        <w:t>igatorios” y estudio técnico</w:t>
      </w:r>
      <w:r w:rsidR="0012188B">
        <w:rPr>
          <w:rFonts w:ascii="Arial" w:hAnsi="Arial" w:cs="Arial"/>
          <w:sz w:val="24"/>
          <w:szCs w:val="24"/>
        </w:rPr>
        <w:t xml:space="preserve"> y descartando luego las ofertas por no cumplir “requisitos de admisibilidad en la parte técnica” no solo no es clara, sino que incumple lo establecido </w:t>
      </w:r>
      <w:r w:rsidR="00373A77">
        <w:rPr>
          <w:rFonts w:ascii="Arial" w:hAnsi="Arial" w:cs="Arial"/>
          <w:sz w:val="24"/>
          <w:szCs w:val="24"/>
        </w:rPr>
        <w:t xml:space="preserve"> </w:t>
      </w:r>
      <w:r w:rsidR="00643F2B">
        <w:rPr>
          <w:rFonts w:ascii="Arial" w:hAnsi="Arial" w:cs="Arial"/>
          <w:sz w:val="24"/>
          <w:szCs w:val="24"/>
        </w:rPr>
        <w:t>por</w:t>
      </w:r>
      <w:r w:rsidR="001E48FE">
        <w:rPr>
          <w:rFonts w:ascii="Arial" w:hAnsi="Arial" w:cs="Arial"/>
          <w:sz w:val="24"/>
          <w:szCs w:val="24"/>
        </w:rPr>
        <w:t xml:space="preserve"> </w:t>
      </w:r>
      <w:r w:rsidR="001E48FE" w:rsidRPr="001E48FE">
        <w:rPr>
          <w:rFonts w:ascii="Arial" w:hAnsi="Arial" w:cs="Arial"/>
          <w:sz w:val="24"/>
          <w:szCs w:val="24"/>
        </w:rPr>
        <w:t xml:space="preserve">el </w:t>
      </w:r>
      <w:r w:rsidR="001E48FE" w:rsidRPr="001423E8">
        <w:rPr>
          <w:rFonts w:ascii="Arial" w:hAnsi="Arial" w:cs="Arial"/>
          <w:sz w:val="24"/>
          <w:szCs w:val="24"/>
        </w:rPr>
        <w:t>artículo</w:t>
      </w:r>
      <w:r w:rsidR="00643F2B" w:rsidRPr="001423E8">
        <w:rPr>
          <w:rFonts w:ascii="Arial" w:hAnsi="Arial" w:cs="Arial"/>
          <w:sz w:val="24"/>
          <w:szCs w:val="24"/>
        </w:rPr>
        <w:t xml:space="preserve"> </w:t>
      </w:r>
      <w:r w:rsidR="001E48FE" w:rsidRPr="001423E8">
        <w:rPr>
          <w:rFonts w:ascii="Arial" w:hAnsi="Arial" w:cs="Arial"/>
          <w:sz w:val="24"/>
          <w:szCs w:val="24"/>
        </w:rPr>
        <w:t xml:space="preserve"> 65, inciso 12, literal “c” del TOCAF  establece que “Se deberá: (…) C) Juzgar los antecedentes de los oferentes y el contenido de las ofertas en base a los criterios objetivos que se determinen en los </w:t>
      </w:r>
      <w:r w:rsidR="0012188B" w:rsidRPr="001423E8">
        <w:rPr>
          <w:rFonts w:ascii="Arial" w:hAnsi="Arial" w:cs="Arial"/>
          <w:sz w:val="24"/>
          <w:szCs w:val="24"/>
        </w:rPr>
        <w:t>P</w:t>
      </w:r>
      <w:r w:rsidR="001E48FE" w:rsidRPr="001423E8">
        <w:rPr>
          <w:rFonts w:ascii="Arial" w:hAnsi="Arial" w:cs="Arial"/>
          <w:sz w:val="24"/>
          <w:szCs w:val="24"/>
        </w:rPr>
        <w:t>liegos”;</w:t>
      </w:r>
    </w:p>
    <w:p w:rsidR="0012188B" w:rsidRPr="001423E8" w:rsidRDefault="00EC38B3" w:rsidP="001423E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423E8" w:rsidRPr="001423E8">
        <w:rPr>
          <w:rFonts w:ascii="Arial" w:hAnsi="Arial" w:cs="Arial"/>
          <w:sz w:val="24"/>
          <w:szCs w:val="24"/>
        </w:rPr>
        <w:t xml:space="preserve">                </w:t>
      </w:r>
      <w:r w:rsidR="0012188B" w:rsidRPr="001423E8">
        <w:rPr>
          <w:rFonts w:ascii="Arial" w:hAnsi="Arial" w:cs="Arial"/>
          <w:b/>
          <w:sz w:val="24"/>
          <w:szCs w:val="24"/>
        </w:rPr>
        <w:t>7</w:t>
      </w:r>
      <w:r w:rsidRPr="001423E8">
        <w:rPr>
          <w:rFonts w:ascii="Arial" w:hAnsi="Arial" w:cs="Arial"/>
          <w:b/>
          <w:sz w:val="24"/>
          <w:szCs w:val="24"/>
        </w:rPr>
        <w:t xml:space="preserve">) </w:t>
      </w:r>
      <w:r w:rsidRPr="001423E8">
        <w:rPr>
          <w:rFonts w:ascii="Arial" w:hAnsi="Arial" w:cs="Arial"/>
          <w:sz w:val="24"/>
          <w:szCs w:val="24"/>
        </w:rPr>
        <w:t xml:space="preserve">que </w:t>
      </w:r>
      <w:r w:rsidR="001E48FE" w:rsidRPr="001423E8">
        <w:rPr>
          <w:rFonts w:ascii="Arial" w:hAnsi="Arial" w:cs="Arial"/>
          <w:sz w:val="24"/>
          <w:szCs w:val="24"/>
        </w:rPr>
        <w:t>el artículo 4.1 del Pliego en su inciso 3º establece que “…</w:t>
      </w:r>
      <w:proofErr w:type="spellStart"/>
      <w:r w:rsidR="001E48FE" w:rsidRPr="001423E8">
        <w:rPr>
          <w:rFonts w:ascii="Arial" w:hAnsi="Arial" w:cs="Arial"/>
          <w:sz w:val="24"/>
          <w:szCs w:val="24"/>
        </w:rPr>
        <w:t>Antel</w:t>
      </w:r>
      <w:proofErr w:type="spellEnd"/>
      <w:r w:rsidR="001E48FE" w:rsidRPr="001423E8">
        <w:rPr>
          <w:rFonts w:ascii="Arial" w:hAnsi="Arial" w:cs="Arial"/>
          <w:sz w:val="24"/>
          <w:szCs w:val="24"/>
        </w:rPr>
        <w:t xml:space="preserve"> se reserva el derecho de rechazar todas las ofertas si a su exclusivo juicio lo estimare conveniente, o dejar sin efecto la licitación en cualquier etapa del trámite en que esta se encuentre”</w:t>
      </w:r>
      <w:r w:rsidR="0012188B" w:rsidRPr="001423E8">
        <w:rPr>
          <w:rFonts w:ascii="Arial" w:hAnsi="Arial" w:cs="Arial"/>
          <w:sz w:val="24"/>
          <w:szCs w:val="24"/>
        </w:rPr>
        <w:t xml:space="preserve">, lo que </w:t>
      </w:r>
      <w:r w:rsidR="00014D4D" w:rsidRPr="001423E8">
        <w:rPr>
          <w:rFonts w:ascii="Arial" w:hAnsi="Arial" w:cs="Arial"/>
          <w:sz w:val="24"/>
          <w:szCs w:val="24"/>
        </w:rPr>
        <w:t xml:space="preserve">deberá ajustarse a lo dispuesto por el inciso 1 del </w:t>
      </w:r>
      <w:proofErr w:type="spellStart"/>
      <w:r w:rsidR="00014D4D" w:rsidRPr="001423E8">
        <w:rPr>
          <w:rFonts w:ascii="Arial" w:hAnsi="Arial" w:cs="Arial"/>
          <w:sz w:val="24"/>
          <w:szCs w:val="24"/>
        </w:rPr>
        <w:t>A°</w:t>
      </w:r>
      <w:proofErr w:type="spellEnd"/>
      <w:r w:rsidR="00014D4D" w:rsidRPr="001423E8">
        <w:rPr>
          <w:rFonts w:ascii="Arial" w:hAnsi="Arial" w:cs="Arial"/>
          <w:sz w:val="24"/>
          <w:szCs w:val="24"/>
        </w:rPr>
        <w:t xml:space="preserve"> 68 del TOCAF</w:t>
      </w:r>
      <w:r w:rsidR="00643F2B" w:rsidRPr="001423E8">
        <w:rPr>
          <w:rFonts w:ascii="Arial" w:hAnsi="Arial" w:cs="Arial"/>
          <w:sz w:val="24"/>
          <w:szCs w:val="24"/>
        </w:rPr>
        <w:t xml:space="preserve">; </w:t>
      </w:r>
    </w:p>
    <w:p w:rsidR="001E48FE" w:rsidRPr="0012188B" w:rsidRDefault="0012188B" w:rsidP="001423E8">
      <w:pPr>
        <w:spacing w:after="0" w:line="360" w:lineRule="auto"/>
        <w:ind w:firstLine="708"/>
        <w:jc w:val="both"/>
        <w:rPr>
          <w:rFonts w:ascii="Arial" w:hAnsi="Arial" w:cs="Arial"/>
          <w:sz w:val="24"/>
          <w:szCs w:val="24"/>
        </w:rPr>
      </w:pPr>
      <w:r>
        <w:rPr>
          <w:rFonts w:ascii="Arial" w:hAnsi="Arial" w:cs="Arial"/>
          <w:sz w:val="24"/>
          <w:szCs w:val="24"/>
        </w:rPr>
        <w:t xml:space="preserve">                   </w:t>
      </w:r>
      <w:r w:rsidR="001423E8">
        <w:rPr>
          <w:rFonts w:ascii="Arial" w:hAnsi="Arial" w:cs="Arial"/>
          <w:sz w:val="24"/>
          <w:szCs w:val="24"/>
        </w:rPr>
        <w:t xml:space="preserve">                  </w:t>
      </w:r>
      <w:r w:rsidRPr="0012188B">
        <w:rPr>
          <w:rFonts w:ascii="Arial" w:hAnsi="Arial" w:cs="Arial"/>
          <w:b/>
          <w:sz w:val="24"/>
          <w:szCs w:val="24"/>
        </w:rPr>
        <w:t>8)</w:t>
      </w:r>
      <w:r w:rsidR="00EC38B3">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que al respecto, corresponde señalar que si bien dicha previsión se encuentra establecida en el art. 16.3 del Decreto 351/2007</w:t>
      </w:r>
      <w:r w:rsidR="0070136F">
        <w:rPr>
          <w:rFonts w:ascii="Arial" w:hAnsi="Arial" w:cs="Arial"/>
          <w:sz w:val="24"/>
          <w:szCs w:val="24"/>
        </w:rPr>
        <w:t xml:space="preserve">, y </w:t>
      </w:r>
      <w:r>
        <w:rPr>
          <w:rFonts w:ascii="Arial" w:hAnsi="Arial" w:cs="Arial"/>
          <w:sz w:val="24"/>
          <w:szCs w:val="24"/>
        </w:rPr>
        <w:t xml:space="preserve"> establece la posibilidad de declarar desierto el llamado o rechazar todas las ofertas inadmisibles,  no establece la posibilidad de que dicho proceder sea en base a su “exclusivo juicio”, sino que, cómo cualquier acto administrativo el mismo debe ser motivado, por lo </w:t>
      </w:r>
      <w:r w:rsidR="0070136F">
        <w:rPr>
          <w:rFonts w:ascii="Arial" w:hAnsi="Arial" w:cs="Arial"/>
          <w:sz w:val="24"/>
          <w:szCs w:val="24"/>
        </w:rPr>
        <w:t xml:space="preserve">cual la </w:t>
      </w:r>
      <w:r w:rsidR="001E48FE" w:rsidRPr="00B41030">
        <w:rPr>
          <w:rFonts w:ascii="Arial" w:hAnsi="Arial" w:cs="Arial"/>
          <w:sz w:val="24"/>
          <w:szCs w:val="24"/>
          <w:lang w:val="es-ES"/>
        </w:rPr>
        <w:t xml:space="preserve"> Administración, al momento de confeccionar las </w:t>
      </w:r>
      <w:r w:rsidR="0070136F">
        <w:rPr>
          <w:rFonts w:ascii="Arial" w:hAnsi="Arial" w:cs="Arial"/>
          <w:sz w:val="24"/>
          <w:szCs w:val="24"/>
          <w:lang w:val="es-ES"/>
        </w:rPr>
        <w:t xml:space="preserve">bases del llamado debe ajustarse a dicho principio; </w:t>
      </w:r>
    </w:p>
    <w:p w:rsidR="005F20AA" w:rsidRDefault="000A6677" w:rsidP="001423E8">
      <w:pPr>
        <w:spacing w:after="0" w:line="360" w:lineRule="auto"/>
        <w:jc w:val="both"/>
        <w:rPr>
          <w:rFonts w:ascii="Arial" w:hAnsi="Arial" w:cs="Arial"/>
          <w:sz w:val="24"/>
          <w:szCs w:val="24"/>
          <w:lang w:val="es-ES"/>
        </w:rPr>
      </w:pP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sidR="001423E8">
        <w:rPr>
          <w:rFonts w:ascii="Arial" w:hAnsi="Arial" w:cs="Arial"/>
          <w:sz w:val="24"/>
          <w:szCs w:val="24"/>
          <w:lang w:val="es-ES"/>
        </w:rPr>
        <w:t xml:space="preserve">                  </w:t>
      </w:r>
      <w:r w:rsidR="0070136F">
        <w:rPr>
          <w:rFonts w:ascii="Arial" w:hAnsi="Arial" w:cs="Arial"/>
          <w:b/>
          <w:sz w:val="24"/>
          <w:szCs w:val="24"/>
          <w:lang w:val="es-ES"/>
        </w:rPr>
        <w:t>9</w:t>
      </w:r>
      <w:r>
        <w:rPr>
          <w:rFonts w:ascii="Arial" w:hAnsi="Arial" w:cs="Arial"/>
          <w:b/>
          <w:sz w:val="24"/>
          <w:szCs w:val="24"/>
          <w:lang w:val="es-ES"/>
        </w:rPr>
        <w:t xml:space="preserve">) </w:t>
      </w:r>
      <w:r w:rsidR="005F20AA">
        <w:rPr>
          <w:rFonts w:ascii="Arial" w:hAnsi="Arial" w:cs="Arial"/>
          <w:sz w:val="24"/>
          <w:szCs w:val="24"/>
          <w:lang w:val="es-ES"/>
        </w:rPr>
        <w:t>que la División Contrataciones con fecha 06.09.18 informó que la Comisión estaría integrada por las personas allí indicad</w:t>
      </w:r>
      <w:r w:rsidR="00014D4D">
        <w:rPr>
          <w:rFonts w:ascii="Arial" w:hAnsi="Arial" w:cs="Arial"/>
          <w:sz w:val="24"/>
          <w:szCs w:val="24"/>
          <w:lang w:val="es-ES"/>
        </w:rPr>
        <w:t>as</w:t>
      </w:r>
      <w:r w:rsidR="0070136F">
        <w:rPr>
          <w:rFonts w:ascii="Arial" w:hAnsi="Arial" w:cs="Arial"/>
          <w:sz w:val="24"/>
          <w:szCs w:val="24"/>
          <w:lang w:val="es-ES"/>
        </w:rPr>
        <w:t xml:space="preserve"> </w:t>
      </w:r>
      <w:r w:rsidR="00014D4D">
        <w:rPr>
          <w:rFonts w:ascii="Arial" w:hAnsi="Arial" w:cs="Arial"/>
          <w:sz w:val="24"/>
          <w:szCs w:val="24"/>
          <w:lang w:val="es-ES"/>
        </w:rPr>
        <w:t>y estableció</w:t>
      </w:r>
      <w:r w:rsidR="0070136F">
        <w:rPr>
          <w:rFonts w:ascii="Arial" w:hAnsi="Arial" w:cs="Arial"/>
          <w:sz w:val="24"/>
          <w:szCs w:val="24"/>
          <w:lang w:val="es-ES"/>
        </w:rPr>
        <w:t xml:space="preserve"> </w:t>
      </w:r>
      <w:r w:rsidR="005F20AA">
        <w:rPr>
          <w:rFonts w:ascii="Arial" w:hAnsi="Arial" w:cs="Arial"/>
          <w:sz w:val="24"/>
          <w:szCs w:val="24"/>
          <w:lang w:val="es-ES"/>
        </w:rPr>
        <w:t>los plazos con los que co</w:t>
      </w:r>
      <w:r w:rsidR="0070136F">
        <w:rPr>
          <w:rFonts w:ascii="Arial" w:hAnsi="Arial" w:cs="Arial"/>
          <w:sz w:val="24"/>
          <w:szCs w:val="24"/>
          <w:lang w:val="es-ES"/>
        </w:rPr>
        <w:t xml:space="preserve">ntará para desarrollar la tarea, por lo cual queda plasmado que es la </w:t>
      </w:r>
      <w:r w:rsidR="005F20AA">
        <w:rPr>
          <w:rFonts w:ascii="Arial" w:hAnsi="Arial" w:cs="Arial"/>
          <w:sz w:val="24"/>
          <w:szCs w:val="24"/>
          <w:lang w:val="es-ES"/>
        </w:rPr>
        <w:t xml:space="preserve"> Divisió</w:t>
      </w:r>
      <w:r w:rsidR="0070136F">
        <w:rPr>
          <w:rFonts w:ascii="Arial" w:hAnsi="Arial" w:cs="Arial"/>
          <w:sz w:val="24"/>
          <w:szCs w:val="24"/>
          <w:lang w:val="es-ES"/>
        </w:rPr>
        <w:t xml:space="preserve">n Contrataciones la que procede </w:t>
      </w:r>
      <w:r w:rsidR="005F20AA">
        <w:rPr>
          <w:rFonts w:ascii="Arial" w:hAnsi="Arial" w:cs="Arial"/>
          <w:sz w:val="24"/>
          <w:szCs w:val="24"/>
          <w:lang w:val="es-ES"/>
        </w:rPr>
        <w:t xml:space="preserve"> al nombramiento de los integrantes de la Comisión,</w:t>
      </w:r>
      <w:r w:rsidR="0070136F">
        <w:rPr>
          <w:rFonts w:ascii="Arial" w:hAnsi="Arial" w:cs="Arial"/>
          <w:sz w:val="24"/>
          <w:szCs w:val="24"/>
          <w:lang w:val="es-ES"/>
        </w:rPr>
        <w:t xml:space="preserve"> sin dejar constancia de que cuente con atribuciones delegadas en este sentido, por </w:t>
      </w:r>
      <w:r w:rsidR="00643F2B">
        <w:rPr>
          <w:rFonts w:ascii="Arial" w:hAnsi="Arial" w:cs="Arial"/>
          <w:sz w:val="24"/>
          <w:szCs w:val="24"/>
          <w:lang w:val="es-ES"/>
        </w:rPr>
        <w:t xml:space="preserve"> lo cual no se da cumplimiento a</w:t>
      </w:r>
      <w:r w:rsidR="0070136F">
        <w:rPr>
          <w:rFonts w:ascii="Arial" w:hAnsi="Arial" w:cs="Arial"/>
          <w:sz w:val="24"/>
          <w:szCs w:val="24"/>
          <w:lang w:val="es-ES"/>
        </w:rPr>
        <w:t xml:space="preserve"> lo establecido por el </w:t>
      </w:r>
      <w:r w:rsidR="005F20AA">
        <w:rPr>
          <w:rFonts w:ascii="Arial" w:hAnsi="Arial" w:cs="Arial"/>
          <w:sz w:val="24"/>
          <w:szCs w:val="24"/>
          <w:lang w:val="es-ES"/>
        </w:rPr>
        <w:t xml:space="preserve"> artículo 66, inciso 1º del TOCAF, </w:t>
      </w:r>
      <w:r w:rsidR="0070136F">
        <w:rPr>
          <w:rFonts w:ascii="Arial" w:hAnsi="Arial" w:cs="Arial"/>
          <w:sz w:val="24"/>
          <w:szCs w:val="24"/>
          <w:lang w:val="es-ES"/>
        </w:rPr>
        <w:t xml:space="preserve">que dispone </w:t>
      </w:r>
      <w:r w:rsidR="005F20AA">
        <w:rPr>
          <w:rFonts w:ascii="Arial" w:hAnsi="Arial" w:cs="Arial"/>
          <w:sz w:val="24"/>
          <w:szCs w:val="24"/>
          <w:lang w:val="es-ES"/>
        </w:rPr>
        <w:t xml:space="preserve">que será la Autoridad máxima de la Administración la que designará a </w:t>
      </w:r>
      <w:r w:rsidR="005F20AA">
        <w:rPr>
          <w:rFonts w:ascii="Arial" w:hAnsi="Arial" w:cs="Arial"/>
          <w:sz w:val="24"/>
          <w:szCs w:val="24"/>
          <w:lang w:val="es-ES"/>
        </w:rPr>
        <w:lastRenderedPageBreak/>
        <w:t>los miembros de la Comisión y al miembro responsable de su citación de entre sus integrantes;</w:t>
      </w:r>
    </w:p>
    <w:p w:rsidR="005F20AA" w:rsidRDefault="0070136F" w:rsidP="001423E8">
      <w:pPr>
        <w:spacing w:after="0" w:line="360" w:lineRule="auto"/>
        <w:jc w:val="both"/>
        <w:rPr>
          <w:rFonts w:ascii="Arial" w:hAnsi="Arial" w:cs="Arial"/>
          <w:sz w:val="24"/>
          <w:szCs w:val="24"/>
        </w:rPr>
      </w:pPr>
      <w:r>
        <w:rPr>
          <w:rFonts w:ascii="Arial" w:hAnsi="Arial" w:cs="Arial"/>
          <w:b/>
          <w:sz w:val="24"/>
          <w:szCs w:val="24"/>
          <w:lang w:val="es-ES"/>
        </w:rPr>
        <w:tab/>
      </w:r>
      <w:r>
        <w:rPr>
          <w:rFonts w:ascii="Arial" w:hAnsi="Arial" w:cs="Arial"/>
          <w:b/>
          <w:sz w:val="24"/>
          <w:szCs w:val="24"/>
          <w:lang w:val="es-ES"/>
        </w:rPr>
        <w:tab/>
      </w:r>
      <w:r>
        <w:rPr>
          <w:rFonts w:ascii="Arial" w:hAnsi="Arial" w:cs="Arial"/>
          <w:b/>
          <w:sz w:val="24"/>
          <w:szCs w:val="24"/>
          <w:lang w:val="es-ES"/>
        </w:rPr>
        <w:tab/>
      </w:r>
      <w:r w:rsidR="001423E8">
        <w:rPr>
          <w:rFonts w:ascii="Arial" w:hAnsi="Arial" w:cs="Arial"/>
          <w:b/>
          <w:sz w:val="24"/>
          <w:szCs w:val="24"/>
          <w:lang w:val="es-ES"/>
        </w:rPr>
        <w:t xml:space="preserve">                   </w:t>
      </w:r>
      <w:r>
        <w:rPr>
          <w:rFonts w:ascii="Arial" w:hAnsi="Arial" w:cs="Arial"/>
          <w:b/>
          <w:sz w:val="24"/>
          <w:szCs w:val="24"/>
          <w:lang w:val="es-ES"/>
        </w:rPr>
        <w:t>10</w:t>
      </w:r>
      <w:r w:rsidR="005F20AA">
        <w:rPr>
          <w:rFonts w:ascii="Arial" w:hAnsi="Arial" w:cs="Arial"/>
          <w:b/>
          <w:sz w:val="24"/>
          <w:szCs w:val="24"/>
          <w:lang w:val="es-ES"/>
        </w:rPr>
        <w:t>)</w:t>
      </w:r>
      <w:r w:rsidR="005F20AA" w:rsidRPr="000A6677">
        <w:rPr>
          <w:rFonts w:ascii="Arial" w:hAnsi="Arial" w:cs="Arial"/>
          <w:sz w:val="24"/>
          <w:szCs w:val="24"/>
          <w:lang w:val="es-ES"/>
        </w:rPr>
        <w:t xml:space="preserve"> </w:t>
      </w:r>
      <w:r w:rsidR="002F2B2F">
        <w:rPr>
          <w:rFonts w:ascii="Arial" w:hAnsi="Arial" w:cs="Arial"/>
          <w:sz w:val="24"/>
          <w:szCs w:val="24"/>
          <w:lang w:val="es-ES"/>
        </w:rPr>
        <w:t>que e</w:t>
      </w:r>
      <w:r w:rsidR="005F20AA">
        <w:rPr>
          <w:rFonts w:ascii="Arial" w:hAnsi="Arial" w:cs="Arial"/>
          <w:sz w:val="24"/>
          <w:szCs w:val="24"/>
        </w:rPr>
        <w:t xml:space="preserve">n lo que respecta a los extremos esgrimidos por los </w:t>
      </w:r>
      <w:proofErr w:type="spellStart"/>
      <w:r w:rsidR="005F20AA">
        <w:rPr>
          <w:rFonts w:ascii="Arial" w:hAnsi="Arial" w:cs="Arial"/>
          <w:sz w:val="24"/>
          <w:szCs w:val="24"/>
        </w:rPr>
        <w:t>peticionantes</w:t>
      </w:r>
      <w:proofErr w:type="spellEnd"/>
      <w:r w:rsidR="005F20AA">
        <w:rPr>
          <w:rFonts w:ascii="Arial" w:hAnsi="Arial" w:cs="Arial"/>
          <w:sz w:val="24"/>
          <w:szCs w:val="24"/>
        </w:rPr>
        <w:t xml:space="preserve"> (IPG Media </w:t>
      </w:r>
      <w:proofErr w:type="spellStart"/>
      <w:r w:rsidR="005F20AA">
        <w:rPr>
          <w:rFonts w:ascii="Arial" w:hAnsi="Arial" w:cs="Arial"/>
          <w:sz w:val="24"/>
          <w:szCs w:val="24"/>
        </w:rPr>
        <w:t>Brands</w:t>
      </w:r>
      <w:proofErr w:type="spellEnd"/>
      <w:r w:rsidR="005F20AA">
        <w:rPr>
          <w:rFonts w:ascii="Arial" w:hAnsi="Arial" w:cs="Arial"/>
          <w:sz w:val="24"/>
          <w:szCs w:val="24"/>
        </w:rPr>
        <w:t xml:space="preserve"> S.A. y Amén S.A. - </w:t>
      </w:r>
      <w:proofErr w:type="spellStart"/>
      <w:r w:rsidR="005F20AA">
        <w:rPr>
          <w:rFonts w:ascii="Arial" w:hAnsi="Arial" w:cs="Arial"/>
          <w:sz w:val="24"/>
          <w:szCs w:val="24"/>
        </w:rPr>
        <w:t>Kybalion</w:t>
      </w:r>
      <w:proofErr w:type="spellEnd"/>
      <w:r w:rsidR="005F20AA">
        <w:rPr>
          <w:rFonts w:ascii="Arial" w:hAnsi="Arial" w:cs="Arial"/>
          <w:sz w:val="24"/>
          <w:szCs w:val="24"/>
        </w:rPr>
        <w:t xml:space="preserve"> S.R.L.) corresponde señalar que:</w:t>
      </w:r>
    </w:p>
    <w:p w:rsidR="005F20AA" w:rsidRDefault="0070136F" w:rsidP="001423E8">
      <w:pPr>
        <w:spacing w:after="0" w:line="360" w:lineRule="auto"/>
        <w:jc w:val="both"/>
        <w:rPr>
          <w:rFonts w:ascii="Arial" w:hAnsi="Arial" w:cs="Arial"/>
          <w:sz w:val="24"/>
          <w:szCs w:val="24"/>
        </w:rPr>
      </w:pPr>
      <w:r>
        <w:rPr>
          <w:rFonts w:ascii="Arial" w:hAnsi="Arial" w:cs="Arial"/>
          <w:b/>
          <w:sz w:val="24"/>
          <w:szCs w:val="24"/>
        </w:rPr>
        <w:t>1</w:t>
      </w:r>
      <w:r w:rsidR="002F2B2F">
        <w:rPr>
          <w:rFonts w:ascii="Arial" w:hAnsi="Arial" w:cs="Arial"/>
          <w:b/>
          <w:sz w:val="24"/>
          <w:szCs w:val="24"/>
        </w:rPr>
        <w:t xml:space="preserve">0.1) </w:t>
      </w:r>
      <w:r w:rsidR="002F2B2F" w:rsidRPr="002F2B2F">
        <w:rPr>
          <w:rFonts w:ascii="Arial" w:hAnsi="Arial" w:cs="Arial"/>
          <w:sz w:val="24"/>
          <w:szCs w:val="24"/>
        </w:rPr>
        <w:t xml:space="preserve">que </w:t>
      </w:r>
      <w:r w:rsidR="005F20AA">
        <w:rPr>
          <w:rFonts w:ascii="Arial" w:hAnsi="Arial" w:cs="Arial"/>
          <w:sz w:val="24"/>
          <w:szCs w:val="24"/>
        </w:rPr>
        <w:t>se comparte lo informado por la Comisión Asesora de Adjudicaciones en cuanto a que</w:t>
      </w:r>
      <w:r w:rsidR="00CB6124">
        <w:rPr>
          <w:rFonts w:ascii="Arial" w:hAnsi="Arial" w:cs="Arial"/>
          <w:sz w:val="24"/>
          <w:szCs w:val="24"/>
        </w:rPr>
        <w:t xml:space="preserve"> el currículum de una de las integrantes del equipo afectado al servicio propuesto por </w:t>
      </w:r>
      <w:r w:rsidR="00CB6124" w:rsidRPr="00CB6124">
        <w:rPr>
          <w:rFonts w:ascii="Arial" w:hAnsi="Arial" w:cs="Arial"/>
          <w:sz w:val="24"/>
          <w:szCs w:val="24"/>
        </w:rPr>
        <w:t xml:space="preserve">IPG Media </w:t>
      </w:r>
      <w:proofErr w:type="spellStart"/>
      <w:r w:rsidR="00CB6124" w:rsidRPr="00CB6124">
        <w:rPr>
          <w:rFonts w:ascii="Arial" w:hAnsi="Arial" w:cs="Arial"/>
          <w:sz w:val="24"/>
          <w:szCs w:val="24"/>
        </w:rPr>
        <w:t>Brands</w:t>
      </w:r>
      <w:proofErr w:type="spellEnd"/>
      <w:r w:rsidR="00CB6124" w:rsidRPr="00CB6124">
        <w:rPr>
          <w:rFonts w:ascii="Arial" w:hAnsi="Arial" w:cs="Arial"/>
          <w:sz w:val="24"/>
          <w:szCs w:val="24"/>
        </w:rPr>
        <w:t xml:space="preserve"> S.A</w:t>
      </w:r>
      <w:r w:rsidR="00767938">
        <w:rPr>
          <w:rFonts w:ascii="Arial" w:hAnsi="Arial" w:cs="Arial"/>
          <w:sz w:val="24"/>
          <w:szCs w:val="24"/>
        </w:rPr>
        <w:t>.</w:t>
      </w:r>
      <w:r w:rsidR="00CB6124">
        <w:rPr>
          <w:rFonts w:ascii="Arial" w:hAnsi="Arial" w:cs="Arial"/>
          <w:sz w:val="24"/>
          <w:szCs w:val="24"/>
        </w:rPr>
        <w:t xml:space="preserve"> contenía información inexacta, la cual pretend</w:t>
      </w:r>
      <w:r w:rsidR="00EF21AD">
        <w:rPr>
          <w:rFonts w:ascii="Arial" w:hAnsi="Arial" w:cs="Arial"/>
          <w:sz w:val="24"/>
          <w:szCs w:val="24"/>
        </w:rPr>
        <w:t>ió</w:t>
      </w:r>
      <w:r w:rsidR="00CB6124">
        <w:rPr>
          <w:rFonts w:ascii="Arial" w:hAnsi="Arial" w:cs="Arial"/>
          <w:sz w:val="24"/>
          <w:szCs w:val="24"/>
        </w:rPr>
        <w:t xml:space="preserve"> </w:t>
      </w:r>
      <w:r w:rsidR="00EF21AD">
        <w:rPr>
          <w:rFonts w:ascii="Arial" w:hAnsi="Arial" w:cs="Arial"/>
          <w:sz w:val="24"/>
          <w:szCs w:val="24"/>
        </w:rPr>
        <w:t>subsanar</w:t>
      </w:r>
      <w:r w:rsidR="00CB6124">
        <w:rPr>
          <w:rFonts w:ascii="Arial" w:hAnsi="Arial" w:cs="Arial"/>
          <w:sz w:val="24"/>
          <w:szCs w:val="24"/>
        </w:rPr>
        <w:t xml:space="preserve"> la empresa en esa instancia del procedimiento</w:t>
      </w:r>
      <w:r w:rsidR="00767938">
        <w:rPr>
          <w:rFonts w:ascii="Arial" w:hAnsi="Arial" w:cs="Arial"/>
          <w:sz w:val="24"/>
          <w:szCs w:val="24"/>
        </w:rPr>
        <w:t>. C</w:t>
      </w:r>
      <w:r w:rsidR="005F20AA">
        <w:rPr>
          <w:rFonts w:ascii="Arial" w:hAnsi="Arial" w:cs="Arial"/>
          <w:sz w:val="24"/>
          <w:szCs w:val="24"/>
        </w:rPr>
        <w:t xml:space="preserve">onforme </w:t>
      </w:r>
      <w:r w:rsidR="00767938">
        <w:rPr>
          <w:rFonts w:ascii="Arial" w:hAnsi="Arial" w:cs="Arial"/>
          <w:sz w:val="24"/>
          <w:szCs w:val="24"/>
        </w:rPr>
        <w:t>con el</w:t>
      </w:r>
      <w:r w:rsidR="005F20AA">
        <w:rPr>
          <w:rFonts w:ascii="Arial" w:hAnsi="Arial" w:cs="Arial"/>
          <w:sz w:val="24"/>
          <w:szCs w:val="24"/>
        </w:rPr>
        <w:t xml:space="preserve"> artículo 65 del TOCAF, luego del acto de apertura no pueden modificarse las ofertas presentadas y solamente pueden subsanarse defectos o carencias formales si la Administración otorga el plazo de dos días para ello conforme al mismo artículo, lo cual no ocurrió en presen</w:t>
      </w:r>
      <w:r w:rsidR="00767938">
        <w:rPr>
          <w:rFonts w:ascii="Arial" w:hAnsi="Arial" w:cs="Arial"/>
          <w:sz w:val="24"/>
          <w:szCs w:val="24"/>
        </w:rPr>
        <w:t>te procedimiento;</w:t>
      </w:r>
    </w:p>
    <w:p w:rsidR="005F20AA" w:rsidRDefault="0070136F" w:rsidP="001423E8">
      <w:pPr>
        <w:spacing w:after="0" w:line="360" w:lineRule="auto"/>
        <w:jc w:val="both"/>
        <w:rPr>
          <w:rFonts w:ascii="Arial" w:hAnsi="Arial" w:cs="Arial"/>
          <w:sz w:val="24"/>
          <w:szCs w:val="24"/>
        </w:rPr>
      </w:pPr>
      <w:r>
        <w:rPr>
          <w:rFonts w:ascii="Arial" w:hAnsi="Arial" w:cs="Arial"/>
          <w:b/>
          <w:sz w:val="24"/>
          <w:szCs w:val="24"/>
        </w:rPr>
        <w:t>1</w:t>
      </w:r>
      <w:r w:rsidR="00767938">
        <w:rPr>
          <w:rFonts w:ascii="Arial" w:hAnsi="Arial" w:cs="Arial"/>
          <w:b/>
          <w:sz w:val="24"/>
          <w:szCs w:val="24"/>
        </w:rPr>
        <w:t xml:space="preserve">0.2) </w:t>
      </w:r>
      <w:r w:rsidR="00767938">
        <w:rPr>
          <w:rFonts w:ascii="Arial" w:hAnsi="Arial" w:cs="Arial"/>
          <w:sz w:val="24"/>
          <w:szCs w:val="24"/>
        </w:rPr>
        <w:t>que e</w:t>
      </w:r>
      <w:r w:rsidR="005F20AA">
        <w:rPr>
          <w:rFonts w:ascii="Arial" w:hAnsi="Arial" w:cs="Arial"/>
          <w:sz w:val="24"/>
          <w:szCs w:val="24"/>
        </w:rPr>
        <w:t>n lo que respecta a la designación del equipo de trabajo que se pondr</w:t>
      </w:r>
      <w:r w:rsidR="00767938">
        <w:rPr>
          <w:rFonts w:ascii="Arial" w:hAnsi="Arial" w:cs="Arial"/>
          <w:sz w:val="24"/>
          <w:szCs w:val="24"/>
        </w:rPr>
        <w:t>ía</w:t>
      </w:r>
      <w:r>
        <w:rPr>
          <w:rFonts w:ascii="Arial" w:hAnsi="Arial" w:cs="Arial"/>
          <w:sz w:val="24"/>
          <w:szCs w:val="24"/>
        </w:rPr>
        <w:t xml:space="preserve"> a disposición de la administración, </w:t>
      </w:r>
      <w:r w:rsidR="004A2854">
        <w:rPr>
          <w:rFonts w:ascii="Arial" w:hAnsi="Arial" w:cs="Arial"/>
          <w:sz w:val="24"/>
          <w:szCs w:val="24"/>
        </w:rPr>
        <w:t xml:space="preserve"> este</w:t>
      </w:r>
      <w:r w:rsidR="005F20AA">
        <w:rPr>
          <w:rFonts w:ascii="Arial" w:hAnsi="Arial" w:cs="Arial"/>
          <w:sz w:val="24"/>
          <w:szCs w:val="24"/>
        </w:rPr>
        <w:t xml:space="preserve"> deb</w:t>
      </w:r>
      <w:r w:rsidR="00767938">
        <w:rPr>
          <w:rFonts w:ascii="Arial" w:hAnsi="Arial" w:cs="Arial"/>
          <w:sz w:val="24"/>
          <w:szCs w:val="24"/>
        </w:rPr>
        <w:t>ía</w:t>
      </w:r>
      <w:r w:rsidR="005F20AA">
        <w:rPr>
          <w:rFonts w:ascii="Arial" w:hAnsi="Arial" w:cs="Arial"/>
          <w:sz w:val="24"/>
          <w:szCs w:val="24"/>
        </w:rPr>
        <w:t xml:space="preserve"> estar integrado</w:t>
      </w:r>
      <w:r w:rsidR="004A2854">
        <w:rPr>
          <w:rFonts w:ascii="Arial" w:hAnsi="Arial" w:cs="Arial"/>
          <w:sz w:val="24"/>
          <w:szCs w:val="24"/>
        </w:rPr>
        <w:t>, entre otros,</w:t>
      </w:r>
      <w:r w:rsidR="005F20AA">
        <w:rPr>
          <w:rFonts w:ascii="Arial" w:hAnsi="Arial" w:cs="Arial"/>
          <w:sz w:val="24"/>
          <w:szCs w:val="24"/>
        </w:rPr>
        <w:t xml:space="preserve"> por un ejecutivo técnico conforme con lo solicitado por el artículo 1.4 del Pliego</w:t>
      </w:r>
      <w:r w:rsidR="004A2854">
        <w:rPr>
          <w:rFonts w:ascii="Arial" w:hAnsi="Arial" w:cs="Arial"/>
          <w:sz w:val="24"/>
          <w:szCs w:val="24"/>
        </w:rPr>
        <w:t>, el cual no fue individualizado</w:t>
      </w:r>
      <w:r w:rsidR="005F20AA">
        <w:rPr>
          <w:rFonts w:ascii="Arial" w:hAnsi="Arial" w:cs="Arial"/>
          <w:sz w:val="24"/>
          <w:szCs w:val="24"/>
        </w:rPr>
        <w:t xml:space="preserve"> en </w:t>
      </w:r>
      <w:r w:rsidR="004A2854">
        <w:rPr>
          <w:rFonts w:ascii="Arial" w:hAnsi="Arial" w:cs="Arial"/>
          <w:sz w:val="24"/>
          <w:szCs w:val="24"/>
        </w:rPr>
        <w:t>la</w:t>
      </w:r>
      <w:r w:rsidR="005F20AA">
        <w:rPr>
          <w:rFonts w:ascii="Arial" w:hAnsi="Arial" w:cs="Arial"/>
          <w:sz w:val="24"/>
          <w:szCs w:val="24"/>
        </w:rPr>
        <w:t xml:space="preserve"> oferta, no cumpliendo a cabalidad con el artículo señalado, así como tampoco con el artículo 2.2.3.4, específicamente seña</w:t>
      </w:r>
      <w:r w:rsidR="00DC42BE">
        <w:rPr>
          <w:rFonts w:ascii="Arial" w:hAnsi="Arial" w:cs="Arial"/>
          <w:sz w:val="24"/>
          <w:szCs w:val="24"/>
        </w:rPr>
        <w:t xml:space="preserve">lado como requisito obligatorio, pretendiendo </w:t>
      </w:r>
      <w:r w:rsidR="005F20AA">
        <w:rPr>
          <w:rFonts w:ascii="Arial" w:hAnsi="Arial" w:cs="Arial"/>
          <w:sz w:val="24"/>
          <w:szCs w:val="24"/>
        </w:rPr>
        <w:t xml:space="preserve">salvar esa omisión en </w:t>
      </w:r>
      <w:r w:rsidR="00DC42BE">
        <w:rPr>
          <w:rFonts w:ascii="Arial" w:hAnsi="Arial" w:cs="Arial"/>
          <w:sz w:val="24"/>
          <w:szCs w:val="24"/>
        </w:rPr>
        <w:t>esa</w:t>
      </w:r>
      <w:r w:rsidR="005F20AA">
        <w:rPr>
          <w:rFonts w:ascii="Arial" w:hAnsi="Arial" w:cs="Arial"/>
          <w:sz w:val="24"/>
          <w:szCs w:val="24"/>
        </w:rPr>
        <w:t xml:space="preserve"> instancia, por lo que en este punto </w:t>
      </w:r>
      <w:r w:rsidR="00DC42BE">
        <w:rPr>
          <w:rFonts w:ascii="Arial" w:hAnsi="Arial" w:cs="Arial"/>
          <w:sz w:val="24"/>
          <w:szCs w:val="24"/>
        </w:rPr>
        <w:t>corresponderá estar a lo mencionado en el numeral precedente;</w:t>
      </w:r>
    </w:p>
    <w:p w:rsidR="0070136F" w:rsidRDefault="0070136F" w:rsidP="001423E8">
      <w:pPr>
        <w:spacing w:after="0" w:line="360" w:lineRule="auto"/>
        <w:jc w:val="both"/>
        <w:rPr>
          <w:rFonts w:ascii="Arial" w:hAnsi="Arial" w:cs="Arial"/>
          <w:sz w:val="24"/>
          <w:szCs w:val="24"/>
        </w:rPr>
      </w:pPr>
      <w:r>
        <w:rPr>
          <w:rFonts w:ascii="Arial" w:hAnsi="Arial" w:cs="Arial"/>
          <w:b/>
          <w:sz w:val="24"/>
          <w:szCs w:val="24"/>
        </w:rPr>
        <w:t>1</w:t>
      </w:r>
      <w:r w:rsidR="00687EAF">
        <w:rPr>
          <w:rFonts w:ascii="Arial" w:hAnsi="Arial" w:cs="Arial"/>
          <w:b/>
          <w:sz w:val="24"/>
          <w:szCs w:val="24"/>
        </w:rPr>
        <w:t xml:space="preserve">0.3) </w:t>
      </w:r>
      <w:r w:rsidR="008A3489" w:rsidRPr="008A3489">
        <w:rPr>
          <w:rFonts w:ascii="Arial" w:hAnsi="Arial" w:cs="Arial"/>
          <w:sz w:val="24"/>
          <w:szCs w:val="24"/>
        </w:rPr>
        <w:t xml:space="preserve">que </w:t>
      </w:r>
      <w:r w:rsidR="008A3489">
        <w:rPr>
          <w:rFonts w:ascii="Arial" w:hAnsi="Arial" w:cs="Arial"/>
          <w:sz w:val="24"/>
          <w:szCs w:val="24"/>
        </w:rPr>
        <w:t>e</w:t>
      </w:r>
      <w:r w:rsidR="005F20AA">
        <w:rPr>
          <w:rFonts w:ascii="Arial" w:hAnsi="Arial" w:cs="Arial"/>
          <w:sz w:val="24"/>
          <w:szCs w:val="24"/>
        </w:rPr>
        <w:t xml:space="preserve">n cuanto a la observación referida a la falta de firma de los currículums vitae de dos directores de la firma y a la omisión en la presentación de currículums de dos mandatarios, la empresa </w:t>
      </w:r>
      <w:r w:rsidR="008A3489">
        <w:rPr>
          <w:rFonts w:ascii="Arial" w:hAnsi="Arial" w:cs="Arial"/>
          <w:sz w:val="24"/>
          <w:szCs w:val="24"/>
        </w:rPr>
        <w:t xml:space="preserve">también </w:t>
      </w:r>
      <w:r>
        <w:rPr>
          <w:rFonts w:ascii="Arial" w:hAnsi="Arial" w:cs="Arial"/>
          <w:sz w:val="24"/>
          <w:szCs w:val="24"/>
        </w:rPr>
        <w:t xml:space="preserve">intentó </w:t>
      </w:r>
      <w:r w:rsidR="005F20AA">
        <w:rPr>
          <w:rFonts w:ascii="Arial" w:hAnsi="Arial" w:cs="Arial"/>
          <w:sz w:val="24"/>
          <w:szCs w:val="24"/>
        </w:rPr>
        <w:t xml:space="preserve"> subsanar su omisión agregándolos en esa instancia procedimental, </w:t>
      </w:r>
      <w:r>
        <w:rPr>
          <w:rFonts w:ascii="Arial" w:hAnsi="Arial" w:cs="Arial"/>
          <w:sz w:val="24"/>
          <w:szCs w:val="24"/>
        </w:rPr>
        <w:t xml:space="preserve">lo cual no corresponde; </w:t>
      </w:r>
    </w:p>
    <w:p w:rsidR="005F20AA" w:rsidRDefault="0070136F" w:rsidP="001423E8">
      <w:pPr>
        <w:spacing w:after="0" w:line="360" w:lineRule="auto"/>
        <w:jc w:val="both"/>
        <w:rPr>
          <w:rFonts w:ascii="Arial" w:hAnsi="Arial" w:cs="Arial"/>
          <w:sz w:val="24"/>
          <w:szCs w:val="24"/>
        </w:rPr>
      </w:pPr>
      <w:r>
        <w:rPr>
          <w:rFonts w:ascii="Arial" w:hAnsi="Arial" w:cs="Arial"/>
          <w:b/>
          <w:sz w:val="24"/>
          <w:szCs w:val="24"/>
        </w:rPr>
        <w:t>1</w:t>
      </w:r>
      <w:r w:rsidR="008A3489">
        <w:rPr>
          <w:rFonts w:ascii="Arial" w:hAnsi="Arial" w:cs="Arial"/>
          <w:b/>
          <w:sz w:val="24"/>
          <w:szCs w:val="24"/>
        </w:rPr>
        <w:t xml:space="preserve">0.4) </w:t>
      </w:r>
      <w:r w:rsidR="008A3489">
        <w:rPr>
          <w:rFonts w:ascii="Arial" w:hAnsi="Arial" w:cs="Arial"/>
          <w:sz w:val="24"/>
          <w:szCs w:val="24"/>
        </w:rPr>
        <w:t xml:space="preserve">que </w:t>
      </w:r>
      <w:r w:rsidR="005A637B">
        <w:rPr>
          <w:rFonts w:ascii="Arial" w:hAnsi="Arial" w:cs="Arial"/>
          <w:sz w:val="24"/>
          <w:szCs w:val="24"/>
        </w:rPr>
        <w:t>f</w:t>
      </w:r>
      <w:r w:rsidR="005F20AA">
        <w:rPr>
          <w:rFonts w:ascii="Arial" w:hAnsi="Arial" w:cs="Arial"/>
          <w:sz w:val="24"/>
          <w:szCs w:val="24"/>
        </w:rPr>
        <w:t>inalmente, en lo que respecta a la observación referente a la discordancia en el nombre de uno de los directore</w:t>
      </w:r>
      <w:r>
        <w:rPr>
          <w:rFonts w:ascii="Arial" w:hAnsi="Arial" w:cs="Arial"/>
          <w:sz w:val="24"/>
          <w:szCs w:val="24"/>
        </w:rPr>
        <w:t xml:space="preserve">s individualizados en la oferta  también se procuró </w:t>
      </w:r>
      <w:r w:rsidR="005F20AA">
        <w:rPr>
          <w:rFonts w:ascii="Arial" w:hAnsi="Arial" w:cs="Arial"/>
          <w:sz w:val="24"/>
          <w:szCs w:val="24"/>
        </w:rPr>
        <w:t xml:space="preserve">subsanar la omisión en esa instancia, por lo que </w:t>
      </w:r>
      <w:r w:rsidR="005A637B">
        <w:rPr>
          <w:rFonts w:ascii="Arial" w:hAnsi="Arial" w:cs="Arial"/>
          <w:sz w:val="24"/>
          <w:szCs w:val="24"/>
        </w:rPr>
        <w:t>caben idénticas consideraciones;</w:t>
      </w:r>
    </w:p>
    <w:p w:rsidR="00380FCD" w:rsidRDefault="0070136F" w:rsidP="001423E8">
      <w:pPr>
        <w:spacing w:after="0" w:line="360" w:lineRule="auto"/>
        <w:jc w:val="both"/>
        <w:rPr>
          <w:rFonts w:ascii="Arial" w:hAnsi="Arial" w:cs="Arial"/>
          <w:sz w:val="24"/>
          <w:szCs w:val="24"/>
        </w:rPr>
      </w:pPr>
      <w:r>
        <w:rPr>
          <w:rFonts w:ascii="Arial" w:hAnsi="Arial" w:cs="Arial"/>
          <w:b/>
          <w:sz w:val="24"/>
          <w:szCs w:val="24"/>
        </w:rPr>
        <w:lastRenderedPageBreak/>
        <w:t>1</w:t>
      </w:r>
      <w:r w:rsidR="005A637B">
        <w:rPr>
          <w:rFonts w:ascii="Arial" w:hAnsi="Arial" w:cs="Arial"/>
          <w:b/>
          <w:sz w:val="24"/>
          <w:szCs w:val="24"/>
        </w:rPr>
        <w:t xml:space="preserve">0.5) </w:t>
      </w:r>
      <w:r w:rsidR="005A637B">
        <w:rPr>
          <w:rFonts w:ascii="Arial" w:hAnsi="Arial" w:cs="Arial"/>
          <w:sz w:val="24"/>
          <w:szCs w:val="24"/>
        </w:rPr>
        <w:t>que</w:t>
      </w:r>
      <w:r w:rsidR="005F20AA">
        <w:rPr>
          <w:rFonts w:ascii="Arial" w:hAnsi="Arial" w:cs="Arial"/>
          <w:sz w:val="24"/>
          <w:szCs w:val="24"/>
        </w:rPr>
        <w:t xml:space="preserve"> en </w:t>
      </w:r>
      <w:r w:rsidR="00A52A7A">
        <w:rPr>
          <w:rFonts w:ascii="Arial" w:hAnsi="Arial" w:cs="Arial"/>
          <w:sz w:val="24"/>
          <w:szCs w:val="24"/>
        </w:rPr>
        <w:t>cuanto al escrito presentado</w:t>
      </w:r>
      <w:r w:rsidR="005F20AA">
        <w:rPr>
          <w:rFonts w:ascii="Arial" w:hAnsi="Arial" w:cs="Arial"/>
          <w:sz w:val="24"/>
          <w:szCs w:val="24"/>
        </w:rPr>
        <w:t xml:space="preserve"> por </w:t>
      </w:r>
      <w:r w:rsidR="005F20AA" w:rsidRPr="005A637B">
        <w:rPr>
          <w:rFonts w:ascii="Arial" w:hAnsi="Arial" w:cs="Arial"/>
          <w:sz w:val="24"/>
          <w:szCs w:val="24"/>
        </w:rPr>
        <w:t xml:space="preserve">Amén S.A – </w:t>
      </w:r>
      <w:proofErr w:type="spellStart"/>
      <w:r w:rsidR="005F20AA" w:rsidRPr="005A637B">
        <w:rPr>
          <w:rFonts w:ascii="Arial" w:hAnsi="Arial" w:cs="Arial"/>
          <w:sz w:val="24"/>
          <w:szCs w:val="24"/>
        </w:rPr>
        <w:t>Kybalion</w:t>
      </w:r>
      <w:proofErr w:type="spellEnd"/>
      <w:r w:rsidR="005F20AA" w:rsidRPr="005A637B">
        <w:rPr>
          <w:rFonts w:ascii="Arial" w:hAnsi="Arial" w:cs="Arial"/>
          <w:sz w:val="24"/>
          <w:szCs w:val="24"/>
        </w:rPr>
        <w:t xml:space="preserve"> S.R.L</w:t>
      </w:r>
      <w:r w:rsidR="00A52A7A">
        <w:rPr>
          <w:rFonts w:ascii="Arial" w:hAnsi="Arial" w:cs="Arial"/>
          <w:sz w:val="24"/>
          <w:szCs w:val="24"/>
        </w:rPr>
        <w:t>, con respecto a</w:t>
      </w:r>
      <w:r w:rsidR="005F20AA">
        <w:rPr>
          <w:rFonts w:ascii="Arial" w:hAnsi="Arial" w:cs="Arial"/>
          <w:sz w:val="24"/>
          <w:szCs w:val="24"/>
        </w:rPr>
        <w:t xml:space="preserve"> los currícu</w:t>
      </w:r>
      <w:r w:rsidR="00A52A7A">
        <w:rPr>
          <w:rFonts w:ascii="Arial" w:hAnsi="Arial" w:cs="Arial"/>
          <w:sz w:val="24"/>
          <w:szCs w:val="24"/>
        </w:rPr>
        <w:t>lums faltantes que corresponden</w:t>
      </w:r>
      <w:r w:rsidR="005F20AA">
        <w:rPr>
          <w:rFonts w:ascii="Arial" w:hAnsi="Arial" w:cs="Arial"/>
          <w:sz w:val="24"/>
          <w:szCs w:val="24"/>
        </w:rPr>
        <w:t xml:space="preserve"> según el informe de la </w:t>
      </w:r>
      <w:r w:rsidR="00A52A7A">
        <w:rPr>
          <w:rFonts w:ascii="Arial" w:hAnsi="Arial" w:cs="Arial"/>
          <w:sz w:val="24"/>
          <w:szCs w:val="24"/>
        </w:rPr>
        <w:t>Comisión</w:t>
      </w:r>
      <w:r w:rsidR="005F20AA">
        <w:rPr>
          <w:rFonts w:ascii="Arial" w:hAnsi="Arial" w:cs="Arial"/>
          <w:sz w:val="24"/>
          <w:szCs w:val="24"/>
        </w:rPr>
        <w:t xml:space="preserve"> a algunos socios directores, administradores y/o representantes de la empresa y a la falta de presentación de los Estatutos de la sociedad, le asiste razón a la empresa, no solo porque el Pliego no los previó estrictamente como requisitos obligatorios, sino que además, conforme con el criterio sostenido </w:t>
      </w:r>
      <w:r w:rsidR="00A52A7A">
        <w:rPr>
          <w:rFonts w:ascii="Arial" w:hAnsi="Arial" w:cs="Arial"/>
          <w:sz w:val="24"/>
          <w:szCs w:val="24"/>
        </w:rPr>
        <w:t>en la presente Resolución</w:t>
      </w:r>
      <w:r w:rsidR="00EF154C">
        <w:rPr>
          <w:rFonts w:ascii="Arial" w:hAnsi="Arial" w:cs="Arial"/>
          <w:sz w:val="24"/>
          <w:szCs w:val="24"/>
        </w:rPr>
        <w:t xml:space="preserve"> (Resultando 3) no corresponde dicha exigencia;</w:t>
      </w:r>
      <w:r w:rsidR="00380FCD">
        <w:rPr>
          <w:rFonts w:ascii="Arial" w:hAnsi="Arial" w:cs="Arial"/>
          <w:sz w:val="24"/>
          <w:szCs w:val="24"/>
        </w:rPr>
        <w:t xml:space="preserve"> </w:t>
      </w:r>
    </w:p>
    <w:p w:rsidR="004905C8" w:rsidRDefault="000E7B39" w:rsidP="001423E8">
      <w:pPr>
        <w:spacing w:after="0" w:line="360" w:lineRule="auto"/>
        <w:ind w:firstLine="709"/>
        <w:jc w:val="both"/>
        <w:rPr>
          <w:rFonts w:ascii="Arial" w:hAnsi="Arial" w:cs="Arial"/>
          <w:sz w:val="24"/>
          <w:szCs w:val="24"/>
          <w:lang w:val="es-MX"/>
        </w:rPr>
      </w:pPr>
      <w:r w:rsidRPr="00F056C8">
        <w:rPr>
          <w:rFonts w:ascii="Arial" w:hAnsi="Arial" w:cs="Arial"/>
          <w:b/>
          <w:sz w:val="24"/>
          <w:szCs w:val="24"/>
          <w:lang w:val="es-MX"/>
        </w:rPr>
        <w:t>ATENTO:</w:t>
      </w:r>
      <w:r w:rsidRPr="00F056C8">
        <w:rPr>
          <w:rFonts w:ascii="Arial" w:hAnsi="Arial" w:cs="Arial"/>
          <w:sz w:val="24"/>
          <w:szCs w:val="24"/>
          <w:lang w:val="es-MX"/>
        </w:rPr>
        <w:t xml:space="preserve"> a lo expuesto y a lo dispuesto</w:t>
      </w:r>
      <w:r>
        <w:rPr>
          <w:rFonts w:ascii="Arial" w:hAnsi="Arial" w:cs="Arial"/>
          <w:sz w:val="24"/>
          <w:szCs w:val="24"/>
          <w:lang w:val="es-MX"/>
        </w:rPr>
        <w:t xml:space="preserve"> por el artículo 211 </w:t>
      </w:r>
      <w:r w:rsidRPr="000E7B39">
        <w:rPr>
          <w:rFonts w:ascii="Arial" w:hAnsi="Arial" w:cs="Arial"/>
          <w:sz w:val="24"/>
          <w:szCs w:val="24"/>
          <w:lang w:val="es-MX"/>
        </w:rPr>
        <w:t>literal B) de</w:t>
      </w:r>
      <w:r w:rsidRPr="00F056C8">
        <w:rPr>
          <w:rFonts w:ascii="Arial" w:hAnsi="Arial" w:cs="Arial"/>
          <w:sz w:val="24"/>
          <w:szCs w:val="24"/>
          <w:lang w:val="es-MX"/>
        </w:rPr>
        <w:t xml:space="preserve"> la Constitución de la República:</w:t>
      </w:r>
    </w:p>
    <w:p w:rsidR="000E7B39" w:rsidRDefault="000E7B39" w:rsidP="001423E8">
      <w:pPr>
        <w:spacing w:after="0" w:line="360" w:lineRule="auto"/>
        <w:jc w:val="center"/>
        <w:rPr>
          <w:rFonts w:ascii="Arial" w:hAnsi="Arial" w:cs="Arial"/>
          <w:b/>
          <w:sz w:val="24"/>
          <w:szCs w:val="24"/>
          <w:lang w:val="es-MX"/>
        </w:rPr>
      </w:pPr>
      <w:r w:rsidRPr="000E7B39">
        <w:rPr>
          <w:rFonts w:ascii="Arial" w:hAnsi="Arial" w:cs="Arial"/>
          <w:b/>
          <w:sz w:val="24"/>
          <w:szCs w:val="24"/>
          <w:lang w:val="es-MX"/>
        </w:rPr>
        <w:t>EL TRIBUNAL ACUERDA</w:t>
      </w:r>
    </w:p>
    <w:p w:rsidR="000E7B39" w:rsidRDefault="000E7B39" w:rsidP="00894B5B">
      <w:pPr>
        <w:pStyle w:val="Prrafodelista"/>
        <w:numPr>
          <w:ilvl w:val="0"/>
          <w:numId w:val="9"/>
        </w:numPr>
        <w:spacing w:after="0" w:line="360" w:lineRule="auto"/>
        <w:ind w:left="284" w:hanging="284"/>
        <w:jc w:val="both"/>
        <w:rPr>
          <w:rFonts w:ascii="Arial" w:hAnsi="Arial" w:cs="Arial"/>
          <w:sz w:val="24"/>
          <w:szCs w:val="24"/>
        </w:rPr>
      </w:pPr>
      <w:r>
        <w:rPr>
          <w:rFonts w:ascii="Arial" w:hAnsi="Arial" w:cs="Arial"/>
          <w:sz w:val="24"/>
          <w:szCs w:val="24"/>
        </w:rPr>
        <w:t>Expedirse en los términos de lo expuesto en los Considera</w:t>
      </w:r>
      <w:r w:rsidR="00643F2B">
        <w:rPr>
          <w:rFonts w:ascii="Arial" w:hAnsi="Arial" w:cs="Arial"/>
          <w:sz w:val="24"/>
          <w:szCs w:val="24"/>
        </w:rPr>
        <w:t xml:space="preserve">ndos de la presente Resolución; </w:t>
      </w:r>
    </w:p>
    <w:p w:rsidR="000E7B39" w:rsidRPr="001423E8" w:rsidRDefault="00894B5B" w:rsidP="001423E8">
      <w:pPr>
        <w:spacing w:after="0" w:line="360" w:lineRule="auto"/>
        <w:jc w:val="both"/>
        <w:rPr>
          <w:rFonts w:ascii="Arial" w:hAnsi="Arial" w:cs="Arial"/>
          <w:sz w:val="24"/>
          <w:szCs w:val="24"/>
        </w:rPr>
      </w:pPr>
      <w:r w:rsidRPr="00894B5B">
        <w:rPr>
          <w:rFonts w:ascii="Arial" w:hAnsi="Arial" w:cs="Arial"/>
          <w:b/>
          <w:sz w:val="24"/>
          <w:szCs w:val="24"/>
        </w:rPr>
        <w:t>2)</w:t>
      </w:r>
      <w:r>
        <w:rPr>
          <w:rFonts w:ascii="Arial" w:hAnsi="Arial" w:cs="Arial"/>
          <w:sz w:val="24"/>
          <w:szCs w:val="24"/>
        </w:rPr>
        <w:t xml:space="preserve"> </w:t>
      </w:r>
      <w:r w:rsidR="000E7B39" w:rsidRPr="001423E8">
        <w:rPr>
          <w:rFonts w:ascii="Arial" w:hAnsi="Arial" w:cs="Arial"/>
          <w:sz w:val="24"/>
          <w:szCs w:val="24"/>
        </w:rPr>
        <w:t xml:space="preserve">Téngase presente lo expuesto en los Considerandos </w:t>
      </w:r>
      <w:r w:rsidR="00643F2B" w:rsidRPr="001423E8">
        <w:rPr>
          <w:rFonts w:ascii="Arial" w:hAnsi="Arial" w:cs="Arial"/>
          <w:sz w:val="24"/>
          <w:szCs w:val="24"/>
        </w:rPr>
        <w:t xml:space="preserve">3), 4) y 6) al 9); </w:t>
      </w:r>
      <w:r>
        <w:rPr>
          <w:rFonts w:ascii="Arial" w:hAnsi="Arial" w:cs="Arial"/>
          <w:sz w:val="24"/>
          <w:szCs w:val="24"/>
        </w:rPr>
        <w:t>y</w:t>
      </w:r>
    </w:p>
    <w:p w:rsidR="000E7B39" w:rsidRDefault="00894B5B" w:rsidP="001423E8">
      <w:pPr>
        <w:spacing w:after="0" w:line="240" w:lineRule="auto"/>
        <w:jc w:val="both"/>
        <w:rPr>
          <w:rFonts w:ascii="Arial" w:hAnsi="Arial" w:cs="Arial"/>
          <w:sz w:val="24"/>
          <w:szCs w:val="24"/>
        </w:rPr>
      </w:pPr>
      <w:r w:rsidRPr="00894B5B">
        <w:rPr>
          <w:rFonts w:ascii="Arial" w:hAnsi="Arial" w:cs="Arial"/>
          <w:b/>
          <w:sz w:val="24"/>
          <w:szCs w:val="24"/>
        </w:rPr>
        <w:t>3)</w:t>
      </w:r>
      <w:r>
        <w:rPr>
          <w:rFonts w:ascii="Arial" w:hAnsi="Arial" w:cs="Arial"/>
          <w:sz w:val="24"/>
          <w:szCs w:val="24"/>
        </w:rPr>
        <w:t xml:space="preserve"> </w:t>
      </w:r>
      <w:r w:rsidR="000E7B39" w:rsidRPr="001423E8">
        <w:rPr>
          <w:rFonts w:ascii="Arial" w:hAnsi="Arial" w:cs="Arial"/>
          <w:sz w:val="24"/>
          <w:szCs w:val="24"/>
        </w:rPr>
        <w:t>Devolver las actuaciones.</w:t>
      </w:r>
    </w:p>
    <w:p w:rsidR="00894B5B" w:rsidRDefault="00894B5B" w:rsidP="001423E8">
      <w:pPr>
        <w:spacing w:after="0" w:line="240" w:lineRule="auto"/>
        <w:jc w:val="both"/>
        <w:rPr>
          <w:rFonts w:ascii="Arial" w:hAnsi="Arial" w:cs="Arial"/>
          <w:sz w:val="24"/>
          <w:szCs w:val="24"/>
        </w:rPr>
      </w:pPr>
    </w:p>
    <w:p w:rsidR="00894B5B" w:rsidRDefault="00894B5B" w:rsidP="001423E8">
      <w:pPr>
        <w:spacing w:after="0" w:line="240" w:lineRule="auto"/>
        <w:jc w:val="both"/>
        <w:rPr>
          <w:rFonts w:ascii="Arial" w:hAnsi="Arial" w:cs="Arial"/>
          <w:sz w:val="24"/>
          <w:szCs w:val="24"/>
        </w:rPr>
      </w:pPr>
    </w:p>
    <w:p w:rsidR="00894B5B" w:rsidRDefault="00894B5B" w:rsidP="001423E8">
      <w:pPr>
        <w:spacing w:after="0" w:line="240" w:lineRule="auto"/>
        <w:jc w:val="both"/>
        <w:rPr>
          <w:rFonts w:ascii="Arial" w:hAnsi="Arial" w:cs="Arial"/>
          <w:sz w:val="24"/>
          <w:szCs w:val="24"/>
        </w:rPr>
      </w:pPr>
    </w:p>
    <w:p w:rsidR="00894B5B" w:rsidRDefault="00894B5B" w:rsidP="001423E8">
      <w:pPr>
        <w:spacing w:after="0" w:line="240" w:lineRule="auto"/>
        <w:jc w:val="both"/>
        <w:rPr>
          <w:rFonts w:ascii="Arial" w:hAnsi="Arial" w:cs="Arial"/>
          <w:sz w:val="24"/>
          <w:szCs w:val="24"/>
        </w:rPr>
      </w:pPr>
    </w:p>
    <w:p w:rsidR="00894B5B" w:rsidRDefault="00894B5B" w:rsidP="001423E8">
      <w:pPr>
        <w:spacing w:after="0" w:line="240" w:lineRule="auto"/>
        <w:jc w:val="both"/>
        <w:rPr>
          <w:rFonts w:ascii="Arial" w:hAnsi="Arial" w:cs="Arial"/>
          <w:sz w:val="24"/>
          <w:szCs w:val="24"/>
        </w:rPr>
      </w:pPr>
    </w:p>
    <w:p w:rsidR="00894B5B" w:rsidRPr="001423E8" w:rsidRDefault="00894B5B" w:rsidP="001423E8">
      <w:pPr>
        <w:spacing w:after="0" w:line="24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0E7B39" w:rsidRDefault="000E7B39" w:rsidP="001423E8">
      <w:pPr>
        <w:pStyle w:val="Prrafodelista"/>
        <w:spacing w:after="0" w:line="240" w:lineRule="auto"/>
        <w:jc w:val="both"/>
        <w:rPr>
          <w:rFonts w:ascii="Arial" w:hAnsi="Arial" w:cs="Arial"/>
          <w:sz w:val="24"/>
          <w:szCs w:val="24"/>
        </w:rPr>
      </w:pPr>
    </w:p>
    <w:p w:rsidR="000E7B39" w:rsidRDefault="000E7B39" w:rsidP="000E7B39">
      <w:pPr>
        <w:pStyle w:val="Prrafodelista"/>
        <w:spacing w:line="240" w:lineRule="auto"/>
        <w:jc w:val="both"/>
        <w:rPr>
          <w:rFonts w:ascii="Arial" w:hAnsi="Arial" w:cs="Arial"/>
          <w:sz w:val="24"/>
          <w:szCs w:val="24"/>
        </w:rPr>
      </w:pPr>
    </w:p>
    <w:p w:rsidR="000E7B39" w:rsidRPr="000E7B39" w:rsidRDefault="000E7B39" w:rsidP="000E7B39">
      <w:pPr>
        <w:pStyle w:val="Prrafodelista"/>
        <w:spacing w:line="240" w:lineRule="auto"/>
        <w:jc w:val="both"/>
        <w:rPr>
          <w:rFonts w:ascii="Arial" w:hAnsi="Arial" w:cs="Arial"/>
          <w:sz w:val="24"/>
          <w:szCs w:val="24"/>
        </w:rPr>
      </w:pPr>
      <w:r w:rsidRPr="000E7B39">
        <w:rPr>
          <w:rFonts w:ascii="Arial" w:hAnsi="Arial" w:cs="Arial"/>
          <w:sz w:val="24"/>
          <w:szCs w:val="24"/>
        </w:rPr>
        <w:t xml:space="preserve">                                            </w:t>
      </w:r>
    </w:p>
    <w:p w:rsidR="000E7B39" w:rsidRPr="000E7B39" w:rsidRDefault="000E7B39" w:rsidP="000E7B39">
      <w:pPr>
        <w:spacing w:line="360" w:lineRule="auto"/>
        <w:jc w:val="both"/>
        <w:rPr>
          <w:rFonts w:ascii="Arial" w:hAnsi="Arial" w:cs="Arial"/>
          <w:b/>
          <w:sz w:val="24"/>
          <w:szCs w:val="24"/>
        </w:rPr>
      </w:pPr>
    </w:p>
    <w:p w:rsidR="00452579" w:rsidRPr="00AF36A7" w:rsidRDefault="00452579" w:rsidP="00452579">
      <w:pPr>
        <w:spacing w:line="360" w:lineRule="auto"/>
        <w:jc w:val="both"/>
        <w:rPr>
          <w:rFonts w:ascii="Arial" w:hAnsi="Arial" w:cs="Arial"/>
          <w:b/>
          <w:sz w:val="24"/>
          <w:szCs w:val="24"/>
        </w:rPr>
      </w:pPr>
    </w:p>
    <w:p w:rsidR="00AF0050" w:rsidRPr="003804C0" w:rsidRDefault="00AF0050" w:rsidP="00EE1BEB">
      <w:pPr>
        <w:spacing w:line="360" w:lineRule="auto"/>
        <w:jc w:val="both"/>
        <w:rPr>
          <w:rFonts w:ascii="Arial" w:hAnsi="Arial" w:cs="Arial"/>
          <w:sz w:val="24"/>
          <w:szCs w:val="24"/>
        </w:rPr>
      </w:pPr>
      <w:bookmarkStart w:id="0" w:name="_GoBack"/>
      <w:bookmarkEnd w:id="0"/>
    </w:p>
    <w:sectPr w:rsidR="00AF0050" w:rsidRPr="003804C0" w:rsidSect="00894B5B">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5E" w:rsidRDefault="00FA665E" w:rsidP="004A6D77">
      <w:pPr>
        <w:spacing w:after="0" w:line="240" w:lineRule="auto"/>
      </w:pPr>
      <w:r>
        <w:separator/>
      </w:r>
    </w:p>
  </w:endnote>
  <w:endnote w:type="continuationSeparator" w:id="0">
    <w:p w:rsidR="00FA665E" w:rsidRDefault="00FA665E" w:rsidP="004A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57666"/>
      <w:docPartObj>
        <w:docPartGallery w:val="Page Numbers (Bottom of Page)"/>
        <w:docPartUnique/>
      </w:docPartObj>
    </w:sdtPr>
    <w:sdtEndPr/>
    <w:sdtContent>
      <w:p w:rsidR="00A238A2" w:rsidRDefault="00A238A2">
        <w:pPr>
          <w:pStyle w:val="Piedepgina"/>
          <w:jc w:val="right"/>
        </w:pPr>
        <w:r>
          <w:fldChar w:fldCharType="begin"/>
        </w:r>
        <w:r>
          <w:instrText>PAGE   \* MERGEFORMAT</w:instrText>
        </w:r>
        <w:r>
          <w:fldChar w:fldCharType="separate"/>
        </w:r>
        <w:r w:rsidR="00894B5B" w:rsidRPr="00894B5B">
          <w:rPr>
            <w:noProof/>
            <w:lang w:val="es-ES"/>
          </w:rPr>
          <w:t>6</w:t>
        </w:r>
        <w:r>
          <w:fldChar w:fldCharType="end"/>
        </w:r>
      </w:p>
    </w:sdtContent>
  </w:sdt>
  <w:p w:rsidR="00A238A2" w:rsidRDefault="00A238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5E" w:rsidRDefault="00FA665E" w:rsidP="004A6D77">
      <w:pPr>
        <w:spacing w:after="0" w:line="240" w:lineRule="auto"/>
      </w:pPr>
      <w:r>
        <w:separator/>
      </w:r>
    </w:p>
  </w:footnote>
  <w:footnote w:type="continuationSeparator" w:id="0">
    <w:p w:rsidR="00FA665E" w:rsidRDefault="00FA665E" w:rsidP="004A6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7EB"/>
    <w:multiLevelType w:val="hybridMultilevel"/>
    <w:tmpl w:val="E806C4C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9DB4EC4"/>
    <w:multiLevelType w:val="hybridMultilevel"/>
    <w:tmpl w:val="07EA2110"/>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232F039E"/>
    <w:multiLevelType w:val="hybridMultilevel"/>
    <w:tmpl w:val="EE68B8F6"/>
    <w:lvl w:ilvl="0" w:tplc="8EF4BE08">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A374C0E"/>
    <w:multiLevelType w:val="hybridMultilevel"/>
    <w:tmpl w:val="2F60BE5A"/>
    <w:lvl w:ilvl="0" w:tplc="AA0AC5EA">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36896A9B"/>
    <w:multiLevelType w:val="hybridMultilevel"/>
    <w:tmpl w:val="2F4CDC8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59A71ADC"/>
    <w:multiLevelType w:val="hybridMultilevel"/>
    <w:tmpl w:val="35DA3C7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5F4E7789"/>
    <w:multiLevelType w:val="hybridMultilevel"/>
    <w:tmpl w:val="35C08C06"/>
    <w:lvl w:ilvl="0" w:tplc="40D4743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6AED4D6C"/>
    <w:multiLevelType w:val="hybridMultilevel"/>
    <w:tmpl w:val="ECBEFBA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6D3D7B5D"/>
    <w:multiLevelType w:val="hybridMultilevel"/>
    <w:tmpl w:val="A1CED774"/>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2"/>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EB"/>
    <w:rsid w:val="0000418A"/>
    <w:rsid w:val="00010053"/>
    <w:rsid w:val="00011952"/>
    <w:rsid w:val="00011A4D"/>
    <w:rsid w:val="00014D4D"/>
    <w:rsid w:val="000267FA"/>
    <w:rsid w:val="00034550"/>
    <w:rsid w:val="000547A1"/>
    <w:rsid w:val="00056803"/>
    <w:rsid w:val="0006008A"/>
    <w:rsid w:val="00062D4C"/>
    <w:rsid w:val="00063BA1"/>
    <w:rsid w:val="00096F59"/>
    <w:rsid w:val="000A6677"/>
    <w:rsid w:val="000B6C25"/>
    <w:rsid w:val="000D5120"/>
    <w:rsid w:val="000E1807"/>
    <w:rsid w:val="000E7B39"/>
    <w:rsid w:val="00105766"/>
    <w:rsid w:val="00116568"/>
    <w:rsid w:val="00117105"/>
    <w:rsid w:val="0012097B"/>
    <w:rsid w:val="0012188B"/>
    <w:rsid w:val="00132B69"/>
    <w:rsid w:val="001401F2"/>
    <w:rsid w:val="001423E8"/>
    <w:rsid w:val="00142BD5"/>
    <w:rsid w:val="001446F8"/>
    <w:rsid w:val="001468A2"/>
    <w:rsid w:val="00152B0C"/>
    <w:rsid w:val="0017239C"/>
    <w:rsid w:val="0018603A"/>
    <w:rsid w:val="0019226B"/>
    <w:rsid w:val="001C16A4"/>
    <w:rsid w:val="001E48FE"/>
    <w:rsid w:val="001E4EDB"/>
    <w:rsid w:val="001E4FB5"/>
    <w:rsid w:val="001E6A05"/>
    <w:rsid w:val="00216BAB"/>
    <w:rsid w:val="00235F07"/>
    <w:rsid w:val="002452A5"/>
    <w:rsid w:val="002570DB"/>
    <w:rsid w:val="00264FF2"/>
    <w:rsid w:val="00265634"/>
    <w:rsid w:val="00267A9A"/>
    <w:rsid w:val="00273EB2"/>
    <w:rsid w:val="00277692"/>
    <w:rsid w:val="00281DEE"/>
    <w:rsid w:val="002909ED"/>
    <w:rsid w:val="00291392"/>
    <w:rsid w:val="002973A5"/>
    <w:rsid w:val="002A5117"/>
    <w:rsid w:val="002C2EDF"/>
    <w:rsid w:val="002C2F11"/>
    <w:rsid w:val="002C4F64"/>
    <w:rsid w:val="002D427B"/>
    <w:rsid w:val="002F2B2F"/>
    <w:rsid w:val="002F7666"/>
    <w:rsid w:val="003014FF"/>
    <w:rsid w:val="00304964"/>
    <w:rsid w:val="003176CC"/>
    <w:rsid w:val="003423AA"/>
    <w:rsid w:val="00352CB0"/>
    <w:rsid w:val="00373323"/>
    <w:rsid w:val="00373A77"/>
    <w:rsid w:val="003804C0"/>
    <w:rsid w:val="00380FCD"/>
    <w:rsid w:val="00384129"/>
    <w:rsid w:val="00390B6E"/>
    <w:rsid w:val="00391BD7"/>
    <w:rsid w:val="00393AB7"/>
    <w:rsid w:val="00396777"/>
    <w:rsid w:val="003B16B0"/>
    <w:rsid w:val="003C3578"/>
    <w:rsid w:val="003D4334"/>
    <w:rsid w:val="00414321"/>
    <w:rsid w:val="004201BA"/>
    <w:rsid w:val="00431B75"/>
    <w:rsid w:val="0043685E"/>
    <w:rsid w:val="0044098D"/>
    <w:rsid w:val="00452579"/>
    <w:rsid w:val="00452FF5"/>
    <w:rsid w:val="0045353C"/>
    <w:rsid w:val="004616EC"/>
    <w:rsid w:val="004836C6"/>
    <w:rsid w:val="004905C8"/>
    <w:rsid w:val="00493379"/>
    <w:rsid w:val="004972D7"/>
    <w:rsid w:val="004A2854"/>
    <w:rsid w:val="004A5D27"/>
    <w:rsid w:val="004A6D77"/>
    <w:rsid w:val="004C06D2"/>
    <w:rsid w:val="004E4566"/>
    <w:rsid w:val="004E48F8"/>
    <w:rsid w:val="004F1B07"/>
    <w:rsid w:val="004F728A"/>
    <w:rsid w:val="0051287D"/>
    <w:rsid w:val="00532ACC"/>
    <w:rsid w:val="005358CE"/>
    <w:rsid w:val="005671DE"/>
    <w:rsid w:val="005A073E"/>
    <w:rsid w:val="005A2661"/>
    <w:rsid w:val="005A637B"/>
    <w:rsid w:val="005A791A"/>
    <w:rsid w:val="005B0ECA"/>
    <w:rsid w:val="005F20AA"/>
    <w:rsid w:val="00602542"/>
    <w:rsid w:val="00621B49"/>
    <w:rsid w:val="00625074"/>
    <w:rsid w:val="006349AE"/>
    <w:rsid w:val="00642ABD"/>
    <w:rsid w:val="00643B0C"/>
    <w:rsid w:val="00643F2B"/>
    <w:rsid w:val="00647352"/>
    <w:rsid w:val="00667EFC"/>
    <w:rsid w:val="00687EAF"/>
    <w:rsid w:val="006A4A2D"/>
    <w:rsid w:val="007004A7"/>
    <w:rsid w:val="00700D60"/>
    <w:rsid w:val="0070136F"/>
    <w:rsid w:val="007035C4"/>
    <w:rsid w:val="00706DB4"/>
    <w:rsid w:val="0071323F"/>
    <w:rsid w:val="007135BF"/>
    <w:rsid w:val="00717796"/>
    <w:rsid w:val="00717FC7"/>
    <w:rsid w:val="00730473"/>
    <w:rsid w:val="0073210F"/>
    <w:rsid w:val="00744A9C"/>
    <w:rsid w:val="00762401"/>
    <w:rsid w:val="007678DE"/>
    <w:rsid w:val="00767938"/>
    <w:rsid w:val="00787F3B"/>
    <w:rsid w:val="007A36E5"/>
    <w:rsid w:val="007B7D01"/>
    <w:rsid w:val="007D15B6"/>
    <w:rsid w:val="00811FFE"/>
    <w:rsid w:val="00813C17"/>
    <w:rsid w:val="00852349"/>
    <w:rsid w:val="00854999"/>
    <w:rsid w:val="00855405"/>
    <w:rsid w:val="008809F8"/>
    <w:rsid w:val="008852E0"/>
    <w:rsid w:val="00890AD0"/>
    <w:rsid w:val="008913D2"/>
    <w:rsid w:val="008946BB"/>
    <w:rsid w:val="00894B5B"/>
    <w:rsid w:val="00895344"/>
    <w:rsid w:val="008A3489"/>
    <w:rsid w:val="008B1263"/>
    <w:rsid w:val="008C4B87"/>
    <w:rsid w:val="008D0027"/>
    <w:rsid w:val="008E500C"/>
    <w:rsid w:val="008F0DFB"/>
    <w:rsid w:val="008F2FC6"/>
    <w:rsid w:val="008F5D5B"/>
    <w:rsid w:val="00904AAE"/>
    <w:rsid w:val="00923F1F"/>
    <w:rsid w:val="00925246"/>
    <w:rsid w:val="00963AC2"/>
    <w:rsid w:val="00970DBF"/>
    <w:rsid w:val="009848B3"/>
    <w:rsid w:val="0099515C"/>
    <w:rsid w:val="00995B8C"/>
    <w:rsid w:val="009B7895"/>
    <w:rsid w:val="009C7031"/>
    <w:rsid w:val="009D3C12"/>
    <w:rsid w:val="00A13FDF"/>
    <w:rsid w:val="00A16A6D"/>
    <w:rsid w:val="00A238A2"/>
    <w:rsid w:val="00A41E08"/>
    <w:rsid w:val="00A52A7A"/>
    <w:rsid w:val="00A5619D"/>
    <w:rsid w:val="00A56991"/>
    <w:rsid w:val="00A57BB5"/>
    <w:rsid w:val="00A676CA"/>
    <w:rsid w:val="00A866F2"/>
    <w:rsid w:val="00A97680"/>
    <w:rsid w:val="00AA60C1"/>
    <w:rsid w:val="00AB70FB"/>
    <w:rsid w:val="00AE72C6"/>
    <w:rsid w:val="00AF0050"/>
    <w:rsid w:val="00AF36A7"/>
    <w:rsid w:val="00B03052"/>
    <w:rsid w:val="00B134B0"/>
    <w:rsid w:val="00B14FE4"/>
    <w:rsid w:val="00B22BA2"/>
    <w:rsid w:val="00B259E6"/>
    <w:rsid w:val="00B30928"/>
    <w:rsid w:val="00B3463B"/>
    <w:rsid w:val="00B41030"/>
    <w:rsid w:val="00B62D8C"/>
    <w:rsid w:val="00B833E8"/>
    <w:rsid w:val="00BA6DFA"/>
    <w:rsid w:val="00BD3B46"/>
    <w:rsid w:val="00BD4F74"/>
    <w:rsid w:val="00BD5540"/>
    <w:rsid w:val="00C05006"/>
    <w:rsid w:val="00C168B1"/>
    <w:rsid w:val="00C1697C"/>
    <w:rsid w:val="00C217FA"/>
    <w:rsid w:val="00C22212"/>
    <w:rsid w:val="00C53CC0"/>
    <w:rsid w:val="00C56677"/>
    <w:rsid w:val="00C61480"/>
    <w:rsid w:val="00C651B3"/>
    <w:rsid w:val="00C84ADC"/>
    <w:rsid w:val="00C91A77"/>
    <w:rsid w:val="00CA21AB"/>
    <w:rsid w:val="00CB6124"/>
    <w:rsid w:val="00CC27D1"/>
    <w:rsid w:val="00CC45B3"/>
    <w:rsid w:val="00CD72CA"/>
    <w:rsid w:val="00CE2004"/>
    <w:rsid w:val="00CE517E"/>
    <w:rsid w:val="00CE51AE"/>
    <w:rsid w:val="00CF2C7C"/>
    <w:rsid w:val="00CF3F96"/>
    <w:rsid w:val="00D12946"/>
    <w:rsid w:val="00D3568F"/>
    <w:rsid w:val="00D57D4B"/>
    <w:rsid w:val="00D679AC"/>
    <w:rsid w:val="00D84E66"/>
    <w:rsid w:val="00DC42BE"/>
    <w:rsid w:val="00DC67CE"/>
    <w:rsid w:val="00DC754A"/>
    <w:rsid w:val="00DD1D30"/>
    <w:rsid w:val="00E00387"/>
    <w:rsid w:val="00E102A6"/>
    <w:rsid w:val="00E224C1"/>
    <w:rsid w:val="00E32714"/>
    <w:rsid w:val="00E57CC1"/>
    <w:rsid w:val="00E71BFB"/>
    <w:rsid w:val="00E74B42"/>
    <w:rsid w:val="00E815B7"/>
    <w:rsid w:val="00E94BEE"/>
    <w:rsid w:val="00EC0A21"/>
    <w:rsid w:val="00EC38B3"/>
    <w:rsid w:val="00ED0142"/>
    <w:rsid w:val="00ED3160"/>
    <w:rsid w:val="00EE1BEB"/>
    <w:rsid w:val="00EE5B8C"/>
    <w:rsid w:val="00EF154C"/>
    <w:rsid w:val="00EF21AD"/>
    <w:rsid w:val="00EF21E6"/>
    <w:rsid w:val="00EF666E"/>
    <w:rsid w:val="00F02DE9"/>
    <w:rsid w:val="00F21E05"/>
    <w:rsid w:val="00F30513"/>
    <w:rsid w:val="00F42043"/>
    <w:rsid w:val="00F423C0"/>
    <w:rsid w:val="00F4240F"/>
    <w:rsid w:val="00F53161"/>
    <w:rsid w:val="00F74975"/>
    <w:rsid w:val="00F80B2C"/>
    <w:rsid w:val="00F8121C"/>
    <w:rsid w:val="00F8596C"/>
    <w:rsid w:val="00F86325"/>
    <w:rsid w:val="00F90586"/>
    <w:rsid w:val="00F95FAC"/>
    <w:rsid w:val="00FA665E"/>
    <w:rsid w:val="00FC15E3"/>
    <w:rsid w:val="00FD31DF"/>
    <w:rsid w:val="00FD3EC3"/>
    <w:rsid w:val="00FF05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7B39"/>
    <w:pPr>
      <w:ind w:left="720"/>
      <w:contextualSpacing/>
    </w:pPr>
  </w:style>
  <w:style w:type="paragraph" w:styleId="Textodeglobo">
    <w:name w:val="Balloon Text"/>
    <w:basedOn w:val="Normal"/>
    <w:link w:val="TextodegloboCar"/>
    <w:uiPriority w:val="99"/>
    <w:semiHidden/>
    <w:unhideWhenUsed/>
    <w:rsid w:val="002A51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117"/>
    <w:rPr>
      <w:rFonts w:ascii="Tahoma" w:hAnsi="Tahoma" w:cs="Tahoma"/>
      <w:sz w:val="16"/>
      <w:szCs w:val="16"/>
    </w:rPr>
  </w:style>
  <w:style w:type="paragraph" w:styleId="Encabezado">
    <w:name w:val="header"/>
    <w:basedOn w:val="Normal"/>
    <w:link w:val="EncabezadoCar"/>
    <w:uiPriority w:val="99"/>
    <w:unhideWhenUsed/>
    <w:rsid w:val="004A6D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6D77"/>
  </w:style>
  <w:style w:type="paragraph" w:styleId="Piedepgina">
    <w:name w:val="footer"/>
    <w:basedOn w:val="Normal"/>
    <w:link w:val="PiedepginaCar"/>
    <w:uiPriority w:val="99"/>
    <w:unhideWhenUsed/>
    <w:rsid w:val="004A6D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6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7B39"/>
    <w:pPr>
      <w:ind w:left="720"/>
      <w:contextualSpacing/>
    </w:pPr>
  </w:style>
  <w:style w:type="paragraph" w:styleId="Textodeglobo">
    <w:name w:val="Balloon Text"/>
    <w:basedOn w:val="Normal"/>
    <w:link w:val="TextodegloboCar"/>
    <w:uiPriority w:val="99"/>
    <w:semiHidden/>
    <w:unhideWhenUsed/>
    <w:rsid w:val="002A51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117"/>
    <w:rPr>
      <w:rFonts w:ascii="Tahoma" w:hAnsi="Tahoma" w:cs="Tahoma"/>
      <w:sz w:val="16"/>
      <w:szCs w:val="16"/>
    </w:rPr>
  </w:style>
  <w:style w:type="paragraph" w:styleId="Encabezado">
    <w:name w:val="header"/>
    <w:basedOn w:val="Normal"/>
    <w:link w:val="EncabezadoCar"/>
    <w:uiPriority w:val="99"/>
    <w:unhideWhenUsed/>
    <w:rsid w:val="004A6D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6D77"/>
  </w:style>
  <w:style w:type="paragraph" w:styleId="Piedepgina">
    <w:name w:val="footer"/>
    <w:basedOn w:val="Normal"/>
    <w:link w:val="PiedepginaCar"/>
    <w:uiPriority w:val="99"/>
    <w:unhideWhenUsed/>
    <w:rsid w:val="004A6D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0164-5416-495D-9560-2DBC641F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2019-07-25T18:52:00Z</cp:lastPrinted>
  <dcterms:created xsi:type="dcterms:W3CDTF">2019-07-25T18:53:00Z</dcterms:created>
  <dcterms:modified xsi:type="dcterms:W3CDTF">2019-07-25T18:53:00Z</dcterms:modified>
</cp:coreProperties>
</file>