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5E" w:rsidRPr="007A7443" w:rsidRDefault="00BE725E" w:rsidP="00BE725E">
      <w:pPr>
        <w:tabs>
          <w:tab w:val="center" w:pos="4253"/>
        </w:tabs>
        <w:suppressAutoHyphens/>
        <w:spacing w:line="480" w:lineRule="auto"/>
        <w:jc w:val="right"/>
        <w:rPr>
          <w:b/>
          <w:sz w:val="28"/>
          <w:szCs w:val="28"/>
        </w:rPr>
      </w:pPr>
      <w:r w:rsidRPr="007A7443">
        <w:rPr>
          <w:b/>
          <w:sz w:val="28"/>
          <w:szCs w:val="28"/>
        </w:rPr>
        <w:t xml:space="preserve">RES. </w:t>
      </w:r>
      <w:r>
        <w:rPr>
          <w:b/>
          <w:sz w:val="28"/>
          <w:szCs w:val="28"/>
        </w:rPr>
        <w:t>1763</w:t>
      </w:r>
      <w:r w:rsidRPr="007A7443">
        <w:rPr>
          <w:b/>
          <w:sz w:val="28"/>
          <w:szCs w:val="28"/>
        </w:rPr>
        <w:t>/19</w:t>
      </w:r>
    </w:p>
    <w:p w:rsidR="00BE725E" w:rsidRPr="000F48AC" w:rsidRDefault="00BE725E" w:rsidP="00BE725E">
      <w:pPr>
        <w:tabs>
          <w:tab w:val="center" w:pos="4253"/>
        </w:tabs>
        <w:suppressAutoHyphens/>
        <w:spacing w:line="480" w:lineRule="auto"/>
        <w:jc w:val="center"/>
        <w:rPr>
          <w:b/>
          <w:lang w:val="es-ES_tradnl"/>
        </w:rPr>
      </w:pPr>
      <w:r w:rsidRPr="000F48AC">
        <w:rPr>
          <w:b/>
          <w:lang w:val="es-ES_tradnl"/>
        </w:rPr>
        <w:t>RESOLUCION ADOPTADA POR EL</w:t>
      </w:r>
    </w:p>
    <w:p w:rsidR="00BE725E" w:rsidRPr="000F48AC" w:rsidRDefault="00BE725E" w:rsidP="00BE725E">
      <w:pPr>
        <w:tabs>
          <w:tab w:val="center" w:pos="4253"/>
        </w:tabs>
        <w:suppressAutoHyphens/>
        <w:spacing w:line="480" w:lineRule="auto"/>
        <w:jc w:val="center"/>
        <w:rPr>
          <w:b/>
          <w:lang w:val="es-ES_tradnl"/>
        </w:rPr>
      </w:pPr>
      <w:r w:rsidRPr="000F48AC">
        <w:rPr>
          <w:b/>
          <w:lang w:val="es-ES_tradnl"/>
        </w:rPr>
        <w:t>TRIBUNAL DE CUENTAS</w:t>
      </w:r>
    </w:p>
    <w:p w:rsidR="00BE725E" w:rsidRPr="000F48AC" w:rsidRDefault="00BE725E" w:rsidP="00BE725E">
      <w:pPr>
        <w:tabs>
          <w:tab w:val="center" w:pos="4253"/>
        </w:tabs>
        <w:suppressAutoHyphens/>
        <w:spacing w:line="480" w:lineRule="auto"/>
        <w:jc w:val="center"/>
        <w:rPr>
          <w:b/>
          <w:lang w:val="es-ES_tradnl"/>
        </w:rPr>
      </w:pPr>
      <w:r w:rsidRPr="000F48AC">
        <w:rPr>
          <w:b/>
          <w:lang w:val="es-ES_tradnl"/>
        </w:rPr>
        <w:t xml:space="preserve">EN SESION DE FECHA </w:t>
      </w:r>
      <w:r>
        <w:rPr>
          <w:b/>
          <w:lang w:val="es-ES_tradnl"/>
        </w:rPr>
        <w:t>24 DE JULIO DE 2019</w:t>
      </w:r>
    </w:p>
    <w:p w:rsidR="00BE725E" w:rsidRDefault="00BE725E" w:rsidP="00BE725E">
      <w:pPr>
        <w:tabs>
          <w:tab w:val="center" w:pos="4253"/>
        </w:tabs>
        <w:suppressAutoHyphens/>
        <w:spacing w:line="360" w:lineRule="auto"/>
        <w:jc w:val="center"/>
        <w:rPr>
          <w:b/>
        </w:rPr>
      </w:pPr>
      <w:r w:rsidRPr="00BB4DEC">
        <w:rPr>
          <w:b/>
        </w:rPr>
        <w:t>(E.</w:t>
      </w:r>
      <w:r>
        <w:rPr>
          <w:b/>
        </w:rPr>
        <w:t xml:space="preserve"> E. Nº 201</w:t>
      </w:r>
      <w:r>
        <w:rPr>
          <w:b/>
        </w:rPr>
        <w:t>9</w:t>
      </w:r>
      <w:r>
        <w:rPr>
          <w:b/>
        </w:rPr>
        <w:t>-17-1-000</w:t>
      </w:r>
      <w:r>
        <w:rPr>
          <w:b/>
        </w:rPr>
        <w:t>3097</w:t>
      </w:r>
      <w:r>
        <w:rPr>
          <w:b/>
        </w:rPr>
        <w:t xml:space="preserve">, </w:t>
      </w:r>
      <w:proofErr w:type="spellStart"/>
      <w:r>
        <w:rPr>
          <w:b/>
        </w:rPr>
        <w:t>Ent</w:t>
      </w:r>
      <w:proofErr w:type="spellEnd"/>
      <w:r>
        <w:rPr>
          <w:b/>
        </w:rPr>
        <w:t xml:space="preserve">. N° </w:t>
      </w:r>
      <w:r>
        <w:rPr>
          <w:b/>
        </w:rPr>
        <w:t>2428</w:t>
      </w:r>
      <w:r>
        <w:rPr>
          <w:b/>
        </w:rPr>
        <w:t>/19</w:t>
      </w:r>
      <w:r w:rsidRPr="00BB4DEC">
        <w:rPr>
          <w:b/>
        </w:rPr>
        <w:t>)</w:t>
      </w:r>
    </w:p>
    <w:p w:rsidR="00BE725E" w:rsidRPr="00BB4DEC" w:rsidRDefault="00BE725E" w:rsidP="00BE725E">
      <w:pPr>
        <w:tabs>
          <w:tab w:val="center" w:pos="4253"/>
        </w:tabs>
        <w:suppressAutoHyphens/>
        <w:spacing w:line="360" w:lineRule="auto"/>
        <w:jc w:val="center"/>
        <w:rPr>
          <w:b/>
        </w:rPr>
      </w:pPr>
    </w:p>
    <w:p w:rsidR="0014437A" w:rsidRPr="00BE725E" w:rsidRDefault="0014437A" w:rsidP="00BE725E">
      <w:pPr>
        <w:spacing w:line="360" w:lineRule="auto"/>
        <w:ind w:firstLine="851"/>
        <w:jc w:val="both"/>
        <w:rPr>
          <w:highlight w:val="yellow"/>
          <w:lang w:val="es-MX"/>
        </w:rPr>
      </w:pPr>
      <w:r w:rsidRPr="00BE725E">
        <w:rPr>
          <w:b/>
        </w:rPr>
        <w:t>VISTO:</w:t>
      </w:r>
      <w:r w:rsidRPr="00BE725E">
        <w:t xml:space="preserve"> las actuaciones remitidas por la Administración Nacional de Telecomunicaciones relacionadas con la Contratación directa por excepción, relativas a la prestación de servicios de explotación de la infraestructura y plataforma tecnológica de AGESIC, así como sus aplicaciones, administración, operación y soporte técnico;</w:t>
      </w:r>
    </w:p>
    <w:p w:rsidR="0014437A" w:rsidRPr="00BE725E" w:rsidRDefault="0014437A" w:rsidP="00F006C9">
      <w:pPr>
        <w:spacing w:line="360" w:lineRule="auto"/>
        <w:ind w:firstLine="851"/>
        <w:jc w:val="both"/>
      </w:pPr>
      <w:r w:rsidRPr="00BE725E">
        <w:rPr>
          <w:b/>
        </w:rPr>
        <w:t xml:space="preserve">RESULTANDO: 1) </w:t>
      </w:r>
      <w:r w:rsidRPr="00BE725E">
        <w:t>que consta en las actuaciones remitidas la propuesta comercial remitida por ANTEL a la AGESIC relativa a la prestación de servicios de explotación de la infraestructura y plataforma tecnológica de AGESIC, así como sus aplicaciones, administración, operación y soporte técnico;</w:t>
      </w:r>
    </w:p>
    <w:p w:rsidR="00F006C9" w:rsidRDefault="0014437A" w:rsidP="00F006C9">
      <w:pPr>
        <w:spacing w:line="360" w:lineRule="auto"/>
        <w:ind w:firstLine="2835"/>
        <w:jc w:val="both"/>
      </w:pPr>
      <w:r w:rsidRPr="00BE725E">
        <w:rPr>
          <w:b/>
        </w:rPr>
        <w:t xml:space="preserve">2)  </w:t>
      </w:r>
      <w:r w:rsidRPr="00BE725E">
        <w:t>que en la referida propuesta se incluyen servicios básicos a ser prestados, más otros servicios opcionales que pueden ser requeridos por AGESIC, en el caso de un potencial crecimiento. El precio de servicio básico asciende a la suma de $ 206.056.896 más IVA, y el precio por los servicios opcionales asciende a $ 158.663.760 más IVA, lo que hace un total de $ 364.720.000 más IVA;</w:t>
      </w:r>
    </w:p>
    <w:p w:rsidR="00F006C9" w:rsidRDefault="0014437A" w:rsidP="00F006C9">
      <w:pPr>
        <w:spacing w:line="360" w:lineRule="auto"/>
        <w:ind w:firstLine="2835"/>
        <w:jc w:val="both"/>
      </w:pPr>
      <w:r w:rsidRPr="00BE725E">
        <w:rPr>
          <w:b/>
        </w:rPr>
        <w:t>3)</w:t>
      </w:r>
      <w:r w:rsidRPr="00BE725E">
        <w:t xml:space="preserve"> que dicha propuesta fue aceptada por AGESIC en fecha 08.03.2019;</w:t>
      </w:r>
    </w:p>
    <w:p w:rsidR="00F006C9" w:rsidRDefault="0014437A" w:rsidP="00F006C9">
      <w:pPr>
        <w:spacing w:line="360" w:lineRule="auto"/>
        <w:ind w:firstLine="2835"/>
        <w:jc w:val="both"/>
      </w:pPr>
      <w:r w:rsidRPr="00BE725E">
        <w:rPr>
          <w:b/>
        </w:rPr>
        <w:t>4)</w:t>
      </w:r>
      <w:r w:rsidRPr="00BE725E">
        <w:t xml:space="preserve"> que la Comis</w:t>
      </w:r>
      <w:r w:rsidR="00D00697" w:rsidRPr="00BE725E">
        <w:t xml:space="preserve">ión Asesora de Adjudicaciones, </w:t>
      </w:r>
      <w:r w:rsidRPr="00BE725E">
        <w:t xml:space="preserve">invocando que la presente contratación se encuentra comprendida en el Convenio Marco de Colaboración Institucional suscrito por ambos organismos </w:t>
      </w:r>
      <w:r w:rsidRPr="00BE725E">
        <w:lastRenderedPageBreak/>
        <w:t>públicos el 12.02.2008, y en base a lo establecido por el artículo 33 literal C) numeral 1) del TOCAF, sugirió adjudicar la venta de los servicios de explotación de servicios de explotación de la infraestructura y plataforma tecnológica de AGESIC, así como sus aplicaciones, administración, operación y soporte técnico, a la AGESIC, por un monto total de $ 444.959.200,32, comprensivo de un monto de $ 364.720.656 por concepto de servicios de explotación (suma del monto total del servicio básico más monto total de servicios opcionales), y $ 80.238.544,32 por concepto de IVA, ajustándose mensualmente los precios por el Índice Medio de Salarios, y que previo al inicio del servicio, AGESIC, a través de su representante, deberá firmar el Acuerdo de Confidencialidad por el término de 10 años;</w:t>
      </w:r>
    </w:p>
    <w:p w:rsidR="00F006C9" w:rsidRDefault="0014437A" w:rsidP="00F006C9">
      <w:pPr>
        <w:spacing w:line="360" w:lineRule="auto"/>
        <w:ind w:firstLine="2835"/>
        <w:jc w:val="both"/>
      </w:pPr>
      <w:r w:rsidRPr="00BE725E">
        <w:rPr>
          <w:b/>
        </w:rPr>
        <w:t xml:space="preserve">5) </w:t>
      </w:r>
      <w:r w:rsidRPr="00BE725E">
        <w:t xml:space="preserve">que por Resolución N° 585/19 de fecha 13.06.2019, el Directorio de ANTEL, de conformidad con lo sugerido por la Comisión Asesora, aprobó la venta a la AGESIC, de los servicios de referencia, sujeto a la intervención de éste Tribunal, por un monto máximo de </w:t>
      </w:r>
      <w:r w:rsidR="00F006C9">
        <w:t xml:space="preserve">                     </w:t>
      </w:r>
      <w:r w:rsidRPr="00BE725E">
        <w:t xml:space="preserve">$ 444.959.200,32, impuestos incluidos, estableciendo que AGESIC deberá firmar el Acuerdo de Confidencialidad previo al inicio del servicio; </w:t>
      </w:r>
    </w:p>
    <w:p w:rsidR="00FC6116" w:rsidRDefault="0014437A" w:rsidP="00FC6116">
      <w:pPr>
        <w:spacing w:line="360" w:lineRule="auto"/>
        <w:ind w:firstLine="2835"/>
        <w:jc w:val="both"/>
      </w:pPr>
      <w:r w:rsidRPr="00BE725E">
        <w:rPr>
          <w:b/>
        </w:rPr>
        <w:t>6)</w:t>
      </w:r>
      <w:r w:rsidR="00F006C9">
        <w:t xml:space="preserve"> </w:t>
      </w:r>
      <w:r w:rsidRPr="00BE725E">
        <w:t>que por Resolución N° 1485/19 adoptada</w:t>
      </w:r>
      <w:r w:rsidR="001E2917" w:rsidRPr="00BE725E">
        <w:t xml:space="preserve"> en Sesión de fecha 26.6.2019, e</w:t>
      </w:r>
      <w:r w:rsidRPr="00BE725E">
        <w:t>ste Tribunal</w:t>
      </w:r>
      <w:r w:rsidR="001E2917" w:rsidRPr="00BE725E">
        <w:t>, cuando AGESIC remitió los antecedentes para la intervención preventiva del gasto,</w:t>
      </w:r>
      <w:r w:rsidRPr="00BE725E">
        <w:t xml:space="preserve"> acordó </w:t>
      </w:r>
      <w:r w:rsidR="001E2917" w:rsidRPr="00BE725E">
        <w:t xml:space="preserve">cometer al Contador Delegado en Presidencia de la República </w:t>
      </w:r>
      <w:r w:rsidRPr="00BE725E">
        <w:t xml:space="preserve">que, una vez dictada la resolución definitiva por el Ordenador competente, </w:t>
      </w:r>
      <w:r w:rsidR="001E2917" w:rsidRPr="00BE725E">
        <w:t>interviniera el gasto de $444.959.200,32;</w:t>
      </w:r>
    </w:p>
    <w:p w:rsidR="0014437A" w:rsidRPr="00BE725E" w:rsidRDefault="0014437A" w:rsidP="00FC6116">
      <w:pPr>
        <w:spacing w:line="360" w:lineRule="auto"/>
        <w:ind w:firstLine="2835"/>
        <w:jc w:val="both"/>
      </w:pPr>
      <w:r w:rsidRPr="00BE725E">
        <w:rPr>
          <w:b/>
        </w:rPr>
        <w:t>7)</w:t>
      </w:r>
      <w:r w:rsidRPr="00BE725E">
        <w:t xml:space="preserve"> que las presentes actuacion</w:t>
      </w:r>
      <w:r w:rsidR="001E2917" w:rsidRPr="00BE725E">
        <w:t>es tuvieron fecha de entrada a e</w:t>
      </w:r>
      <w:r w:rsidRPr="00BE725E">
        <w:t xml:space="preserve">ste Tribunal el día 2.7.2019; </w:t>
      </w:r>
    </w:p>
    <w:p w:rsidR="00FC6116" w:rsidRDefault="0014437A" w:rsidP="00FC6116">
      <w:pPr>
        <w:pStyle w:val="Textoindependiente2"/>
        <w:ind w:firstLine="851"/>
        <w:rPr>
          <w:szCs w:val="24"/>
        </w:rPr>
      </w:pPr>
      <w:r w:rsidRPr="00BE725E">
        <w:rPr>
          <w:b/>
          <w:szCs w:val="24"/>
        </w:rPr>
        <w:t>CONSIDERANDO:</w:t>
      </w:r>
      <w:r w:rsidRPr="00BE725E">
        <w:rPr>
          <w:szCs w:val="24"/>
        </w:rPr>
        <w:t xml:space="preserve"> </w:t>
      </w:r>
      <w:r w:rsidRPr="00BE725E">
        <w:rPr>
          <w:b/>
          <w:bCs/>
          <w:szCs w:val="24"/>
        </w:rPr>
        <w:t>1)</w:t>
      </w:r>
      <w:r w:rsidRPr="00BE725E">
        <w:rPr>
          <w:szCs w:val="24"/>
        </w:rPr>
        <w:t xml:space="preserve"> que la contratación de referencia encuadra en la causal de excepción prevista en el artículo 33 literal C) numeral 1) del TOCAF, al ser la </w:t>
      </w:r>
      <w:proofErr w:type="spellStart"/>
      <w:r w:rsidRPr="00BE725E">
        <w:rPr>
          <w:szCs w:val="24"/>
        </w:rPr>
        <w:t>co</w:t>
      </w:r>
      <w:proofErr w:type="spellEnd"/>
      <w:r w:rsidR="001E2917" w:rsidRPr="00BE725E">
        <w:rPr>
          <w:szCs w:val="24"/>
        </w:rPr>
        <w:t>-</w:t>
      </w:r>
      <w:r w:rsidRPr="00BE725E">
        <w:rPr>
          <w:szCs w:val="24"/>
        </w:rPr>
        <w:t>contratante (AGESIC) unidad ejecutora de la Presidencia de la República;</w:t>
      </w:r>
    </w:p>
    <w:p w:rsidR="00FC6116" w:rsidRDefault="0014437A" w:rsidP="00FC6116">
      <w:pPr>
        <w:pStyle w:val="Textoindependiente2"/>
        <w:ind w:firstLine="2977"/>
        <w:rPr>
          <w:szCs w:val="24"/>
        </w:rPr>
      </w:pPr>
      <w:r w:rsidRPr="00BE725E">
        <w:rPr>
          <w:b/>
          <w:szCs w:val="24"/>
        </w:rPr>
        <w:lastRenderedPageBreak/>
        <w:t xml:space="preserve">2) </w:t>
      </w:r>
      <w:r w:rsidRPr="00BE725E">
        <w:rPr>
          <w:szCs w:val="24"/>
        </w:rPr>
        <w:t>que</w:t>
      </w:r>
      <w:r w:rsidRPr="00BE725E">
        <w:rPr>
          <w:b/>
          <w:szCs w:val="24"/>
        </w:rPr>
        <w:t xml:space="preserve"> </w:t>
      </w:r>
      <w:r w:rsidRPr="00BE725E">
        <w:rPr>
          <w:szCs w:val="24"/>
        </w:rPr>
        <w:t>el artículo 271 de la Ley 16.462, incorpora al giro de todos los Entes Autónomos y Servicios Descentralizados la prestación de servicios de asesoramiento y asistencia técnica, en las áreas de sus respectivas especialidades, tanto en el territorio de la República como en el exterior, y a tales fines podrán asociarse en forma accidental o permanente con otras entidades públicas o privadas nacionales o extranjeras, así como contratar o subcontratar con ellas la complementación de sus tareas;</w:t>
      </w:r>
    </w:p>
    <w:p w:rsidR="00FC6116" w:rsidRDefault="0014437A" w:rsidP="00FC6116">
      <w:pPr>
        <w:pStyle w:val="Textoindependiente2"/>
        <w:ind w:firstLine="2977"/>
        <w:rPr>
          <w:szCs w:val="24"/>
        </w:rPr>
      </w:pPr>
      <w:r w:rsidRPr="00BE725E">
        <w:rPr>
          <w:b/>
          <w:szCs w:val="24"/>
        </w:rPr>
        <w:t xml:space="preserve">3) </w:t>
      </w:r>
      <w:r w:rsidRPr="00BE725E">
        <w:rPr>
          <w:szCs w:val="24"/>
        </w:rPr>
        <w:t>que de acuerdo al Decreto-Ley 14.235, y al Artículo 12 de la Ley 16.211, es competencia de ANTEL la prestación de servicios de telecomunicaciones, entendiéndose por tal, toda transmisión, emisión o recepción de signos, señales, escritos, imágenes, sonidos o informaciones de cualquier naturaleza por hilo, radio electricidad, medios ópticos u otros sistemas electromagnéticos. A su vez, respecto de AGESIC, el artículo 55 de la Ley 18.046 establece que la referida Agencia, tendrá como misión impulsar el avance de la sociedad de la información y del conocimiento, promoviendo que las personas, las empresas y el Gobierno realicen el mejor uso de las tecnologías de la información y las comunicaciones</w:t>
      </w:r>
      <w:r w:rsidRPr="00BE725E">
        <w:rPr>
          <w:i/>
          <w:szCs w:val="24"/>
        </w:rPr>
        <w:t>,</w:t>
      </w:r>
      <w:r w:rsidRPr="00BE725E">
        <w:rPr>
          <w:szCs w:val="24"/>
        </w:rPr>
        <w:t xml:space="preserve"> por lo que la contratación de referencia se enmarca tanto en los cometidos y especialidades de las partes contratantes, como en la prestación de servicios de asesoramiento y asistencia técnica, previstos en el artículo 271 de la Ley 16.462;</w:t>
      </w:r>
    </w:p>
    <w:p w:rsidR="0014437A" w:rsidRPr="00BE725E" w:rsidRDefault="00D00697" w:rsidP="00FC6116">
      <w:pPr>
        <w:pStyle w:val="Textoindependiente2"/>
        <w:ind w:firstLine="2977"/>
        <w:rPr>
          <w:szCs w:val="24"/>
        </w:rPr>
      </w:pPr>
      <w:r w:rsidRPr="00BE725E">
        <w:rPr>
          <w:b/>
          <w:szCs w:val="24"/>
        </w:rPr>
        <w:t>4)</w:t>
      </w:r>
      <w:r w:rsidR="00FC6116">
        <w:rPr>
          <w:b/>
          <w:szCs w:val="24"/>
        </w:rPr>
        <w:t xml:space="preserve"> </w:t>
      </w:r>
      <w:r w:rsidR="001E2917" w:rsidRPr="00BE725E">
        <w:rPr>
          <w:szCs w:val="24"/>
        </w:rPr>
        <w:t>que e</w:t>
      </w:r>
      <w:r w:rsidRPr="00BE725E">
        <w:rPr>
          <w:szCs w:val="24"/>
        </w:rPr>
        <w:t xml:space="preserve">ste Tribunal ya se expidió sobre la legalidad del presente procedimiento </w:t>
      </w:r>
      <w:r w:rsidR="001E2917" w:rsidRPr="00BE725E">
        <w:rPr>
          <w:szCs w:val="24"/>
        </w:rPr>
        <w:t>(Resultando 6);</w:t>
      </w:r>
    </w:p>
    <w:p w:rsidR="0014437A" w:rsidRPr="00BE725E" w:rsidRDefault="0014437A" w:rsidP="00FC6116">
      <w:pPr>
        <w:spacing w:line="360" w:lineRule="auto"/>
        <w:ind w:firstLine="851"/>
        <w:jc w:val="both"/>
      </w:pPr>
      <w:r w:rsidRPr="00BE725E">
        <w:rPr>
          <w:b/>
        </w:rPr>
        <w:t>ATENTO:</w:t>
      </w:r>
      <w:r w:rsidRPr="00BE725E">
        <w:t xml:space="preserve"> a lo expuesto y a lo dispuesto por el artículo 211 literal E) de la Constitución de la República;</w:t>
      </w:r>
    </w:p>
    <w:p w:rsidR="0014437A" w:rsidRPr="00BE725E" w:rsidRDefault="0014437A" w:rsidP="00FC6116">
      <w:pPr>
        <w:spacing w:line="360" w:lineRule="auto"/>
        <w:jc w:val="center"/>
        <w:rPr>
          <w:b/>
        </w:rPr>
      </w:pPr>
      <w:r w:rsidRPr="00BE725E">
        <w:rPr>
          <w:b/>
        </w:rPr>
        <w:t>EL TRIBUNAL ACUERDA</w:t>
      </w:r>
    </w:p>
    <w:p w:rsidR="0014437A" w:rsidRPr="00BE725E" w:rsidRDefault="00FC6116" w:rsidP="00FC6116">
      <w:pPr>
        <w:spacing w:line="360" w:lineRule="auto"/>
        <w:jc w:val="both"/>
      </w:pPr>
      <w:r>
        <w:rPr>
          <w:b/>
        </w:rPr>
        <w:t xml:space="preserve">1) </w:t>
      </w:r>
      <w:r w:rsidR="0014437A" w:rsidRPr="00BE725E">
        <w:t>No formular observaciones a la venta de servicios de ANTEL a AGESIC por el monto de $ 444.959.200,32, IVA incluido;</w:t>
      </w:r>
    </w:p>
    <w:p w:rsidR="0014437A" w:rsidRPr="00BE725E" w:rsidRDefault="00FC6116" w:rsidP="00FC6116">
      <w:pPr>
        <w:spacing w:line="360" w:lineRule="auto"/>
        <w:jc w:val="both"/>
      </w:pPr>
      <w:r>
        <w:rPr>
          <w:b/>
        </w:rPr>
        <w:lastRenderedPageBreak/>
        <w:t xml:space="preserve">2) </w:t>
      </w:r>
      <w:r w:rsidR="0014437A" w:rsidRPr="00BE725E">
        <w:t xml:space="preserve">Cometer al Contador Delegado </w:t>
      </w:r>
      <w:r w:rsidR="001E2917" w:rsidRPr="00BE725E">
        <w:t xml:space="preserve">en ANTEL </w:t>
      </w:r>
      <w:r w:rsidR="0014437A" w:rsidRPr="00BE725E">
        <w:t>el control de la efectiva versión de los fondos;</w:t>
      </w:r>
    </w:p>
    <w:p w:rsidR="0014437A" w:rsidRPr="00BE725E" w:rsidRDefault="00FC6116" w:rsidP="00FC6116">
      <w:pPr>
        <w:spacing w:line="360" w:lineRule="auto"/>
        <w:jc w:val="both"/>
      </w:pPr>
      <w:r>
        <w:rPr>
          <w:b/>
        </w:rPr>
        <w:t xml:space="preserve">3) </w:t>
      </w:r>
      <w:r w:rsidR="0014437A" w:rsidRPr="00BE725E">
        <w:t>Comunicar al Contador Delegado; y</w:t>
      </w:r>
    </w:p>
    <w:p w:rsidR="00FC6116" w:rsidRPr="00FC6116" w:rsidRDefault="00FC6116" w:rsidP="00FC6116">
      <w:pPr>
        <w:spacing w:line="360" w:lineRule="auto"/>
        <w:jc w:val="both"/>
        <w:rPr>
          <w:b/>
        </w:rPr>
      </w:pPr>
      <w:r>
        <w:rPr>
          <w:b/>
        </w:rPr>
        <w:t>4)</w:t>
      </w:r>
      <w:bookmarkStart w:id="0" w:name="_GoBack"/>
      <w:bookmarkEnd w:id="0"/>
      <w:r>
        <w:rPr>
          <w:b/>
        </w:rPr>
        <w:t xml:space="preserve"> </w:t>
      </w:r>
      <w:r>
        <w:t>Devolver las actuaciones.</w:t>
      </w:r>
    </w:p>
    <w:p w:rsidR="00FC6116" w:rsidRDefault="00FC6116" w:rsidP="00FC6116">
      <w:pPr>
        <w:spacing w:line="360" w:lineRule="auto"/>
        <w:jc w:val="both"/>
      </w:pPr>
    </w:p>
    <w:p w:rsidR="0014437A" w:rsidRPr="00FC6116" w:rsidRDefault="00FC6116" w:rsidP="00FC6116">
      <w:pPr>
        <w:spacing w:line="360" w:lineRule="auto"/>
        <w:jc w:val="both"/>
        <w:rPr>
          <w:b/>
        </w:rPr>
      </w:pPr>
      <w:proofErr w:type="gramStart"/>
      <w:r>
        <w:t>lm</w:t>
      </w:r>
      <w:proofErr w:type="gramEnd"/>
      <w:r w:rsidR="0014437A" w:rsidRPr="00FC6116">
        <w:rPr>
          <w:i/>
        </w:rPr>
        <w:tab/>
      </w:r>
    </w:p>
    <w:p w:rsidR="00990578" w:rsidRPr="00BE725E" w:rsidRDefault="00990578" w:rsidP="00BE725E">
      <w:pPr>
        <w:spacing w:line="360" w:lineRule="auto"/>
        <w:jc w:val="both"/>
      </w:pPr>
    </w:p>
    <w:sectPr w:rsidR="00990578" w:rsidRPr="00BE725E" w:rsidSect="00BE725E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6C9" w:rsidRDefault="00F006C9" w:rsidP="00F006C9">
      <w:r>
        <w:separator/>
      </w:r>
    </w:p>
  </w:endnote>
  <w:endnote w:type="continuationSeparator" w:id="0">
    <w:p w:rsidR="00F006C9" w:rsidRDefault="00F006C9" w:rsidP="00F0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997719"/>
      <w:docPartObj>
        <w:docPartGallery w:val="Page Numbers (Bottom of Page)"/>
        <w:docPartUnique/>
      </w:docPartObj>
    </w:sdtPr>
    <w:sdtContent>
      <w:p w:rsidR="00F006C9" w:rsidRDefault="00F006C9">
        <w:pPr>
          <w:pStyle w:val="Piedepgina"/>
          <w:jc w:val="center"/>
        </w:pPr>
      </w:p>
      <w:p w:rsidR="00F006C9" w:rsidRDefault="00F006C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116">
          <w:rPr>
            <w:noProof/>
          </w:rPr>
          <w:t>4</w:t>
        </w:r>
        <w:r>
          <w:fldChar w:fldCharType="end"/>
        </w:r>
      </w:p>
    </w:sdtContent>
  </w:sdt>
  <w:p w:rsidR="00F006C9" w:rsidRDefault="00F006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6C9" w:rsidRDefault="00F006C9" w:rsidP="00F006C9">
      <w:r>
        <w:separator/>
      </w:r>
    </w:p>
  </w:footnote>
  <w:footnote w:type="continuationSeparator" w:id="0">
    <w:p w:rsidR="00F006C9" w:rsidRDefault="00F006C9" w:rsidP="00F00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57D10"/>
    <w:multiLevelType w:val="singleLevel"/>
    <w:tmpl w:val="7968FF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7A"/>
    <w:rsid w:val="0014437A"/>
    <w:rsid w:val="001E2917"/>
    <w:rsid w:val="00240CF7"/>
    <w:rsid w:val="003905AA"/>
    <w:rsid w:val="006D706B"/>
    <w:rsid w:val="00990578"/>
    <w:rsid w:val="00BE725E"/>
    <w:rsid w:val="00C0637E"/>
    <w:rsid w:val="00D00697"/>
    <w:rsid w:val="00F006C9"/>
    <w:rsid w:val="00F32E09"/>
    <w:rsid w:val="00FC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37A"/>
    <w:pPr>
      <w:spacing w:after="0" w:line="240" w:lineRule="auto"/>
    </w:pPr>
    <w:rPr>
      <w:rFonts w:ascii="Arial" w:eastAsia="Times New Roman" w:hAnsi="Arial" w:cs="Arial"/>
      <w:bCs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4437A"/>
    <w:pPr>
      <w:keepNext/>
      <w:spacing w:line="360" w:lineRule="auto"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4437A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14437A"/>
    <w:pPr>
      <w:spacing w:line="360" w:lineRule="auto"/>
      <w:jc w:val="both"/>
    </w:pPr>
    <w:rPr>
      <w:rFonts w:cs="Times New Roman"/>
      <w:bCs w:val="0"/>
      <w:szCs w:val="20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4437A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NormalWeb">
    <w:name w:val="Normal (Web)"/>
    <w:basedOn w:val="Normal"/>
    <w:uiPriority w:val="99"/>
    <w:semiHidden/>
    <w:unhideWhenUsed/>
    <w:rsid w:val="00240CF7"/>
    <w:pPr>
      <w:spacing w:before="100" w:beforeAutospacing="1" w:after="100" w:afterAutospacing="1"/>
    </w:pPr>
    <w:rPr>
      <w:rFonts w:ascii="Times New Roman" w:hAnsi="Times New Roman" w:cs="Times New Roman"/>
      <w:bCs w:val="0"/>
      <w:lang w:val="es-UY" w:eastAsia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5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5AA"/>
    <w:rPr>
      <w:rFonts w:ascii="Tahoma" w:eastAsia="Times New Roman" w:hAnsi="Tahoma" w:cs="Tahoma"/>
      <w:bCs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006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06C9"/>
    <w:rPr>
      <w:rFonts w:ascii="Arial" w:eastAsia="Times New Roman" w:hAnsi="Arial" w:cs="Arial"/>
      <w:bCs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006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6C9"/>
    <w:rPr>
      <w:rFonts w:ascii="Arial" w:eastAsia="Times New Roman" w:hAnsi="Arial" w:cs="Arial"/>
      <w:bCs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37A"/>
    <w:pPr>
      <w:spacing w:after="0" w:line="240" w:lineRule="auto"/>
    </w:pPr>
    <w:rPr>
      <w:rFonts w:ascii="Arial" w:eastAsia="Times New Roman" w:hAnsi="Arial" w:cs="Arial"/>
      <w:bCs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4437A"/>
    <w:pPr>
      <w:keepNext/>
      <w:spacing w:line="360" w:lineRule="auto"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4437A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14437A"/>
    <w:pPr>
      <w:spacing w:line="360" w:lineRule="auto"/>
      <w:jc w:val="both"/>
    </w:pPr>
    <w:rPr>
      <w:rFonts w:cs="Times New Roman"/>
      <w:bCs w:val="0"/>
      <w:szCs w:val="20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4437A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NormalWeb">
    <w:name w:val="Normal (Web)"/>
    <w:basedOn w:val="Normal"/>
    <w:uiPriority w:val="99"/>
    <w:semiHidden/>
    <w:unhideWhenUsed/>
    <w:rsid w:val="00240CF7"/>
    <w:pPr>
      <w:spacing w:before="100" w:beforeAutospacing="1" w:after="100" w:afterAutospacing="1"/>
    </w:pPr>
    <w:rPr>
      <w:rFonts w:ascii="Times New Roman" w:hAnsi="Times New Roman" w:cs="Times New Roman"/>
      <w:bCs w:val="0"/>
      <w:lang w:val="es-UY" w:eastAsia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5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5AA"/>
    <w:rPr>
      <w:rFonts w:ascii="Tahoma" w:eastAsia="Times New Roman" w:hAnsi="Tahoma" w:cs="Tahoma"/>
      <w:bCs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006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06C9"/>
    <w:rPr>
      <w:rFonts w:ascii="Arial" w:eastAsia="Times New Roman" w:hAnsi="Arial" w:cs="Arial"/>
      <w:bCs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006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6C9"/>
    <w:rPr>
      <w:rFonts w:ascii="Arial" w:eastAsia="Times New Roman" w:hAnsi="Arial" w:cs="Arial"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9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808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2019-07-25T18:51:00Z</cp:lastPrinted>
  <dcterms:created xsi:type="dcterms:W3CDTF">2019-07-25T18:19:00Z</dcterms:created>
  <dcterms:modified xsi:type="dcterms:W3CDTF">2019-07-25T18:51:00Z</dcterms:modified>
</cp:coreProperties>
</file>