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D1" w:rsidRPr="007A7443" w:rsidRDefault="004B7AD1" w:rsidP="004B7AD1">
      <w:pPr>
        <w:tabs>
          <w:tab w:val="center" w:pos="4253"/>
        </w:tabs>
        <w:suppressAutoHyphens/>
        <w:spacing w:line="480" w:lineRule="auto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A7443">
        <w:rPr>
          <w:rFonts w:ascii="Arial" w:hAnsi="Arial" w:cs="Arial"/>
          <w:b/>
          <w:sz w:val="28"/>
          <w:szCs w:val="28"/>
        </w:rPr>
        <w:t xml:space="preserve">RES. </w:t>
      </w:r>
      <w:r>
        <w:rPr>
          <w:rFonts w:ascii="Arial" w:hAnsi="Arial" w:cs="Arial"/>
          <w:b/>
          <w:sz w:val="28"/>
          <w:szCs w:val="28"/>
        </w:rPr>
        <w:t>1671</w:t>
      </w:r>
      <w:r w:rsidRPr="007A7443">
        <w:rPr>
          <w:rFonts w:ascii="Arial" w:hAnsi="Arial" w:cs="Arial"/>
          <w:b/>
          <w:sz w:val="28"/>
          <w:szCs w:val="28"/>
        </w:rPr>
        <w:t>/19</w:t>
      </w:r>
    </w:p>
    <w:p w:rsidR="004B7AD1" w:rsidRPr="000F48AC" w:rsidRDefault="004B7AD1" w:rsidP="004B7AD1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0F48AC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4B7AD1" w:rsidRPr="000F48AC" w:rsidRDefault="004B7AD1" w:rsidP="004B7AD1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0F48AC">
        <w:rPr>
          <w:rFonts w:ascii="Arial" w:hAnsi="Arial" w:cs="Arial"/>
          <w:b/>
          <w:szCs w:val="24"/>
          <w:lang w:val="es-ES_tradnl"/>
        </w:rPr>
        <w:t>TRIBUNAL DE CUENTAS</w:t>
      </w:r>
    </w:p>
    <w:p w:rsidR="004B7AD1" w:rsidRPr="000F48AC" w:rsidRDefault="004B7AD1" w:rsidP="004B7AD1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0F48AC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>17 DE JULIO DE 2019</w:t>
      </w:r>
    </w:p>
    <w:p w:rsidR="004B7AD1" w:rsidRDefault="004B7AD1" w:rsidP="004B7AD1">
      <w:pPr>
        <w:tabs>
          <w:tab w:val="center" w:pos="4253"/>
        </w:tabs>
        <w:suppressAutoHyphens/>
        <w:spacing w:line="360" w:lineRule="auto"/>
        <w:jc w:val="center"/>
        <w:rPr>
          <w:rFonts w:ascii="Arial" w:hAnsi="Arial" w:cs="Arial"/>
          <w:b/>
          <w:szCs w:val="24"/>
        </w:rPr>
      </w:pPr>
      <w:r w:rsidRPr="00BB4DEC">
        <w:rPr>
          <w:rFonts w:ascii="Arial" w:hAnsi="Arial" w:cs="Arial"/>
          <w:b/>
          <w:szCs w:val="24"/>
        </w:rPr>
        <w:t>(E.</w:t>
      </w:r>
      <w:r>
        <w:rPr>
          <w:rFonts w:ascii="Arial" w:hAnsi="Arial" w:cs="Arial"/>
          <w:b/>
          <w:szCs w:val="24"/>
        </w:rPr>
        <w:t xml:space="preserve"> E. Nº 2019-17-1-0003159, </w:t>
      </w:r>
      <w:proofErr w:type="spellStart"/>
      <w:r>
        <w:rPr>
          <w:rFonts w:ascii="Arial" w:hAnsi="Arial" w:cs="Arial"/>
          <w:b/>
          <w:szCs w:val="24"/>
        </w:rPr>
        <w:t>Ent</w:t>
      </w:r>
      <w:proofErr w:type="spellEnd"/>
      <w:r>
        <w:rPr>
          <w:rFonts w:ascii="Arial" w:hAnsi="Arial" w:cs="Arial"/>
          <w:b/>
          <w:szCs w:val="24"/>
        </w:rPr>
        <w:t>. N° 2477/19</w:t>
      </w:r>
      <w:r w:rsidRPr="00BB4DEC">
        <w:rPr>
          <w:rFonts w:ascii="Arial" w:hAnsi="Arial" w:cs="Arial"/>
          <w:b/>
          <w:szCs w:val="24"/>
        </w:rPr>
        <w:t>)</w:t>
      </w:r>
    </w:p>
    <w:p w:rsidR="00BD69C7" w:rsidRPr="004B7AD1" w:rsidRDefault="00011EA0" w:rsidP="004B7AD1">
      <w:pPr>
        <w:spacing w:line="360" w:lineRule="auto"/>
        <w:ind w:firstLine="851"/>
        <w:jc w:val="both"/>
        <w:rPr>
          <w:rFonts w:ascii="Arial" w:hAnsi="Arial" w:cs="Arial"/>
          <w:szCs w:val="24"/>
          <w:u w:val="single"/>
          <w:lang w:val="es-ES_tradnl"/>
        </w:rPr>
      </w:pPr>
      <w:r w:rsidRPr="004B7AD1">
        <w:rPr>
          <w:rFonts w:ascii="Arial" w:hAnsi="Arial"/>
          <w:b/>
          <w:spacing w:val="-3"/>
          <w:szCs w:val="24"/>
        </w:rPr>
        <w:t>VISTO:</w:t>
      </w:r>
      <w:r w:rsidRPr="004B7AD1">
        <w:rPr>
          <w:rFonts w:ascii="Arial" w:hAnsi="Arial"/>
          <w:spacing w:val="-3"/>
          <w:szCs w:val="24"/>
        </w:rPr>
        <w:t xml:space="preserve"> </w:t>
      </w:r>
      <w:r w:rsidR="00BD69C7" w:rsidRPr="004B7AD1">
        <w:rPr>
          <w:rFonts w:ascii="Arial" w:hAnsi="Arial" w:cs="Arial"/>
          <w:spacing w:val="-3"/>
          <w:szCs w:val="24"/>
          <w:lang w:val="es-ES_tradnl"/>
        </w:rPr>
        <w:t xml:space="preserve">las nuevas actuaciones remitidas por el Centro Hospitalario Pereira </w:t>
      </w:r>
      <w:proofErr w:type="spellStart"/>
      <w:r w:rsidR="00BD69C7" w:rsidRPr="004B7AD1">
        <w:rPr>
          <w:rFonts w:ascii="Arial" w:hAnsi="Arial" w:cs="Arial"/>
          <w:spacing w:val="-3"/>
          <w:szCs w:val="24"/>
          <w:lang w:val="es-ES_tradnl"/>
        </w:rPr>
        <w:t>Rossell</w:t>
      </w:r>
      <w:proofErr w:type="spellEnd"/>
      <w:r w:rsidR="00BD69C7" w:rsidRPr="004B7AD1">
        <w:rPr>
          <w:rFonts w:ascii="Arial" w:hAnsi="Arial" w:cs="Arial"/>
          <w:spacing w:val="-3"/>
          <w:szCs w:val="24"/>
          <w:lang w:val="es-ES_tradnl"/>
        </w:rPr>
        <w:t xml:space="preserve"> de la Administración de los Servicios de Salud del Estado (ASSE) relacionadas con la Licitación Pública Nº 15/2014, convocada para la Contratación del Servicio Limpieza Hospitalaria del citado Centro Hospitalario, por el período 26</w:t>
      </w:r>
      <w:r w:rsidR="007A6F5B" w:rsidRPr="004B7AD1">
        <w:rPr>
          <w:rFonts w:ascii="Arial" w:hAnsi="Arial" w:cs="Arial"/>
          <w:spacing w:val="-3"/>
          <w:szCs w:val="24"/>
          <w:lang w:val="es-ES_tradnl"/>
        </w:rPr>
        <w:t>/</w:t>
      </w:r>
      <w:r w:rsidR="00BD69C7" w:rsidRPr="004B7AD1">
        <w:rPr>
          <w:rFonts w:ascii="Arial" w:hAnsi="Arial" w:cs="Arial"/>
          <w:spacing w:val="-3"/>
          <w:szCs w:val="24"/>
          <w:lang w:val="es-ES_tradnl"/>
        </w:rPr>
        <w:t>10/2018 al 25/11/2018;</w:t>
      </w:r>
    </w:p>
    <w:p w:rsidR="00BD69C7" w:rsidRPr="004B7AD1" w:rsidRDefault="00011EA0" w:rsidP="008863CC">
      <w:pPr>
        <w:spacing w:line="360" w:lineRule="auto"/>
        <w:ind w:firstLine="851"/>
        <w:jc w:val="both"/>
        <w:rPr>
          <w:rFonts w:ascii="Arial" w:hAnsi="Arial"/>
          <w:snapToGrid/>
          <w:color w:val="000000"/>
          <w:szCs w:val="24"/>
          <w:lang w:val="es-ES_tradnl"/>
        </w:rPr>
      </w:pPr>
      <w:r w:rsidRPr="004B7AD1">
        <w:rPr>
          <w:rFonts w:ascii="Arial" w:hAnsi="Arial" w:cs="Arial"/>
          <w:b/>
          <w:spacing w:val="-3"/>
          <w:szCs w:val="24"/>
        </w:rPr>
        <w:t>RESULTANDO:</w:t>
      </w:r>
      <w:r w:rsidR="00BD69C7" w:rsidRPr="004B7AD1">
        <w:rPr>
          <w:rFonts w:ascii="Arial" w:hAnsi="Arial" w:cs="Arial"/>
          <w:b/>
          <w:spacing w:val="-3"/>
          <w:szCs w:val="24"/>
        </w:rPr>
        <w:t xml:space="preserve"> 1)</w:t>
      </w:r>
      <w:r w:rsidRPr="004B7AD1">
        <w:rPr>
          <w:rFonts w:ascii="Arial" w:hAnsi="Arial" w:cs="Arial"/>
          <w:spacing w:val="-3"/>
          <w:szCs w:val="24"/>
        </w:rPr>
        <w:t xml:space="preserve"> </w:t>
      </w:r>
      <w:r w:rsidR="00BD69C7" w:rsidRPr="004B7AD1">
        <w:rPr>
          <w:rFonts w:ascii="Arial" w:hAnsi="Arial" w:cs="Arial"/>
          <w:spacing w:val="-3"/>
          <w:szCs w:val="24"/>
        </w:rPr>
        <w:t xml:space="preserve">que </w:t>
      </w:r>
      <w:r w:rsidR="00BD69C7" w:rsidRPr="004B7AD1">
        <w:rPr>
          <w:rFonts w:ascii="Arial" w:hAnsi="Arial"/>
          <w:snapToGrid/>
          <w:color w:val="000000"/>
          <w:szCs w:val="24"/>
          <w:lang w:val="es-ES_tradnl"/>
        </w:rPr>
        <w:t>este Tribunal en Sesión de fecha 22 de mayo de 2019 observ</w:t>
      </w:r>
      <w:r w:rsidR="007A6F5B" w:rsidRPr="004B7AD1">
        <w:rPr>
          <w:rFonts w:ascii="Arial" w:hAnsi="Arial"/>
          <w:snapToGrid/>
          <w:color w:val="000000"/>
          <w:szCs w:val="24"/>
          <w:lang w:val="es-ES_tradnl"/>
        </w:rPr>
        <w:t>ó</w:t>
      </w:r>
      <w:r w:rsidR="00BD69C7" w:rsidRPr="004B7AD1">
        <w:rPr>
          <w:rFonts w:ascii="Arial" w:hAnsi="Arial"/>
          <w:snapToGrid/>
          <w:color w:val="000000"/>
          <w:szCs w:val="24"/>
          <w:lang w:val="es-ES_tradnl"/>
        </w:rPr>
        <w:t xml:space="preserve"> el pago de la</w:t>
      </w:r>
      <w:r w:rsidR="007A6F5B" w:rsidRPr="004B7AD1">
        <w:rPr>
          <w:rFonts w:ascii="Arial" w:hAnsi="Arial"/>
          <w:snapToGrid/>
          <w:color w:val="000000"/>
          <w:szCs w:val="24"/>
          <w:lang w:val="es-ES_tradnl"/>
        </w:rPr>
        <w:t>s</w:t>
      </w:r>
      <w:r w:rsidR="00BD69C7" w:rsidRPr="004B7AD1">
        <w:rPr>
          <w:rFonts w:ascii="Arial" w:hAnsi="Arial"/>
          <w:snapToGrid/>
          <w:color w:val="000000"/>
          <w:szCs w:val="24"/>
          <w:lang w:val="es-ES_tradnl"/>
        </w:rPr>
        <w:t xml:space="preserve"> suma</w:t>
      </w:r>
      <w:r w:rsidR="007A6F5B" w:rsidRPr="004B7AD1">
        <w:rPr>
          <w:rFonts w:ascii="Arial" w:hAnsi="Arial"/>
          <w:snapToGrid/>
          <w:color w:val="000000"/>
          <w:szCs w:val="24"/>
          <w:lang w:val="es-ES_tradnl"/>
        </w:rPr>
        <w:t>s</w:t>
      </w:r>
      <w:r w:rsidR="00BD69C7" w:rsidRPr="004B7AD1">
        <w:rPr>
          <w:rFonts w:ascii="Arial" w:hAnsi="Arial"/>
          <w:snapToGrid/>
          <w:color w:val="000000"/>
          <w:szCs w:val="24"/>
          <w:lang w:val="es-ES_tradnl"/>
        </w:rPr>
        <w:t xml:space="preserve"> de $ 11.368.018, Lote 0896, correspondiente a la Factura de PLEMUU Serie A N° 004606, y $ 427.170, Lote 0898, correspondiente a la Factura de PLEMUU, Serie A N° 004605</w:t>
      </w:r>
      <w:r w:rsidR="007A6F5B" w:rsidRPr="004B7AD1">
        <w:rPr>
          <w:rFonts w:ascii="Arial" w:hAnsi="Arial"/>
          <w:snapToGrid/>
          <w:color w:val="000000"/>
          <w:szCs w:val="24"/>
          <w:lang w:val="es-ES_tradnl"/>
        </w:rPr>
        <w:t>,</w:t>
      </w:r>
      <w:r w:rsidR="00BD69C7" w:rsidRPr="004B7AD1">
        <w:rPr>
          <w:rFonts w:ascii="Arial" w:hAnsi="Arial"/>
          <w:snapToGrid/>
          <w:color w:val="000000"/>
          <w:szCs w:val="24"/>
          <w:lang w:val="es-ES_tradnl"/>
        </w:rPr>
        <w:t xml:space="preserve"> por corresponder los pagos a un gasto oportunamente observado por este Tribunal y no reiterado por la Administración</w:t>
      </w:r>
      <w:r w:rsidR="007A6F5B" w:rsidRPr="004B7AD1">
        <w:rPr>
          <w:rFonts w:ascii="Arial" w:hAnsi="Arial"/>
          <w:snapToGrid/>
          <w:color w:val="000000"/>
          <w:szCs w:val="24"/>
          <w:lang w:val="es-ES_tradnl"/>
        </w:rPr>
        <w:t>;</w:t>
      </w:r>
    </w:p>
    <w:p w:rsidR="008863CC" w:rsidRDefault="00BD69C7" w:rsidP="008863CC">
      <w:pPr>
        <w:spacing w:line="360" w:lineRule="auto"/>
        <w:ind w:firstLine="2694"/>
        <w:jc w:val="both"/>
        <w:rPr>
          <w:rFonts w:ascii="Arial" w:hAnsi="Arial" w:cs="Arial"/>
          <w:szCs w:val="24"/>
        </w:rPr>
      </w:pPr>
      <w:r w:rsidRPr="004B7AD1">
        <w:rPr>
          <w:rFonts w:ascii="Arial" w:hAnsi="Arial"/>
          <w:b/>
          <w:snapToGrid/>
          <w:color w:val="000000"/>
          <w:szCs w:val="24"/>
          <w:lang w:val="es-ES_tradnl"/>
        </w:rPr>
        <w:t xml:space="preserve">2) </w:t>
      </w:r>
      <w:r w:rsidRPr="004B7AD1">
        <w:rPr>
          <w:rFonts w:ascii="Arial" w:hAnsi="Arial"/>
          <w:snapToGrid/>
          <w:color w:val="000000"/>
          <w:szCs w:val="24"/>
          <w:lang w:val="es-ES_tradnl"/>
        </w:rPr>
        <w:t>que luce</w:t>
      </w:r>
      <w:r w:rsidRPr="004B7AD1">
        <w:rPr>
          <w:rFonts w:ascii="Arial" w:hAnsi="Arial"/>
          <w:b/>
          <w:snapToGrid/>
          <w:color w:val="000000"/>
          <w:szCs w:val="24"/>
          <w:lang w:val="es-ES_tradnl"/>
        </w:rPr>
        <w:t xml:space="preserve"> </w:t>
      </w:r>
      <w:r w:rsidR="007A6F5B" w:rsidRPr="004B7AD1">
        <w:rPr>
          <w:rFonts w:ascii="Arial" w:hAnsi="Arial"/>
          <w:snapToGrid/>
          <w:color w:val="000000"/>
          <w:szCs w:val="24"/>
          <w:lang w:val="es-ES_tradnl"/>
        </w:rPr>
        <w:t>i</w:t>
      </w:r>
      <w:proofErr w:type="spellStart"/>
      <w:r w:rsidRPr="004B7AD1">
        <w:rPr>
          <w:rFonts w:ascii="Arial" w:hAnsi="Arial" w:cs="Arial"/>
          <w:szCs w:val="24"/>
        </w:rPr>
        <w:t>nforme</w:t>
      </w:r>
      <w:proofErr w:type="spellEnd"/>
      <w:r w:rsidRPr="004B7AD1">
        <w:rPr>
          <w:rFonts w:ascii="Arial" w:hAnsi="Arial" w:cs="Arial"/>
          <w:szCs w:val="24"/>
        </w:rPr>
        <w:t xml:space="preserve"> señala</w:t>
      </w:r>
      <w:r w:rsidR="007A6F5B" w:rsidRPr="004B7AD1">
        <w:rPr>
          <w:rFonts w:ascii="Arial" w:hAnsi="Arial" w:cs="Arial"/>
          <w:szCs w:val="24"/>
        </w:rPr>
        <w:t>ndo</w:t>
      </w:r>
      <w:r w:rsidRPr="004B7AD1">
        <w:rPr>
          <w:rFonts w:ascii="Arial" w:hAnsi="Arial" w:cs="Arial"/>
          <w:szCs w:val="24"/>
        </w:rPr>
        <w:t xml:space="preserve"> que por error</w:t>
      </w:r>
      <w:r w:rsidR="007A6F5B" w:rsidRPr="004B7AD1">
        <w:rPr>
          <w:rFonts w:ascii="Arial" w:hAnsi="Arial" w:cs="Arial"/>
          <w:szCs w:val="24"/>
        </w:rPr>
        <w:t>,</w:t>
      </w:r>
      <w:r w:rsidRPr="004B7AD1">
        <w:rPr>
          <w:rFonts w:ascii="Arial" w:hAnsi="Arial" w:cs="Arial"/>
          <w:szCs w:val="24"/>
        </w:rPr>
        <w:t xml:space="preserve"> fue remitido a</w:t>
      </w:r>
      <w:r w:rsidR="007A6F5B" w:rsidRPr="004B7AD1">
        <w:rPr>
          <w:rFonts w:ascii="Arial" w:hAnsi="Arial" w:cs="Arial"/>
          <w:szCs w:val="24"/>
        </w:rPr>
        <w:t xml:space="preserve"> este</w:t>
      </w:r>
      <w:r w:rsidRPr="004B7AD1">
        <w:rPr>
          <w:rFonts w:ascii="Arial" w:hAnsi="Arial" w:cs="Arial"/>
          <w:szCs w:val="24"/>
        </w:rPr>
        <w:t xml:space="preserve"> Tribunal para su intervención preventiva, el Lote </w:t>
      </w:r>
      <w:r w:rsidR="007A6F5B" w:rsidRPr="004B7AD1">
        <w:rPr>
          <w:rFonts w:ascii="Arial" w:hAnsi="Arial" w:cs="Arial"/>
          <w:szCs w:val="24"/>
        </w:rPr>
        <w:t>0</w:t>
      </w:r>
      <w:r w:rsidRPr="004B7AD1">
        <w:rPr>
          <w:rFonts w:ascii="Arial" w:hAnsi="Arial" w:cs="Arial"/>
          <w:szCs w:val="24"/>
        </w:rPr>
        <w:t>898, referido al procedimiento de compra de Servicio de Atención al Usuario, por el mes de Febrero de 2019, debiendo haber sido tramitado por vía separada</w:t>
      </w:r>
      <w:r w:rsidR="007A6F5B" w:rsidRPr="004B7AD1">
        <w:rPr>
          <w:rFonts w:ascii="Arial" w:hAnsi="Arial" w:cs="Arial"/>
          <w:szCs w:val="24"/>
        </w:rPr>
        <w:t>;</w:t>
      </w:r>
    </w:p>
    <w:p w:rsidR="00011EA0" w:rsidRPr="004B7AD1" w:rsidRDefault="00BD69C7" w:rsidP="008863CC">
      <w:pPr>
        <w:spacing w:line="360" w:lineRule="auto"/>
        <w:ind w:firstLine="2694"/>
        <w:jc w:val="both"/>
        <w:rPr>
          <w:rFonts w:ascii="Arial" w:hAnsi="Arial" w:cs="Arial"/>
          <w:szCs w:val="24"/>
        </w:rPr>
      </w:pPr>
      <w:r w:rsidRPr="004B7AD1">
        <w:rPr>
          <w:rFonts w:ascii="Arial" w:hAnsi="Arial" w:cs="Arial"/>
          <w:b/>
          <w:szCs w:val="24"/>
        </w:rPr>
        <w:t>3)</w:t>
      </w:r>
      <w:r w:rsidRPr="004B7AD1">
        <w:rPr>
          <w:rFonts w:ascii="Arial" w:hAnsi="Arial" w:cs="Arial"/>
          <w:szCs w:val="24"/>
        </w:rPr>
        <w:t xml:space="preserve"> que en esta oportunidad se remite Resolución</w:t>
      </w:r>
      <w:r w:rsidR="00810140">
        <w:rPr>
          <w:rFonts w:ascii="Arial" w:hAnsi="Arial" w:cs="Arial"/>
          <w:szCs w:val="24"/>
        </w:rPr>
        <w:t xml:space="preserve"> </w:t>
      </w:r>
      <w:r w:rsidRPr="004B7AD1">
        <w:rPr>
          <w:rFonts w:ascii="Arial" w:hAnsi="Arial" w:cs="Arial"/>
          <w:szCs w:val="24"/>
        </w:rPr>
        <w:t xml:space="preserve">N°3077/2019, de fecha 20 de junio de 2019, dictada por el Directorio de la Administración de los Servicios de Salud del Estado por la cual se dispone: </w:t>
      </w:r>
      <w:r w:rsidRPr="004B7AD1">
        <w:rPr>
          <w:rFonts w:ascii="Arial" w:hAnsi="Arial" w:cs="Arial"/>
          <w:b/>
          <w:szCs w:val="24"/>
        </w:rPr>
        <w:t>a)</w:t>
      </w:r>
      <w:r w:rsidRPr="004B7AD1">
        <w:rPr>
          <w:rFonts w:ascii="Arial" w:hAnsi="Arial" w:cs="Arial"/>
          <w:szCs w:val="24"/>
        </w:rPr>
        <w:t xml:space="preserve"> reiterar el gasto correspondiente al Lote 0896, mes de cargo marzo de 2019, por $</w:t>
      </w:r>
      <w:r w:rsidR="007A6F5B" w:rsidRPr="004B7AD1">
        <w:rPr>
          <w:rFonts w:ascii="Arial" w:hAnsi="Arial" w:cs="Arial"/>
          <w:szCs w:val="24"/>
        </w:rPr>
        <w:t xml:space="preserve"> </w:t>
      </w:r>
      <w:r w:rsidRPr="004B7AD1">
        <w:rPr>
          <w:rFonts w:ascii="Arial" w:hAnsi="Arial" w:cs="Arial"/>
          <w:szCs w:val="24"/>
        </w:rPr>
        <w:t xml:space="preserve">11:368.018, a favor de PLEMUU. </w:t>
      </w:r>
      <w:r w:rsidRPr="004B7AD1">
        <w:rPr>
          <w:rFonts w:ascii="Arial" w:hAnsi="Arial" w:cs="Arial"/>
          <w:b/>
          <w:szCs w:val="24"/>
        </w:rPr>
        <w:t xml:space="preserve">b) </w:t>
      </w:r>
      <w:r w:rsidRPr="004B7AD1">
        <w:rPr>
          <w:rFonts w:ascii="Arial" w:hAnsi="Arial" w:cs="Arial"/>
          <w:szCs w:val="24"/>
        </w:rPr>
        <w:t xml:space="preserve">solicitar reconsideración de la observación formulada por este Tribunal en Sesión de fecha 22 de mayo de 2019 respecto del Lote 0898, dado que fue incorporado por error a los obrados </w:t>
      </w:r>
      <w:r w:rsidRPr="004B7AD1">
        <w:rPr>
          <w:rFonts w:ascii="Arial" w:hAnsi="Arial" w:cs="Arial"/>
          <w:szCs w:val="24"/>
        </w:rPr>
        <w:lastRenderedPageBreak/>
        <w:t>remitidos oportunamente</w:t>
      </w:r>
      <w:r w:rsidR="007A6F5B" w:rsidRPr="004B7AD1">
        <w:rPr>
          <w:rFonts w:ascii="Arial" w:hAnsi="Arial" w:cs="Arial"/>
          <w:szCs w:val="24"/>
        </w:rPr>
        <w:t>;</w:t>
      </w:r>
    </w:p>
    <w:p w:rsidR="009C1CDC" w:rsidRPr="004B7AD1" w:rsidRDefault="00011EA0" w:rsidP="008863CC">
      <w:pPr>
        <w:pStyle w:val="Sangra2detindependiente"/>
        <w:ind w:firstLine="851"/>
        <w:rPr>
          <w:spacing w:val="-3"/>
        </w:rPr>
      </w:pPr>
      <w:r w:rsidRPr="004B7AD1">
        <w:rPr>
          <w:b/>
          <w:spacing w:val="-3"/>
        </w:rPr>
        <w:t xml:space="preserve">CONSIDERANDO: </w:t>
      </w:r>
      <w:r w:rsidR="009C1CDC" w:rsidRPr="004B7AD1">
        <w:rPr>
          <w:b/>
          <w:spacing w:val="-3"/>
        </w:rPr>
        <w:t>1)</w:t>
      </w:r>
      <w:r w:rsidR="009C1CDC" w:rsidRPr="004B7AD1">
        <w:rPr>
          <w:spacing w:val="-3"/>
        </w:rPr>
        <w:t xml:space="preserve"> que la Administración no aporta nuevos elementos que ameriten el </w:t>
      </w:r>
      <w:r w:rsidR="00E80F29" w:rsidRPr="004B7AD1">
        <w:rPr>
          <w:spacing w:val="-3"/>
        </w:rPr>
        <w:t xml:space="preserve">levantamiento de la observación </w:t>
      </w:r>
      <w:r w:rsidR="009C1CDC" w:rsidRPr="004B7AD1">
        <w:rPr>
          <w:spacing w:val="-3"/>
        </w:rPr>
        <w:t xml:space="preserve">oportunamente realizada, manteniéndose inalteradas las razones por las cuales se observó el </w:t>
      </w:r>
      <w:r w:rsidR="00E80F29" w:rsidRPr="004B7AD1">
        <w:rPr>
          <w:spacing w:val="-3"/>
        </w:rPr>
        <w:t xml:space="preserve">pago </w:t>
      </w:r>
      <w:r w:rsidR="008863CC">
        <w:rPr>
          <w:spacing w:val="-3"/>
        </w:rPr>
        <w:t>del Lote 0896;</w:t>
      </w:r>
    </w:p>
    <w:p w:rsidR="00011EA0" w:rsidRPr="004B7AD1" w:rsidRDefault="009C1CDC" w:rsidP="008863CC">
      <w:pPr>
        <w:pStyle w:val="Sangra2detindependiente"/>
        <w:ind w:firstLine="2977"/>
        <w:rPr>
          <w:spacing w:val="-3"/>
        </w:rPr>
      </w:pPr>
      <w:r w:rsidRPr="004B7AD1">
        <w:rPr>
          <w:b/>
          <w:spacing w:val="-3"/>
        </w:rPr>
        <w:t xml:space="preserve">2) </w:t>
      </w:r>
      <w:r w:rsidRPr="004B7AD1">
        <w:rPr>
          <w:spacing w:val="-3"/>
        </w:rPr>
        <w:t>que</w:t>
      </w:r>
      <w:r w:rsidR="00E80F29" w:rsidRPr="004B7AD1">
        <w:rPr>
          <w:spacing w:val="-3"/>
        </w:rPr>
        <w:t xml:space="preserve"> </w:t>
      </w:r>
      <w:r w:rsidR="00426EAD" w:rsidRPr="004B7AD1">
        <w:rPr>
          <w:spacing w:val="-3"/>
        </w:rPr>
        <w:t>de acuerdo a lo informado por la Administración, el</w:t>
      </w:r>
      <w:r w:rsidRPr="004B7AD1">
        <w:rPr>
          <w:spacing w:val="-3"/>
        </w:rPr>
        <w:t xml:space="preserve"> Lote 0898</w:t>
      </w:r>
      <w:r w:rsidR="008863CC">
        <w:rPr>
          <w:spacing w:val="-3"/>
        </w:rPr>
        <w:t>, refiere a</w:t>
      </w:r>
      <w:r w:rsidR="00426EAD" w:rsidRPr="004B7AD1">
        <w:rPr>
          <w:spacing w:val="-3"/>
        </w:rPr>
        <w:t xml:space="preserve"> otro procedimiento (Servicio de Atención al Usuario – Resultando 2), por lo que no corresponde </w:t>
      </w:r>
      <w:r w:rsidR="00810140">
        <w:rPr>
          <w:spacing w:val="-3"/>
        </w:rPr>
        <w:t>expedirse en estas actuaciones;</w:t>
      </w:r>
    </w:p>
    <w:p w:rsidR="00011EA0" w:rsidRPr="004B7AD1" w:rsidRDefault="00011EA0" w:rsidP="008863CC">
      <w:pPr>
        <w:spacing w:line="360" w:lineRule="auto"/>
        <w:ind w:firstLine="851"/>
        <w:jc w:val="both"/>
        <w:rPr>
          <w:rFonts w:ascii="Arial" w:hAnsi="Arial"/>
          <w:spacing w:val="-3"/>
          <w:szCs w:val="24"/>
        </w:rPr>
      </w:pPr>
      <w:r w:rsidRPr="004B7AD1">
        <w:rPr>
          <w:rFonts w:ascii="Arial" w:hAnsi="Arial"/>
          <w:b/>
          <w:spacing w:val="-3"/>
          <w:szCs w:val="24"/>
        </w:rPr>
        <w:t>ATENTO:</w:t>
      </w:r>
      <w:r w:rsidRPr="004B7AD1">
        <w:rPr>
          <w:rFonts w:ascii="Arial" w:hAnsi="Arial"/>
          <w:spacing w:val="-3"/>
          <w:szCs w:val="24"/>
        </w:rPr>
        <w:t xml:space="preserve"> a lo precedentemente expuesto</w:t>
      </w:r>
      <w:r w:rsidRPr="004B7AD1">
        <w:rPr>
          <w:szCs w:val="24"/>
        </w:rPr>
        <w:t xml:space="preserve"> </w:t>
      </w:r>
      <w:r w:rsidRPr="004B7AD1">
        <w:rPr>
          <w:rFonts w:ascii="Arial" w:hAnsi="Arial"/>
          <w:spacing w:val="-3"/>
          <w:szCs w:val="24"/>
        </w:rPr>
        <w:t>y a lo dispuesto por el artículo 211 literal  B) de la Constitución de la República;</w:t>
      </w:r>
    </w:p>
    <w:p w:rsidR="00011EA0" w:rsidRPr="004B7AD1" w:rsidRDefault="00011EA0" w:rsidP="008863CC">
      <w:pPr>
        <w:pStyle w:val="Ttulo2"/>
        <w:spacing w:line="360" w:lineRule="auto"/>
        <w:jc w:val="center"/>
        <w:rPr>
          <w:rFonts w:ascii="Arial" w:hAnsi="Arial"/>
          <w:color w:val="auto"/>
          <w:spacing w:val="-3"/>
        </w:rPr>
      </w:pPr>
      <w:r w:rsidRPr="004B7AD1">
        <w:rPr>
          <w:rFonts w:ascii="Arial" w:hAnsi="Arial"/>
          <w:color w:val="auto"/>
          <w:spacing w:val="-3"/>
        </w:rPr>
        <w:t>EL TRIBUNAL ACUERDA</w:t>
      </w:r>
    </w:p>
    <w:p w:rsidR="00011EA0" w:rsidRPr="004B7AD1" w:rsidRDefault="008863CC" w:rsidP="004B7AD1">
      <w:pPr>
        <w:spacing w:line="360" w:lineRule="auto"/>
        <w:jc w:val="both"/>
        <w:rPr>
          <w:rFonts w:ascii="Arial" w:hAnsi="Arial"/>
          <w:spacing w:val="-3"/>
          <w:szCs w:val="24"/>
          <w:lang w:val="es-UY"/>
        </w:rPr>
      </w:pPr>
      <w:r>
        <w:rPr>
          <w:rFonts w:ascii="Arial" w:hAnsi="Arial"/>
          <w:b/>
          <w:spacing w:val="-3"/>
          <w:szCs w:val="24"/>
        </w:rPr>
        <w:t xml:space="preserve">1) </w:t>
      </w:r>
      <w:r w:rsidR="00011EA0" w:rsidRPr="004B7AD1">
        <w:rPr>
          <w:rFonts w:ascii="Arial" w:hAnsi="Arial"/>
          <w:spacing w:val="-3"/>
          <w:szCs w:val="24"/>
        </w:rPr>
        <w:t xml:space="preserve">Mantener la observación formulada por este Tribunal en Sesión de fecha </w:t>
      </w:r>
      <w:r w:rsidR="00011EA0" w:rsidRPr="004B7AD1">
        <w:rPr>
          <w:rFonts w:ascii="Arial" w:hAnsi="Arial"/>
          <w:snapToGrid/>
          <w:color w:val="000000"/>
          <w:szCs w:val="24"/>
          <w:lang w:val="es-ES_tradnl"/>
        </w:rPr>
        <w:t>10 de abril de 2019</w:t>
      </w:r>
      <w:r w:rsidR="00426EAD" w:rsidRPr="004B7AD1">
        <w:rPr>
          <w:szCs w:val="24"/>
        </w:rPr>
        <w:t xml:space="preserve"> </w:t>
      </w:r>
      <w:r w:rsidR="00426EAD" w:rsidRPr="004B7AD1">
        <w:rPr>
          <w:rFonts w:ascii="Arial" w:hAnsi="Arial" w:cs="Arial"/>
          <w:szCs w:val="24"/>
        </w:rPr>
        <w:t xml:space="preserve">respecto </w:t>
      </w:r>
      <w:r w:rsidR="00426EAD" w:rsidRPr="004B7AD1">
        <w:rPr>
          <w:rFonts w:ascii="Arial" w:hAnsi="Arial"/>
          <w:snapToGrid/>
          <w:color w:val="000000"/>
          <w:szCs w:val="24"/>
          <w:lang w:val="es-ES_tradnl"/>
        </w:rPr>
        <w:t>al Lote 0896, correspondiente al mes de marzo de 2019, por $ 11:368.018, a favor de PLEMUU</w:t>
      </w:r>
      <w:r w:rsidR="00011EA0" w:rsidRPr="004B7AD1">
        <w:rPr>
          <w:rFonts w:ascii="Arial" w:hAnsi="Arial"/>
          <w:spacing w:val="-3"/>
          <w:szCs w:val="24"/>
          <w:lang w:val="es-UY"/>
        </w:rPr>
        <w:t>;</w:t>
      </w:r>
    </w:p>
    <w:p w:rsidR="00011EA0" w:rsidRPr="004B7AD1" w:rsidRDefault="008863CC" w:rsidP="004B7AD1">
      <w:pPr>
        <w:spacing w:line="360" w:lineRule="auto"/>
        <w:jc w:val="both"/>
        <w:rPr>
          <w:rFonts w:ascii="Arial" w:hAnsi="Arial"/>
          <w:spacing w:val="-3"/>
          <w:szCs w:val="24"/>
        </w:rPr>
      </w:pPr>
      <w:r>
        <w:rPr>
          <w:rFonts w:ascii="Arial" w:hAnsi="Arial"/>
          <w:b/>
          <w:spacing w:val="-3"/>
          <w:szCs w:val="24"/>
          <w:lang w:val="es-UY"/>
        </w:rPr>
        <w:t>2)</w:t>
      </w:r>
      <w:r w:rsidR="00011EA0" w:rsidRPr="004B7AD1">
        <w:rPr>
          <w:rFonts w:ascii="Arial" w:hAnsi="Arial"/>
          <w:spacing w:val="-3"/>
          <w:szCs w:val="24"/>
        </w:rPr>
        <w:t xml:space="preserve"> Dar cuenta a la Asamblea General;</w:t>
      </w:r>
    </w:p>
    <w:p w:rsidR="00011EA0" w:rsidRPr="004B7AD1" w:rsidRDefault="00426EAD" w:rsidP="004B7AD1">
      <w:pPr>
        <w:spacing w:line="360" w:lineRule="auto"/>
        <w:jc w:val="both"/>
        <w:rPr>
          <w:rFonts w:ascii="Arial" w:hAnsi="Arial"/>
          <w:spacing w:val="-3"/>
          <w:szCs w:val="24"/>
        </w:rPr>
      </w:pPr>
      <w:r w:rsidRPr="004B7AD1">
        <w:rPr>
          <w:rFonts w:ascii="Arial" w:hAnsi="Arial"/>
          <w:b/>
          <w:spacing w:val="-3"/>
          <w:szCs w:val="24"/>
        </w:rPr>
        <w:t>3</w:t>
      </w:r>
      <w:r w:rsidR="008863CC">
        <w:rPr>
          <w:rFonts w:ascii="Arial" w:hAnsi="Arial"/>
          <w:b/>
          <w:spacing w:val="-3"/>
          <w:szCs w:val="24"/>
        </w:rPr>
        <w:t>)</w:t>
      </w:r>
      <w:r w:rsidR="00011EA0" w:rsidRPr="004B7AD1">
        <w:rPr>
          <w:rFonts w:ascii="Arial" w:hAnsi="Arial"/>
          <w:spacing w:val="-3"/>
          <w:szCs w:val="24"/>
        </w:rPr>
        <w:t xml:space="preserve"> </w:t>
      </w:r>
      <w:r w:rsidRPr="004B7AD1">
        <w:rPr>
          <w:rFonts w:ascii="Arial" w:hAnsi="Arial"/>
          <w:spacing w:val="-3"/>
          <w:szCs w:val="24"/>
        </w:rPr>
        <w:t>C</w:t>
      </w:r>
      <w:r w:rsidR="00011EA0" w:rsidRPr="004B7AD1">
        <w:rPr>
          <w:rFonts w:ascii="Arial" w:hAnsi="Arial"/>
          <w:spacing w:val="-3"/>
          <w:szCs w:val="24"/>
        </w:rPr>
        <w:t>omunicar al Poder Ejecutivo y a</w:t>
      </w:r>
      <w:r w:rsidR="00E4474C">
        <w:rPr>
          <w:rFonts w:ascii="Arial" w:hAnsi="Arial"/>
          <w:spacing w:val="-3"/>
          <w:szCs w:val="24"/>
        </w:rPr>
        <w:t>l Contador Auditor</w:t>
      </w:r>
      <w:r w:rsidR="00011EA0" w:rsidRPr="004B7AD1">
        <w:rPr>
          <w:rFonts w:ascii="Arial" w:hAnsi="Arial"/>
          <w:spacing w:val="-3"/>
          <w:szCs w:val="24"/>
        </w:rPr>
        <w:t>;</w:t>
      </w:r>
    </w:p>
    <w:p w:rsidR="00426EAD" w:rsidRPr="004B7AD1" w:rsidRDefault="008863CC" w:rsidP="004B7AD1">
      <w:pPr>
        <w:spacing w:line="360" w:lineRule="auto"/>
        <w:jc w:val="both"/>
        <w:rPr>
          <w:rFonts w:ascii="Arial" w:hAnsi="Arial"/>
          <w:spacing w:val="-3"/>
          <w:szCs w:val="24"/>
        </w:rPr>
      </w:pPr>
      <w:r>
        <w:rPr>
          <w:rFonts w:ascii="Arial" w:hAnsi="Arial"/>
          <w:b/>
          <w:spacing w:val="-3"/>
          <w:szCs w:val="24"/>
        </w:rPr>
        <w:t>4)</w:t>
      </w:r>
      <w:r w:rsidR="00426EAD" w:rsidRPr="004B7AD1">
        <w:rPr>
          <w:rFonts w:ascii="Arial" w:hAnsi="Arial"/>
          <w:spacing w:val="-3"/>
          <w:szCs w:val="24"/>
        </w:rPr>
        <w:t xml:space="preserve"> Tener presente lo expresado en el considerando 2);</w:t>
      </w:r>
    </w:p>
    <w:p w:rsidR="002C1F84" w:rsidRDefault="00E80F29" w:rsidP="004B7AD1">
      <w:pPr>
        <w:spacing w:line="360" w:lineRule="auto"/>
        <w:jc w:val="both"/>
        <w:rPr>
          <w:rFonts w:ascii="Arial" w:hAnsi="Arial"/>
          <w:spacing w:val="-3"/>
          <w:szCs w:val="24"/>
        </w:rPr>
      </w:pPr>
      <w:r w:rsidRPr="004B7AD1">
        <w:rPr>
          <w:rFonts w:ascii="Arial" w:hAnsi="Arial"/>
          <w:b/>
          <w:spacing w:val="-3"/>
          <w:szCs w:val="24"/>
        </w:rPr>
        <w:t>5</w:t>
      </w:r>
      <w:r w:rsidR="008863CC">
        <w:rPr>
          <w:rFonts w:ascii="Arial" w:hAnsi="Arial"/>
          <w:b/>
          <w:spacing w:val="-3"/>
          <w:szCs w:val="24"/>
        </w:rPr>
        <w:t>)</w:t>
      </w:r>
      <w:r w:rsidR="00011EA0" w:rsidRPr="004B7AD1">
        <w:rPr>
          <w:rFonts w:ascii="Arial" w:hAnsi="Arial"/>
          <w:spacing w:val="-3"/>
          <w:szCs w:val="24"/>
        </w:rPr>
        <w:t xml:space="preserve"> Devolver las actuaciones </w:t>
      </w:r>
      <w:r w:rsidR="00BD69C7" w:rsidRPr="004B7AD1">
        <w:rPr>
          <w:rFonts w:ascii="Arial" w:hAnsi="Arial"/>
          <w:spacing w:val="-3"/>
          <w:szCs w:val="24"/>
        </w:rPr>
        <w:t>a la Administración de los Servicios de Salud del Estado.</w:t>
      </w:r>
    </w:p>
    <w:p w:rsidR="004B7AD1" w:rsidRDefault="004B7AD1" w:rsidP="004B7AD1">
      <w:pPr>
        <w:spacing w:line="360" w:lineRule="auto"/>
        <w:jc w:val="both"/>
        <w:rPr>
          <w:rFonts w:ascii="Arial" w:hAnsi="Arial"/>
          <w:spacing w:val="-3"/>
          <w:szCs w:val="24"/>
        </w:rPr>
      </w:pPr>
    </w:p>
    <w:p w:rsidR="004B7AD1" w:rsidRPr="004B7AD1" w:rsidRDefault="004B7AD1" w:rsidP="004B7AD1">
      <w:pPr>
        <w:spacing w:line="360" w:lineRule="auto"/>
        <w:jc w:val="both"/>
        <w:rPr>
          <w:rFonts w:ascii="Arial" w:hAnsi="Arial"/>
          <w:spacing w:val="-3"/>
          <w:szCs w:val="24"/>
        </w:rPr>
      </w:pPr>
      <w:proofErr w:type="gramStart"/>
      <w:r>
        <w:rPr>
          <w:rFonts w:ascii="Arial" w:hAnsi="Arial"/>
          <w:spacing w:val="-3"/>
          <w:szCs w:val="24"/>
        </w:rPr>
        <w:t>lm</w:t>
      </w:r>
      <w:proofErr w:type="gramEnd"/>
    </w:p>
    <w:sectPr w:rsidR="004B7AD1" w:rsidRPr="004B7AD1" w:rsidSect="004B7AD1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CC" w:rsidRDefault="008863CC" w:rsidP="008863CC">
      <w:r>
        <w:separator/>
      </w:r>
    </w:p>
  </w:endnote>
  <w:endnote w:type="continuationSeparator" w:id="0">
    <w:p w:rsidR="008863CC" w:rsidRDefault="008863CC" w:rsidP="0088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3CC" w:rsidRDefault="008863CC">
    <w:pPr>
      <w:pStyle w:val="Piedepgina"/>
      <w:jc w:val="center"/>
    </w:pPr>
  </w:p>
  <w:p w:rsidR="008863CC" w:rsidRDefault="00810140">
    <w:pPr>
      <w:pStyle w:val="Piedepgina"/>
      <w:jc w:val="center"/>
    </w:pPr>
    <w:sdt>
      <w:sdtPr>
        <w:id w:val="-703793839"/>
        <w:docPartObj>
          <w:docPartGallery w:val="Page Numbers (Bottom of Page)"/>
          <w:docPartUnique/>
        </w:docPartObj>
      </w:sdtPr>
      <w:sdtEndPr/>
      <w:sdtContent>
        <w:r w:rsidR="008863CC">
          <w:fldChar w:fldCharType="begin"/>
        </w:r>
        <w:r w:rsidR="008863CC">
          <w:instrText>PAGE   \* MERGEFORMAT</w:instrText>
        </w:r>
        <w:r w:rsidR="008863CC">
          <w:fldChar w:fldCharType="separate"/>
        </w:r>
        <w:r>
          <w:rPr>
            <w:noProof/>
          </w:rPr>
          <w:t>1</w:t>
        </w:r>
        <w:r w:rsidR="008863C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CC" w:rsidRDefault="008863CC" w:rsidP="008863CC">
      <w:r>
        <w:separator/>
      </w:r>
    </w:p>
  </w:footnote>
  <w:footnote w:type="continuationSeparator" w:id="0">
    <w:p w:rsidR="008863CC" w:rsidRDefault="008863CC" w:rsidP="00886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4AC9"/>
    <w:multiLevelType w:val="hybridMultilevel"/>
    <w:tmpl w:val="CEF668E6"/>
    <w:lvl w:ilvl="0" w:tplc="0C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56EFE"/>
    <w:multiLevelType w:val="multilevel"/>
    <w:tmpl w:val="A61633C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38" w:hanging="123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2646" w:hanging="123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54" w:hanging="123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62" w:hanging="123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6F43352D"/>
    <w:multiLevelType w:val="hybridMultilevel"/>
    <w:tmpl w:val="E180A54E"/>
    <w:lvl w:ilvl="0" w:tplc="3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21"/>
    <w:rsid w:val="00002821"/>
    <w:rsid w:val="000029A8"/>
    <w:rsid w:val="00011EA0"/>
    <w:rsid w:val="002C1F84"/>
    <w:rsid w:val="00315DD5"/>
    <w:rsid w:val="00426EAD"/>
    <w:rsid w:val="004B7AD1"/>
    <w:rsid w:val="007A6F5B"/>
    <w:rsid w:val="00810140"/>
    <w:rsid w:val="008863CC"/>
    <w:rsid w:val="009C1CDC"/>
    <w:rsid w:val="00A91EB5"/>
    <w:rsid w:val="00BD69C7"/>
    <w:rsid w:val="00D2705C"/>
    <w:rsid w:val="00E4474C"/>
    <w:rsid w:val="00E8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EA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11EA0"/>
    <w:pPr>
      <w:keepNext/>
      <w:widowControl/>
      <w:outlineLvl w:val="1"/>
    </w:pPr>
    <w:rPr>
      <w:rFonts w:ascii="Bookman Old Style" w:hAnsi="Bookman Old Style"/>
      <w:b/>
      <w:snapToGrid/>
      <w:color w:val="000000"/>
      <w:szCs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11EA0"/>
    <w:pPr>
      <w:keepNext/>
      <w:widowControl/>
      <w:outlineLvl w:val="2"/>
    </w:pPr>
    <w:rPr>
      <w:rFonts w:ascii="Arial" w:hAnsi="Arial"/>
      <w:b/>
      <w:snapToGrid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11EA0"/>
    <w:rPr>
      <w:rFonts w:ascii="Bookman Old Style" w:eastAsia="Times New Roman" w:hAnsi="Bookman Old Style" w:cs="Times New Roman"/>
      <w:b/>
      <w:color w:val="000000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011EA0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011EA0"/>
    <w:pPr>
      <w:widowControl/>
      <w:spacing w:line="360" w:lineRule="auto"/>
      <w:ind w:firstLine="708"/>
      <w:jc w:val="both"/>
    </w:pPr>
    <w:rPr>
      <w:rFonts w:ascii="Arial" w:hAnsi="Arial"/>
      <w:snapToGrid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11EA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15D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63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63CC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863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3CC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EA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11EA0"/>
    <w:pPr>
      <w:keepNext/>
      <w:widowControl/>
      <w:outlineLvl w:val="1"/>
    </w:pPr>
    <w:rPr>
      <w:rFonts w:ascii="Bookman Old Style" w:hAnsi="Bookman Old Style"/>
      <w:b/>
      <w:snapToGrid/>
      <w:color w:val="000000"/>
      <w:szCs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11EA0"/>
    <w:pPr>
      <w:keepNext/>
      <w:widowControl/>
      <w:outlineLvl w:val="2"/>
    </w:pPr>
    <w:rPr>
      <w:rFonts w:ascii="Arial" w:hAnsi="Arial"/>
      <w:b/>
      <w:snapToGrid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11EA0"/>
    <w:rPr>
      <w:rFonts w:ascii="Bookman Old Style" w:eastAsia="Times New Roman" w:hAnsi="Bookman Old Style" w:cs="Times New Roman"/>
      <w:b/>
      <w:color w:val="000000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011EA0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011EA0"/>
    <w:pPr>
      <w:widowControl/>
      <w:spacing w:line="360" w:lineRule="auto"/>
      <w:ind w:firstLine="708"/>
      <w:jc w:val="both"/>
    </w:pPr>
    <w:rPr>
      <w:rFonts w:ascii="Arial" w:hAnsi="Arial"/>
      <w:snapToGrid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11EA0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15D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863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63CC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863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3CC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2019-07-19T14:47:00Z</cp:lastPrinted>
  <dcterms:created xsi:type="dcterms:W3CDTF">2019-07-19T14:31:00Z</dcterms:created>
  <dcterms:modified xsi:type="dcterms:W3CDTF">2019-08-02T18:34:00Z</dcterms:modified>
</cp:coreProperties>
</file>