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260" w:rsidRDefault="00CE0260" w:rsidP="00CE0260">
      <w:pPr>
        <w:tabs>
          <w:tab w:val="left" w:pos="3828"/>
          <w:tab w:val="center" w:pos="4253"/>
        </w:tabs>
        <w:spacing w:after="0" w:line="360" w:lineRule="auto"/>
        <w:jc w:val="right"/>
        <w:rPr>
          <w:rFonts w:ascii="Arial" w:hAnsi="Arial"/>
          <w:spacing w:val="-3"/>
          <w:sz w:val="24"/>
          <w:szCs w:val="24"/>
          <w:lang w:val="es-ES_tradnl"/>
        </w:rPr>
      </w:pPr>
      <w:r w:rsidRPr="00CE0260">
        <w:rPr>
          <w:rFonts w:ascii="Arial" w:hAnsi="Arial" w:cs="Arial"/>
          <w:spacing w:val="-3"/>
          <w:sz w:val="24"/>
          <w:szCs w:val="24"/>
          <w:lang w:val="es-ES_tradnl" w:eastAsia="es-ES_tradnl"/>
        </w:rPr>
        <w:t>Montevideo, 19 de julio</w:t>
      </w:r>
      <w:r w:rsidRPr="00CE0260">
        <w:rPr>
          <w:rFonts w:ascii="Arial" w:hAnsi="Arial" w:cs="Arial"/>
          <w:spacing w:val="-3"/>
          <w:szCs w:val="24"/>
          <w:lang w:val="es-ES_tradnl" w:eastAsia="es-ES_tradnl"/>
        </w:rPr>
        <w:t xml:space="preserve"> </w:t>
      </w:r>
      <w:r w:rsidR="002414A4">
        <w:rPr>
          <w:rFonts w:ascii="Arial" w:hAnsi="Arial"/>
          <w:spacing w:val="-3"/>
          <w:sz w:val="24"/>
          <w:szCs w:val="24"/>
          <w:lang w:val="es-ES_tradnl"/>
        </w:rPr>
        <w:t>de 2019</w:t>
      </w:r>
    </w:p>
    <w:p w:rsidR="002414A4" w:rsidRPr="00CE0260" w:rsidRDefault="002414A4" w:rsidP="00CE0260">
      <w:pPr>
        <w:tabs>
          <w:tab w:val="left" w:pos="3828"/>
          <w:tab w:val="center" w:pos="4253"/>
        </w:tabs>
        <w:spacing w:after="0" w:line="360" w:lineRule="auto"/>
        <w:jc w:val="right"/>
        <w:rPr>
          <w:rFonts w:ascii="Arial" w:hAnsi="Arial" w:cs="Arial"/>
          <w:spacing w:val="-3"/>
          <w:sz w:val="24"/>
          <w:szCs w:val="24"/>
          <w:lang w:val="es-ES_tradnl" w:eastAsia="es-ES_tradnl"/>
        </w:rPr>
      </w:pPr>
    </w:p>
    <w:p w:rsidR="00CE0260" w:rsidRPr="00CE0260" w:rsidRDefault="00CE0260" w:rsidP="00CE0260">
      <w:pPr>
        <w:tabs>
          <w:tab w:val="left" w:pos="-720"/>
        </w:tabs>
        <w:suppressAutoHyphens/>
        <w:spacing w:after="0" w:line="360" w:lineRule="auto"/>
        <w:jc w:val="both"/>
        <w:rPr>
          <w:rFonts w:ascii="Arial" w:eastAsia="Times New Roman" w:hAnsi="Arial"/>
          <w:spacing w:val="-3"/>
          <w:sz w:val="24"/>
          <w:szCs w:val="24"/>
          <w:lang w:val="es-ES_tradnl" w:eastAsia="es-ES"/>
        </w:rPr>
      </w:pPr>
      <w:r>
        <w:rPr>
          <w:rFonts w:ascii="Arial" w:eastAsia="Times New Roman" w:hAnsi="Arial"/>
          <w:spacing w:val="-3"/>
          <w:sz w:val="24"/>
          <w:szCs w:val="24"/>
          <w:lang w:val="es-ES_tradnl" w:eastAsia="es-ES"/>
        </w:rPr>
        <w:t>Señor</w:t>
      </w:r>
      <w:r w:rsidRPr="00CE0260">
        <w:rPr>
          <w:rFonts w:ascii="Arial" w:eastAsia="Times New Roman" w:hAnsi="Arial"/>
          <w:spacing w:val="-3"/>
          <w:sz w:val="24"/>
          <w:szCs w:val="24"/>
          <w:lang w:val="es-ES_tradnl" w:eastAsia="es-ES"/>
        </w:rPr>
        <w:t xml:space="preserve"> Ministro de Ganadería</w:t>
      </w:r>
    </w:p>
    <w:p w:rsidR="00CE0260" w:rsidRPr="00CE0260" w:rsidRDefault="00CE0260" w:rsidP="00CE0260">
      <w:pPr>
        <w:tabs>
          <w:tab w:val="left" w:pos="-720"/>
        </w:tabs>
        <w:suppressAutoHyphens/>
        <w:spacing w:after="0" w:line="360" w:lineRule="auto"/>
        <w:jc w:val="both"/>
        <w:rPr>
          <w:rFonts w:ascii="Arial" w:eastAsia="Times New Roman" w:hAnsi="Arial"/>
          <w:spacing w:val="-3"/>
          <w:sz w:val="24"/>
          <w:szCs w:val="24"/>
          <w:lang w:val="es-ES_tradnl" w:eastAsia="es-ES"/>
        </w:rPr>
      </w:pPr>
      <w:r w:rsidRPr="00CE0260">
        <w:rPr>
          <w:rFonts w:ascii="Arial" w:eastAsia="Times New Roman" w:hAnsi="Arial"/>
          <w:spacing w:val="-3"/>
          <w:sz w:val="24"/>
          <w:szCs w:val="24"/>
          <w:lang w:val="es-ES_tradnl" w:eastAsia="es-ES"/>
        </w:rPr>
        <w:t>Agricultura y Pesca</w:t>
      </w:r>
    </w:p>
    <w:p w:rsidR="00CE0260" w:rsidRPr="00AF6EF4" w:rsidRDefault="00CE0260" w:rsidP="00CE0260">
      <w:pPr>
        <w:tabs>
          <w:tab w:val="left" w:pos="-720"/>
        </w:tabs>
        <w:suppressAutoHyphens/>
        <w:spacing w:after="0" w:line="360" w:lineRule="auto"/>
        <w:jc w:val="both"/>
        <w:rPr>
          <w:rFonts w:ascii="Arial" w:eastAsia="Times New Roman" w:hAnsi="Arial"/>
          <w:spacing w:val="-3"/>
          <w:sz w:val="24"/>
          <w:szCs w:val="24"/>
          <w:lang w:eastAsia="es-ES"/>
        </w:rPr>
      </w:pPr>
      <w:r w:rsidRPr="00F53EF9">
        <w:rPr>
          <w:rFonts w:ascii="Arial" w:hAnsi="Arial" w:cs="Arial"/>
          <w:color w:val="141414"/>
          <w:sz w:val="24"/>
          <w:szCs w:val="24"/>
          <w:shd w:val="clear" w:color="auto" w:fill="FFFFFF"/>
        </w:rPr>
        <w:t xml:space="preserve">Ing. Agr. </w:t>
      </w:r>
      <w:r w:rsidRPr="00AF6EF4">
        <w:rPr>
          <w:rFonts w:ascii="Arial" w:hAnsi="Arial" w:cs="Arial"/>
          <w:color w:val="141414"/>
          <w:sz w:val="24"/>
          <w:szCs w:val="24"/>
          <w:shd w:val="clear" w:color="auto" w:fill="FFFFFF"/>
        </w:rPr>
        <w:t>Enzo Benech</w:t>
      </w:r>
    </w:p>
    <w:p w:rsidR="00CE0260" w:rsidRPr="00AF6EF4" w:rsidRDefault="00CE0260" w:rsidP="00CE0260">
      <w:pPr>
        <w:widowControl w:val="0"/>
        <w:autoSpaceDE w:val="0"/>
        <w:autoSpaceDN w:val="0"/>
        <w:adjustRightInd w:val="0"/>
        <w:spacing w:after="0" w:line="360" w:lineRule="auto"/>
        <w:jc w:val="right"/>
        <w:rPr>
          <w:rFonts w:ascii="Arial" w:hAnsi="Arial" w:cs="Arial"/>
          <w:sz w:val="24"/>
          <w:szCs w:val="24"/>
          <w:lang w:eastAsia="es-ES_tradnl"/>
        </w:rPr>
      </w:pPr>
      <w:bookmarkStart w:id="0" w:name="_GoBack"/>
      <w:bookmarkEnd w:id="0"/>
      <w:r w:rsidRPr="00AF6EF4">
        <w:rPr>
          <w:rFonts w:ascii="Arial" w:hAnsi="Arial" w:cs="Arial"/>
          <w:sz w:val="24"/>
          <w:szCs w:val="24"/>
          <w:lang w:eastAsia="es-ES_tradnl"/>
        </w:rPr>
        <w:t>E.</w:t>
      </w:r>
      <w:r w:rsidR="002414A4" w:rsidRPr="00AF6EF4">
        <w:rPr>
          <w:rFonts w:ascii="Arial" w:hAnsi="Arial" w:cs="Arial"/>
          <w:sz w:val="24"/>
          <w:szCs w:val="24"/>
          <w:lang w:eastAsia="es-ES_tradnl"/>
        </w:rPr>
        <w:t xml:space="preserve"> </w:t>
      </w:r>
      <w:r w:rsidRPr="00AF6EF4">
        <w:rPr>
          <w:rFonts w:ascii="Arial" w:hAnsi="Arial" w:cs="Arial"/>
          <w:sz w:val="24"/>
          <w:szCs w:val="24"/>
          <w:lang w:eastAsia="es-ES_tradnl"/>
        </w:rPr>
        <w:t xml:space="preserve">E. 2019-17-1-0002927  </w:t>
      </w:r>
    </w:p>
    <w:p w:rsidR="00CE0260" w:rsidRPr="00AF6EF4" w:rsidRDefault="00CE0260" w:rsidP="00CE0260">
      <w:pPr>
        <w:widowControl w:val="0"/>
        <w:autoSpaceDE w:val="0"/>
        <w:autoSpaceDN w:val="0"/>
        <w:adjustRightInd w:val="0"/>
        <w:spacing w:after="0" w:line="360" w:lineRule="auto"/>
        <w:jc w:val="right"/>
        <w:rPr>
          <w:rFonts w:ascii="Arial" w:hAnsi="Arial" w:cs="Arial"/>
          <w:sz w:val="24"/>
          <w:szCs w:val="24"/>
          <w:lang w:eastAsia="es-ES_tradnl"/>
        </w:rPr>
      </w:pPr>
      <w:r w:rsidRPr="00AF6EF4">
        <w:rPr>
          <w:rFonts w:ascii="Arial" w:hAnsi="Arial" w:cs="Arial"/>
          <w:sz w:val="24"/>
          <w:szCs w:val="24"/>
          <w:lang w:eastAsia="es-ES_tradnl"/>
        </w:rPr>
        <w:t>Ent. Nº 2297/19</w:t>
      </w:r>
    </w:p>
    <w:p w:rsidR="00CE0260" w:rsidRDefault="00CE0260" w:rsidP="00CE0260">
      <w:pPr>
        <w:widowControl w:val="0"/>
        <w:autoSpaceDE w:val="0"/>
        <w:autoSpaceDN w:val="0"/>
        <w:adjustRightInd w:val="0"/>
        <w:spacing w:after="0" w:line="360" w:lineRule="auto"/>
        <w:jc w:val="right"/>
        <w:rPr>
          <w:rFonts w:ascii="Arial" w:hAnsi="Arial" w:cs="Arial"/>
          <w:sz w:val="24"/>
          <w:szCs w:val="24"/>
          <w:lang w:eastAsia="es-ES_tradnl"/>
        </w:rPr>
      </w:pPr>
      <w:r>
        <w:rPr>
          <w:rFonts w:ascii="Arial" w:hAnsi="Arial" w:cs="Arial"/>
          <w:sz w:val="24"/>
          <w:szCs w:val="24"/>
          <w:lang w:eastAsia="es-ES_tradnl"/>
        </w:rPr>
        <w:t>Oficio Nº 3278/19</w:t>
      </w:r>
    </w:p>
    <w:p w:rsidR="002414A4" w:rsidRPr="00867B0D" w:rsidRDefault="002414A4" w:rsidP="00CE0260">
      <w:pPr>
        <w:widowControl w:val="0"/>
        <w:autoSpaceDE w:val="0"/>
        <w:autoSpaceDN w:val="0"/>
        <w:adjustRightInd w:val="0"/>
        <w:spacing w:after="0" w:line="360" w:lineRule="auto"/>
        <w:jc w:val="right"/>
        <w:rPr>
          <w:rFonts w:ascii="Arial" w:hAnsi="Arial" w:cs="Arial"/>
          <w:sz w:val="24"/>
          <w:szCs w:val="24"/>
          <w:lang w:eastAsia="es-ES_tradnl"/>
        </w:rPr>
      </w:pPr>
    </w:p>
    <w:p w:rsidR="00B622F6" w:rsidRPr="00CD61D9" w:rsidRDefault="00B622F6" w:rsidP="00CE0260">
      <w:pPr>
        <w:tabs>
          <w:tab w:val="left" w:pos="-720"/>
        </w:tabs>
        <w:suppressAutoHyphens/>
        <w:spacing w:after="0" w:line="360" w:lineRule="auto"/>
        <w:jc w:val="both"/>
        <w:rPr>
          <w:rFonts w:ascii="Arial" w:eastAsia="Times New Roman" w:hAnsi="Arial"/>
          <w:sz w:val="24"/>
          <w:szCs w:val="24"/>
          <w:lang w:val="es-ES_tradnl" w:eastAsia="es-ES"/>
        </w:rPr>
      </w:pPr>
      <w:r w:rsidRPr="00CD61D9">
        <w:rPr>
          <w:rFonts w:ascii="Arial" w:eastAsia="Times New Roman" w:hAnsi="Arial"/>
          <w:sz w:val="24"/>
          <w:szCs w:val="24"/>
          <w:lang w:val="es-ES_tradnl" w:eastAsia="es-ES"/>
        </w:rPr>
        <w:t xml:space="preserve">Acusamos recibo de su nota </w:t>
      </w:r>
      <w:r w:rsidRPr="007E7D1B">
        <w:rPr>
          <w:rFonts w:ascii="Arial" w:eastAsia="Times New Roman" w:hAnsi="Arial"/>
          <w:sz w:val="24"/>
          <w:szCs w:val="24"/>
          <w:lang w:val="es-ES_tradnl" w:eastAsia="es-ES"/>
        </w:rPr>
        <w:t xml:space="preserve">Nº </w:t>
      </w:r>
      <w:r>
        <w:rPr>
          <w:rFonts w:ascii="Arial" w:eastAsia="Times New Roman" w:hAnsi="Arial"/>
          <w:sz w:val="24"/>
          <w:szCs w:val="24"/>
          <w:lang w:val="es-ES_tradnl" w:eastAsia="es-ES"/>
        </w:rPr>
        <w:t>PDPR II N 01/19</w:t>
      </w:r>
      <w:r w:rsidRPr="007E7D1B">
        <w:rPr>
          <w:rFonts w:ascii="Arial" w:eastAsia="Times New Roman" w:hAnsi="Arial"/>
          <w:sz w:val="24"/>
          <w:szCs w:val="24"/>
          <w:lang w:val="es-ES_tradnl" w:eastAsia="es-ES"/>
        </w:rPr>
        <w:t xml:space="preserve"> </w:t>
      </w:r>
      <w:r w:rsidRPr="00CD61D9">
        <w:rPr>
          <w:rFonts w:ascii="Arial" w:eastAsia="Times New Roman" w:hAnsi="Arial"/>
          <w:sz w:val="24"/>
          <w:szCs w:val="24"/>
          <w:lang w:val="es-ES_tradnl" w:eastAsia="es-ES"/>
        </w:rPr>
        <w:t xml:space="preserve">de fecha </w:t>
      </w:r>
      <w:r>
        <w:rPr>
          <w:rFonts w:ascii="Arial" w:eastAsia="Times New Roman" w:hAnsi="Arial"/>
          <w:sz w:val="24"/>
          <w:szCs w:val="24"/>
          <w:lang w:val="es-ES_tradnl" w:eastAsia="es-ES"/>
        </w:rPr>
        <w:t>20 de junio</w:t>
      </w:r>
      <w:r w:rsidRPr="00CD61D9">
        <w:rPr>
          <w:rFonts w:ascii="Arial" w:eastAsia="Times New Roman" w:hAnsi="Arial"/>
          <w:sz w:val="24"/>
          <w:szCs w:val="24"/>
          <w:lang w:val="es-ES_tradnl" w:eastAsia="es-ES"/>
        </w:rPr>
        <w:t xml:space="preserve"> de </w:t>
      </w:r>
      <w:r>
        <w:rPr>
          <w:rFonts w:ascii="Arial" w:eastAsia="Times New Roman" w:hAnsi="Arial"/>
          <w:sz w:val="24"/>
          <w:szCs w:val="24"/>
          <w:lang w:val="es-ES_tradnl" w:eastAsia="es-ES"/>
        </w:rPr>
        <w:t>2019</w:t>
      </w:r>
      <w:r w:rsidR="00CE0260">
        <w:rPr>
          <w:rFonts w:ascii="Arial" w:eastAsia="Times New Roman" w:hAnsi="Arial"/>
          <w:sz w:val="24"/>
          <w:szCs w:val="24"/>
          <w:lang w:val="es-ES_tradnl" w:eastAsia="es-ES"/>
        </w:rPr>
        <w:t xml:space="preserve">, por la que solicita la realización de la auditoría de los estados </w:t>
      </w:r>
      <w:r w:rsidRPr="00CD61D9">
        <w:rPr>
          <w:rFonts w:ascii="Arial" w:eastAsia="Times New Roman" w:hAnsi="Arial"/>
          <w:sz w:val="24"/>
          <w:szCs w:val="24"/>
          <w:lang w:val="es-ES_tradnl" w:eastAsia="es-ES"/>
        </w:rPr>
        <w:t xml:space="preserve">financieros </w:t>
      </w:r>
      <w:r>
        <w:rPr>
          <w:rFonts w:ascii="Arial" w:eastAsia="Times New Roman" w:hAnsi="Arial"/>
          <w:sz w:val="24"/>
          <w:szCs w:val="24"/>
          <w:lang w:val="es-ES_tradnl" w:eastAsia="es-ES"/>
        </w:rPr>
        <w:t xml:space="preserve">del “Programa de Desarrollo Productivo Rural II”, financiado parcialmente con recursos de Contrato de Préstamo BID Nº 4644/OC-UR, </w:t>
      </w:r>
      <w:r w:rsidRPr="00CD61D9">
        <w:rPr>
          <w:rFonts w:ascii="Arial" w:eastAsia="Times New Roman" w:hAnsi="Arial"/>
          <w:sz w:val="24"/>
          <w:szCs w:val="24"/>
          <w:lang w:val="es-ES_tradnl" w:eastAsia="es-ES"/>
        </w:rPr>
        <w:t>celebrado entre la República Oriental del Uruguay y el Banco Interamericano de</w:t>
      </w:r>
      <w:r>
        <w:rPr>
          <w:rFonts w:ascii="Arial" w:eastAsia="Times New Roman" w:hAnsi="Arial"/>
          <w:sz w:val="24"/>
          <w:szCs w:val="24"/>
          <w:lang w:val="es-ES_tradnl" w:eastAsia="es-ES"/>
        </w:rPr>
        <w:t xml:space="preserve"> Desarrollo</w:t>
      </w:r>
      <w:r w:rsidRPr="00CD61D9">
        <w:rPr>
          <w:rFonts w:ascii="Arial" w:eastAsia="Times New Roman" w:hAnsi="Arial"/>
          <w:sz w:val="24"/>
          <w:szCs w:val="24"/>
          <w:lang w:val="es-ES_tradnl" w:eastAsia="es-ES"/>
        </w:rPr>
        <w:t>.</w:t>
      </w:r>
    </w:p>
    <w:p w:rsidR="00B622F6" w:rsidRPr="00CD61D9" w:rsidRDefault="00B622F6" w:rsidP="00CE0260">
      <w:pPr>
        <w:tabs>
          <w:tab w:val="left" w:pos="-720"/>
        </w:tabs>
        <w:suppressAutoHyphens/>
        <w:spacing w:after="0" w:line="360" w:lineRule="auto"/>
        <w:jc w:val="both"/>
        <w:rPr>
          <w:rFonts w:ascii="Arial" w:eastAsia="Times New Roman" w:hAnsi="Arial"/>
          <w:sz w:val="24"/>
          <w:szCs w:val="24"/>
          <w:lang w:val="es-ES_tradnl" w:eastAsia="es-ES"/>
        </w:rPr>
      </w:pPr>
      <w:r w:rsidRPr="00CD61D9">
        <w:rPr>
          <w:rFonts w:ascii="Arial" w:eastAsia="Times New Roman" w:hAnsi="Arial"/>
          <w:sz w:val="24"/>
          <w:szCs w:val="24"/>
          <w:lang w:val="es-ES_tradnl" w:eastAsia="es-ES"/>
        </w:rPr>
        <w:t>El Tribunal de Cuentas ha resuelto aceptar la auditoría del referido Programa. A efectos de su formalización se agrega, en carácter de anexo, la correspondiente Carta  Compromiso, donde consta:</w:t>
      </w:r>
    </w:p>
    <w:p w:rsidR="00B622F6" w:rsidRPr="00CD61D9" w:rsidRDefault="00B622F6" w:rsidP="00CE0260">
      <w:pPr>
        <w:numPr>
          <w:ilvl w:val="0"/>
          <w:numId w:val="1"/>
        </w:numPr>
        <w:tabs>
          <w:tab w:val="clear" w:pos="720"/>
          <w:tab w:val="num" w:pos="0"/>
          <w:tab w:val="num" w:pos="426"/>
        </w:tabs>
        <w:suppressAutoHyphens/>
        <w:spacing w:after="0" w:line="360" w:lineRule="auto"/>
        <w:ind w:left="0" w:firstLine="0"/>
        <w:rPr>
          <w:rFonts w:ascii="Arial" w:eastAsia="Times New Roman" w:hAnsi="Arial"/>
          <w:sz w:val="24"/>
          <w:szCs w:val="24"/>
          <w:lang w:val="es-ES_tradnl" w:eastAsia="es-ES"/>
        </w:rPr>
      </w:pPr>
      <w:r w:rsidRPr="00CD61D9">
        <w:rPr>
          <w:rFonts w:ascii="Arial" w:eastAsia="Times New Roman" w:hAnsi="Arial"/>
          <w:sz w:val="24"/>
          <w:szCs w:val="24"/>
          <w:lang w:val="es-ES_tradnl" w:eastAsia="es-ES"/>
        </w:rPr>
        <w:t>La confirmación de nuestro entendimiento del encargo,</w:t>
      </w:r>
    </w:p>
    <w:p w:rsidR="00B622F6" w:rsidRPr="00CD61D9" w:rsidRDefault="00B622F6" w:rsidP="00CE0260">
      <w:pPr>
        <w:numPr>
          <w:ilvl w:val="0"/>
          <w:numId w:val="1"/>
        </w:numPr>
        <w:tabs>
          <w:tab w:val="clear" w:pos="720"/>
          <w:tab w:val="num" w:pos="0"/>
          <w:tab w:val="num" w:pos="426"/>
        </w:tabs>
        <w:suppressAutoHyphens/>
        <w:spacing w:after="0" w:line="360" w:lineRule="auto"/>
        <w:ind w:left="0" w:firstLine="0"/>
        <w:jc w:val="both"/>
        <w:rPr>
          <w:rFonts w:ascii="Arial" w:eastAsia="Times New Roman" w:hAnsi="Arial"/>
          <w:sz w:val="24"/>
          <w:szCs w:val="24"/>
          <w:lang w:val="es-ES_tradnl" w:eastAsia="es-ES"/>
        </w:rPr>
      </w:pPr>
      <w:r w:rsidRPr="00CD61D9">
        <w:rPr>
          <w:rFonts w:ascii="Arial" w:eastAsia="Times New Roman" w:hAnsi="Arial"/>
          <w:sz w:val="24"/>
          <w:szCs w:val="24"/>
          <w:lang w:val="es-ES_tradnl" w:eastAsia="es-ES"/>
        </w:rPr>
        <w:t xml:space="preserve">La naturaleza de los servicios a prestar al Organismo Ejecutor con relación a la auditoría de los estados financieros del citado Programa, </w:t>
      </w:r>
      <w:r w:rsidR="002414A4">
        <w:rPr>
          <w:rFonts w:ascii="Arial" w:eastAsia="Times New Roman" w:hAnsi="Arial"/>
          <w:sz w:val="24"/>
          <w:szCs w:val="24"/>
          <w:lang w:val="es-ES_tradnl" w:eastAsia="es-ES"/>
        </w:rPr>
        <w:t>y</w:t>
      </w:r>
    </w:p>
    <w:p w:rsidR="00B622F6" w:rsidRDefault="00B622F6" w:rsidP="00CE0260">
      <w:pPr>
        <w:numPr>
          <w:ilvl w:val="0"/>
          <w:numId w:val="1"/>
        </w:numPr>
        <w:tabs>
          <w:tab w:val="clear" w:pos="720"/>
          <w:tab w:val="num" w:pos="0"/>
          <w:tab w:val="num" w:pos="426"/>
        </w:tabs>
        <w:suppressAutoHyphens/>
        <w:spacing w:after="0" w:line="360" w:lineRule="auto"/>
        <w:ind w:left="0" w:firstLine="0"/>
        <w:jc w:val="both"/>
        <w:rPr>
          <w:rFonts w:ascii="Arial" w:eastAsia="Times New Roman" w:hAnsi="Arial"/>
          <w:sz w:val="24"/>
          <w:szCs w:val="24"/>
          <w:lang w:val="es-ES_tradnl" w:eastAsia="es-ES"/>
        </w:rPr>
      </w:pPr>
      <w:r w:rsidRPr="00CD61D9">
        <w:rPr>
          <w:rFonts w:ascii="Arial" w:eastAsia="Times New Roman" w:hAnsi="Arial"/>
          <w:sz w:val="24"/>
          <w:szCs w:val="24"/>
          <w:lang w:val="es-ES_tradnl" w:eastAsia="es-ES"/>
        </w:rPr>
        <w:t>Los costos de la auditoría.</w:t>
      </w:r>
    </w:p>
    <w:p w:rsidR="00B622F6" w:rsidRPr="00CD61D9" w:rsidRDefault="00B622F6" w:rsidP="00CE0260">
      <w:pPr>
        <w:widowControl w:val="0"/>
        <w:tabs>
          <w:tab w:val="left" w:pos="-720"/>
        </w:tabs>
        <w:suppressAutoHyphens/>
        <w:snapToGrid w:val="0"/>
        <w:spacing w:after="0" w:line="360" w:lineRule="auto"/>
        <w:jc w:val="both"/>
        <w:rPr>
          <w:rFonts w:ascii="Arial" w:eastAsia="Times New Roman" w:hAnsi="Arial"/>
          <w:sz w:val="24"/>
          <w:szCs w:val="20"/>
          <w:lang w:val="es-ES_tradnl" w:eastAsia="es-ES"/>
        </w:rPr>
      </w:pPr>
      <w:r w:rsidRPr="00CD61D9">
        <w:rPr>
          <w:rFonts w:ascii="Arial" w:eastAsia="Times New Roman" w:hAnsi="Arial"/>
          <w:sz w:val="24"/>
          <w:szCs w:val="20"/>
          <w:lang w:val="es-ES_tradnl" w:eastAsia="es-ES"/>
        </w:rPr>
        <w:t xml:space="preserve">De aceptar los términos expuestos, se solicita devolver la referida Carta Compromiso con vuestra firma o la de otra persona habilitada </w:t>
      </w:r>
      <w:r w:rsidR="00CE0260">
        <w:rPr>
          <w:rFonts w:ascii="Arial" w:eastAsia="Times New Roman" w:hAnsi="Arial"/>
          <w:sz w:val="24"/>
          <w:szCs w:val="20"/>
          <w:lang w:val="es-ES_tradnl" w:eastAsia="es-ES"/>
        </w:rPr>
        <w:t>para representar al organismo.</w:t>
      </w:r>
    </w:p>
    <w:p w:rsidR="008B62B3" w:rsidRDefault="002414A4" w:rsidP="00CE0260">
      <w:pPr>
        <w:tabs>
          <w:tab w:val="left" w:pos="-720"/>
        </w:tabs>
        <w:suppressAutoHyphens/>
        <w:spacing w:after="0" w:line="360" w:lineRule="auto"/>
        <w:jc w:val="right"/>
        <w:rPr>
          <w:rFonts w:ascii="Arial" w:eastAsia="Times New Roman" w:hAnsi="Arial"/>
          <w:sz w:val="24"/>
          <w:szCs w:val="24"/>
          <w:lang w:val="es-ES_tradnl" w:eastAsia="es-ES"/>
        </w:rPr>
      </w:pPr>
      <w:r>
        <w:rPr>
          <w:rFonts w:ascii="Arial" w:eastAsia="Times New Roman" w:hAnsi="Arial"/>
          <w:sz w:val="24"/>
          <w:szCs w:val="24"/>
          <w:lang w:val="es-ES_tradnl" w:eastAsia="es-ES"/>
        </w:rPr>
        <w:t>Saludamos a Usted atentamente</w:t>
      </w:r>
    </w:p>
    <w:p w:rsidR="002414A4" w:rsidRDefault="002414A4" w:rsidP="00CE0260">
      <w:pPr>
        <w:tabs>
          <w:tab w:val="left" w:pos="-720"/>
        </w:tabs>
        <w:suppressAutoHyphens/>
        <w:spacing w:after="0" w:line="360" w:lineRule="auto"/>
        <w:jc w:val="right"/>
        <w:rPr>
          <w:rFonts w:ascii="Arial" w:eastAsia="Times New Roman" w:hAnsi="Arial"/>
          <w:sz w:val="24"/>
          <w:szCs w:val="24"/>
          <w:lang w:val="es-ES_tradnl" w:eastAsia="es-ES"/>
        </w:rPr>
      </w:pPr>
    </w:p>
    <w:p w:rsidR="002414A4" w:rsidRDefault="002414A4" w:rsidP="00CE0260">
      <w:pPr>
        <w:tabs>
          <w:tab w:val="left" w:pos="-720"/>
        </w:tabs>
        <w:suppressAutoHyphens/>
        <w:spacing w:after="0" w:line="360" w:lineRule="auto"/>
        <w:jc w:val="right"/>
        <w:rPr>
          <w:rFonts w:ascii="Arial" w:eastAsia="Times New Roman" w:hAnsi="Arial"/>
          <w:sz w:val="24"/>
          <w:szCs w:val="24"/>
          <w:lang w:val="es-ES_tradnl" w:eastAsia="es-ES"/>
        </w:rPr>
      </w:pPr>
    </w:p>
    <w:p w:rsidR="00CE0260" w:rsidRDefault="00CE0260" w:rsidP="00CE0260">
      <w:pPr>
        <w:tabs>
          <w:tab w:val="left" w:pos="-720"/>
        </w:tabs>
        <w:suppressAutoHyphens/>
        <w:spacing w:after="0" w:line="360" w:lineRule="auto"/>
        <w:jc w:val="both"/>
        <w:rPr>
          <w:rFonts w:ascii="Arial" w:eastAsia="Times New Roman" w:hAnsi="Arial"/>
          <w:sz w:val="24"/>
          <w:szCs w:val="24"/>
          <w:lang w:val="es-ES_tradnl" w:eastAsia="es-ES"/>
        </w:rPr>
      </w:pPr>
      <w:proofErr w:type="gramStart"/>
      <w:r>
        <w:rPr>
          <w:rFonts w:ascii="Arial" w:eastAsia="Times New Roman" w:hAnsi="Arial"/>
          <w:sz w:val="24"/>
          <w:szCs w:val="24"/>
          <w:lang w:val="es-ES_tradnl" w:eastAsia="es-ES"/>
        </w:rPr>
        <w:t>lm</w:t>
      </w:r>
      <w:proofErr w:type="gramEnd"/>
    </w:p>
    <w:p w:rsidR="00F53EF9" w:rsidRDefault="00F53EF9" w:rsidP="00CE0260">
      <w:pPr>
        <w:tabs>
          <w:tab w:val="left" w:pos="-720"/>
        </w:tabs>
        <w:suppressAutoHyphens/>
        <w:spacing w:after="0" w:line="360" w:lineRule="auto"/>
        <w:jc w:val="both"/>
        <w:rPr>
          <w:rFonts w:ascii="Arial" w:eastAsia="Times New Roman" w:hAnsi="Arial"/>
          <w:sz w:val="24"/>
          <w:szCs w:val="24"/>
          <w:lang w:val="es-ES_tradnl" w:eastAsia="es-ES"/>
        </w:rPr>
      </w:pPr>
    </w:p>
    <w:p w:rsidR="00F53EF9" w:rsidRDefault="00F53EF9" w:rsidP="00CE0260">
      <w:pPr>
        <w:tabs>
          <w:tab w:val="left" w:pos="-720"/>
        </w:tabs>
        <w:suppressAutoHyphens/>
        <w:spacing w:after="0" w:line="360" w:lineRule="auto"/>
        <w:jc w:val="both"/>
        <w:rPr>
          <w:rFonts w:ascii="Arial" w:eastAsia="Times New Roman" w:hAnsi="Arial"/>
          <w:sz w:val="24"/>
          <w:szCs w:val="24"/>
          <w:lang w:val="es-ES_tradnl" w:eastAsia="es-ES"/>
        </w:rPr>
      </w:pPr>
    </w:p>
    <w:p w:rsidR="00F53EF9" w:rsidRPr="00CD61D9" w:rsidRDefault="00F53EF9" w:rsidP="00175C1D">
      <w:pPr>
        <w:keepNext/>
        <w:widowControl w:val="0"/>
        <w:tabs>
          <w:tab w:val="left" w:pos="-720"/>
        </w:tabs>
        <w:suppressAutoHyphens/>
        <w:snapToGrid w:val="0"/>
        <w:spacing w:after="0" w:line="360" w:lineRule="auto"/>
        <w:jc w:val="center"/>
        <w:outlineLvl w:val="4"/>
        <w:rPr>
          <w:rFonts w:ascii="Arial" w:eastAsia="Times New Roman" w:hAnsi="Arial"/>
          <w:b/>
          <w:spacing w:val="-3"/>
          <w:sz w:val="24"/>
          <w:szCs w:val="20"/>
          <w:lang w:val="es-ES_tradnl" w:eastAsia="es-ES"/>
        </w:rPr>
      </w:pPr>
      <w:r>
        <w:rPr>
          <w:rFonts w:ascii="Arial" w:eastAsia="Times New Roman" w:hAnsi="Arial"/>
          <w:b/>
          <w:spacing w:val="-3"/>
          <w:sz w:val="24"/>
          <w:szCs w:val="20"/>
          <w:lang w:val="es-ES_tradnl" w:eastAsia="es-ES"/>
        </w:rPr>
        <w:lastRenderedPageBreak/>
        <w:t>C</w:t>
      </w:r>
      <w:r w:rsidRPr="00CD61D9">
        <w:rPr>
          <w:rFonts w:ascii="Arial" w:eastAsia="Times New Roman" w:hAnsi="Arial"/>
          <w:b/>
          <w:spacing w:val="-3"/>
          <w:sz w:val="24"/>
          <w:szCs w:val="20"/>
          <w:lang w:val="es-ES_tradnl" w:eastAsia="es-ES"/>
        </w:rPr>
        <w:t>ARTA COMPROMISO</w:t>
      </w:r>
    </w:p>
    <w:p w:rsidR="00F53EF9" w:rsidRPr="007B5E48" w:rsidRDefault="00F53EF9" w:rsidP="00175C1D">
      <w:pPr>
        <w:pStyle w:val="Sinespaciado"/>
        <w:spacing w:line="360" w:lineRule="auto"/>
        <w:jc w:val="both"/>
        <w:rPr>
          <w:rFonts w:ascii="Arial" w:eastAsia="Times New Roman" w:hAnsi="Arial"/>
          <w:spacing w:val="-3"/>
          <w:sz w:val="24"/>
          <w:szCs w:val="24"/>
          <w:lang w:val="es-ES_tradnl" w:eastAsia="es-ES"/>
        </w:rPr>
      </w:pPr>
      <w:r w:rsidRPr="007B5E48">
        <w:rPr>
          <w:rFonts w:ascii="Arial" w:eastAsia="Times New Roman" w:hAnsi="Arial"/>
          <w:spacing w:val="-3"/>
          <w:sz w:val="24"/>
          <w:szCs w:val="24"/>
          <w:lang w:val="es-ES_tradnl" w:eastAsia="es-ES"/>
        </w:rPr>
        <w:t>El propósito de esta Carta es confirmar nuestro entendimiento del encargo y la naturaleza de los servicios a prestar a</w:t>
      </w:r>
      <w:r>
        <w:rPr>
          <w:rFonts w:ascii="Arial" w:eastAsia="Times New Roman" w:hAnsi="Arial"/>
          <w:spacing w:val="-3"/>
          <w:sz w:val="24"/>
          <w:szCs w:val="24"/>
          <w:lang w:val="es-ES_tradnl" w:eastAsia="es-ES"/>
        </w:rPr>
        <w:t>l Ministerio de Ganadería Agricultura y Pesca</w:t>
      </w:r>
      <w:r w:rsidRPr="007B5E48">
        <w:rPr>
          <w:rFonts w:ascii="Arial" w:eastAsia="Times New Roman" w:hAnsi="Arial"/>
          <w:spacing w:val="-3"/>
          <w:sz w:val="24"/>
          <w:szCs w:val="24"/>
          <w:lang w:val="es-ES_tradnl" w:eastAsia="es-ES"/>
        </w:rPr>
        <w:t xml:space="preserve">, por la auditoría de los estados financieros del </w:t>
      </w:r>
      <w:r>
        <w:rPr>
          <w:rFonts w:ascii="Arial" w:eastAsia="Times New Roman" w:hAnsi="Arial"/>
          <w:spacing w:val="-3"/>
          <w:sz w:val="24"/>
          <w:szCs w:val="24"/>
          <w:lang w:val="es-ES_tradnl" w:eastAsia="es-ES"/>
        </w:rPr>
        <w:t xml:space="preserve">“Programa de Desarrollo Productivo Rural II” </w:t>
      </w:r>
      <w:r w:rsidRPr="007B5E48">
        <w:rPr>
          <w:rFonts w:ascii="Arial" w:eastAsia="Times New Roman" w:hAnsi="Arial"/>
          <w:spacing w:val="-3"/>
          <w:sz w:val="24"/>
          <w:szCs w:val="24"/>
          <w:lang w:val="es-ES_tradnl" w:eastAsia="es-ES"/>
        </w:rPr>
        <w:t>financiado</w:t>
      </w:r>
      <w:r>
        <w:rPr>
          <w:rFonts w:ascii="Arial" w:eastAsia="Times New Roman" w:hAnsi="Arial"/>
          <w:spacing w:val="-3"/>
          <w:sz w:val="24"/>
          <w:szCs w:val="24"/>
          <w:lang w:val="es-ES_tradnl" w:eastAsia="es-ES"/>
        </w:rPr>
        <w:t xml:space="preserve"> parcialmente con recursos del Contrato de Préstamo BID Nº 4644/OC-UR</w:t>
      </w:r>
      <w:r w:rsidRPr="007B5E48">
        <w:rPr>
          <w:rFonts w:ascii="Arial" w:eastAsia="Times New Roman" w:hAnsi="Arial"/>
          <w:spacing w:val="-3"/>
          <w:sz w:val="24"/>
          <w:szCs w:val="24"/>
          <w:lang w:val="es-ES_tradnl" w:eastAsia="es-ES"/>
        </w:rPr>
        <w:t>, durante el período de su ejecución.</w:t>
      </w:r>
    </w:p>
    <w:p w:rsidR="00F53EF9" w:rsidRPr="00CD61D9" w:rsidRDefault="00F53EF9" w:rsidP="00175C1D">
      <w:pPr>
        <w:tabs>
          <w:tab w:val="left" w:pos="-720"/>
        </w:tabs>
        <w:suppressAutoHyphens/>
        <w:spacing w:after="0" w:line="360" w:lineRule="auto"/>
        <w:jc w:val="both"/>
        <w:rPr>
          <w:rFonts w:ascii="Arial" w:eastAsia="Times New Roman" w:hAnsi="Arial"/>
          <w:spacing w:val="-3"/>
          <w:sz w:val="24"/>
          <w:szCs w:val="24"/>
          <w:lang w:val="es-ES_tradnl" w:eastAsia="es-ES"/>
        </w:rPr>
      </w:pPr>
      <w:r w:rsidRPr="00CD61D9">
        <w:rPr>
          <w:rFonts w:ascii="Arial" w:eastAsia="Times New Roman" w:hAnsi="Arial"/>
          <w:spacing w:val="-3"/>
          <w:sz w:val="24"/>
          <w:szCs w:val="24"/>
          <w:lang w:val="es-ES_tradnl" w:eastAsia="es-ES"/>
        </w:rPr>
        <w:t>La funció</w:t>
      </w:r>
      <w:r>
        <w:rPr>
          <w:rFonts w:ascii="Arial" w:eastAsia="Times New Roman" w:hAnsi="Arial"/>
          <w:spacing w:val="-3"/>
          <w:sz w:val="24"/>
          <w:szCs w:val="24"/>
          <w:lang w:val="es-ES_tradnl" w:eastAsia="es-ES"/>
        </w:rPr>
        <w:t>n del Tribunal de Cuentas como a</w:t>
      </w:r>
      <w:r w:rsidRPr="00CD61D9">
        <w:rPr>
          <w:rFonts w:ascii="Arial" w:eastAsia="Times New Roman" w:hAnsi="Arial"/>
          <w:spacing w:val="-3"/>
          <w:sz w:val="24"/>
          <w:szCs w:val="24"/>
          <w:lang w:val="es-ES_tradnl" w:eastAsia="es-ES"/>
        </w:rPr>
        <w:t>uditor del Programa es la de informar al Organismo Ejecutor la opinión sobre:</w:t>
      </w:r>
    </w:p>
    <w:p w:rsidR="00F53EF9" w:rsidRPr="00CD61D9" w:rsidRDefault="00F53EF9" w:rsidP="00175C1D">
      <w:pPr>
        <w:tabs>
          <w:tab w:val="left" w:pos="-720"/>
        </w:tabs>
        <w:suppressAutoHyphens/>
        <w:spacing w:after="0" w:line="360" w:lineRule="auto"/>
        <w:jc w:val="both"/>
        <w:rPr>
          <w:rFonts w:ascii="Arial" w:eastAsia="Times New Roman" w:hAnsi="Arial"/>
          <w:spacing w:val="-3"/>
          <w:sz w:val="24"/>
          <w:szCs w:val="24"/>
          <w:lang w:val="es-ES_tradnl" w:eastAsia="es-ES"/>
        </w:rPr>
      </w:pPr>
      <w:r w:rsidRPr="00CD61D9">
        <w:rPr>
          <w:rFonts w:ascii="Arial" w:eastAsia="Times New Roman" w:hAnsi="Arial"/>
          <w:b/>
          <w:spacing w:val="-3"/>
          <w:sz w:val="24"/>
          <w:szCs w:val="24"/>
          <w:lang w:val="es-ES_tradnl" w:eastAsia="es-ES"/>
        </w:rPr>
        <w:t>Estado de Flujos de Efectivo</w:t>
      </w:r>
      <w:r w:rsidRPr="00CD61D9">
        <w:rPr>
          <w:rFonts w:ascii="Arial" w:eastAsia="Times New Roman" w:hAnsi="Arial"/>
          <w:spacing w:val="-3"/>
          <w:sz w:val="24"/>
          <w:szCs w:val="24"/>
          <w:lang w:val="es-ES_tradnl" w:eastAsia="es-ES"/>
        </w:rPr>
        <w:t>. En el cual se reconozcan: (i) todos los ingresos de fondos provenientes del BID, contrapartida y otras fuentes de recursos; (ii) las erogaciones de recursos para la ejecución; y (iii) los saldos en efectivo bajo responsabilidad del Organismo Ejecutor.</w:t>
      </w:r>
    </w:p>
    <w:p w:rsidR="00F53EF9" w:rsidRPr="00CD61D9" w:rsidRDefault="00F53EF9" w:rsidP="00175C1D">
      <w:pPr>
        <w:tabs>
          <w:tab w:val="left" w:pos="-720"/>
        </w:tabs>
        <w:suppressAutoHyphens/>
        <w:spacing w:after="0" w:line="360" w:lineRule="auto"/>
        <w:jc w:val="both"/>
        <w:rPr>
          <w:rFonts w:ascii="Arial" w:eastAsia="Times New Roman" w:hAnsi="Arial"/>
          <w:spacing w:val="-3"/>
          <w:sz w:val="24"/>
          <w:szCs w:val="24"/>
          <w:lang w:val="es-ES_tradnl" w:eastAsia="es-ES"/>
        </w:rPr>
      </w:pPr>
      <w:r w:rsidRPr="00AD5C22">
        <w:rPr>
          <w:rFonts w:ascii="Arial" w:eastAsia="Times New Roman" w:hAnsi="Arial"/>
          <w:spacing w:val="-3"/>
          <w:sz w:val="24"/>
          <w:szCs w:val="24"/>
          <w:lang w:val="es-ES_tradnl" w:eastAsia="es-ES"/>
        </w:rPr>
        <w:t>Adicionalmente, si fuera el caso, tales informes deberán reflejar las contribuciones en especie como las horas de trabajo y el uso de instalaciones o bienes del prestatario.</w:t>
      </w:r>
    </w:p>
    <w:p w:rsidR="00F53EF9" w:rsidRPr="00CD61D9" w:rsidRDefault="00F53EF9" w:rsidP="00175C1D">
      <w:pPr>
        <w:tabs>
          <w:tab w:val="left" w:pos="-720"/>
        </w:tabs>
        <w:suppressAutoHyphens/>
        <w:spacing w:after="0" w:line="360" w:lineRule="auto"/>
        <w:jc w:val="both"/>
        <w:rPr>
          <w:rFonts w:ascii="Arial" w:eastAsia="Times New Roman" w:hAnsi="Arial"/>
          <w:spacing w:val="-3"/>
          <w:sz w:val="24"/>
          <w:szCs w:val="24"/>
          <w:lang w:val="es-ES_tradnl" w:eastAsia="es-ES"/>
        </w:rPr>
      </w:pPr>
      <w:r w:rsidRPr="00CD61D9">
        <w:rPr>
          <w:rFonts w:ascii="Arial" w:eastAsia="Times New Roman" w:hAnsi="Arial"/>
          <w:b/>
          <w:spacing w:val="-3"/>
          <w:sz w:val="24"/>
          <w:szCs w:val="24"/>
          <w:lang w:val="es-ES_tradnl" w:eastAsia="es-ES"/>
        </w:rPr>
        <w:t>Estado de Inversiones</w:t>
      </w:r>
      <w:r w:rsidRPr="00CD61D9">
        <w:rPr>
          <w:rFonts w:ascii="Arial" w:eastAsia="Times New Roman" w:hAnsi="Arial"/>
          <w:spacing w:val="-3"/>
          <w:sz w:val="24"/>
          <w:szCs w:val="24"/>
          <w:lang w:val="es-ES_tradnl" w:eastAsia="es-ES"/>
        </w:rPr>
        <w:t xml:space="preserve">. Este estado, preparado con el criterio de lo devengado,  incluirá las cifras al comienzo de cada período reportado y los movimientos ocurridos hasta la determinación final de los saldos de las diferentes categorías y subcategorías de inversión contempladas en el anexo correspondiente del </w:t>
      </w:r>
      <w:r>
        <w:rPr>
          <w:rFonts w:ascii="Arial" w:eastAsia="Times New Roman" w:hAnsi="Arial"/>
          <w:spacing w:val="-3"/>
          <w:sz w:val="24"/>
          <w:szCs w:val="24"/>
          <w:lang w:val="es-ES_tradnl" w:eastAsia="es-ES"/>
        </w:rPr>
        <w:t>Convenio de Cooperación</w:t>
      </w:r>
      <w:r w:rsidRPr="00CD61D9">
        <w:rPr>
          <w:rFonts w:ascii="Arial" w:eastAsia="Times New Roman" w:hAnsi="Arial"/>
          <w:spacing w:val="-3"/>
          <w:sz w:val="24"/>
          <w:szCs w:val="24"/>
          <w:lang w:val="es-ES_tradnl" w:eastAsia="es-ES"/>
        </w:rPr>
        <w:t>. Esta presentación deberá clasificarse en (1) aportes del BID; (2) aportes del prestatario o del ejecutor; y (3) otros aportes.</w:t>
      </w:r>
    </w:p>
    <w:p w:rsidR="00F53EF9" w:rsidRPr="00CD61D9" w:rsidRDefault="00F53EF9" w:rsidP="00175C1D">
      <w:pPr>
        <w:tabs>
          <w:tab w:val="left" w:pos="-720"/>
        </w:tabs>
        <w:suppressAutoHyphens/>
        <w:spacing w:after="0" w:line="360" w:lineRule="auto"/>
        <w:jc w:val="both"/>
        <w:rPr>
          <w:rFonts w:ascii="Arial" w:eastAsia="Times New Roman" w:hAnsi="Arial"/>
          <w:spacing w:val="-3"/>
          <w:sz w:val="24"/>
          <w:szCs w:val="24"/>
          <w:lang w:val="es-ES_tradnl" w:eastAsia="es-ES"/>
        </w:rPr>
      </w:pPr>
      <w:r w:rsidRPr="00CD61D9">
        <w:rPr>
          <w:rFonts w:ascii="Arial" w:eastAsia="Times New Roman" w:hAnsi="Arial"/>
          <w:b/>
          <w:spacing w:val="-3"/>
          <w:sz w:val="24"/>
          <w:szCs w:val="24"/>
          <w:lang w:val="es-ES_tradnl" w:eastAsia="es-ES"/>
        </w:rPr>
        <w:t>Estado de Activos y Pasivos</w:t>
      </w:r>
      <w:r w:rsidRPr="00CD61D9">
        <w:rPr>
          <w:rFonts w:ascii="Arial" w:eastAsia="Times New Roman" w:hAnsi="Arial"/>
          <w:spacing w:val="-3"/>
          <w:sz w:val="24"/>
          <w:szCs w:val="24"/>
          <w:lang w:val="es-ES_tradnl" w:eastAsia="es-ES"/>
        </w:rPr>
        <w:t>. Este estado se presentará de acuerdo con las normas y cri</w:t>
      </w:r>
      <w:r>
        <w:rPr>
          <w:rFonts w:ascii="Arial" w:eastAsia="Times New Roman" w:hAnsi="Arial"/>
          <w:spacing w:val="-3"/>
          <w:sz w:val="24"/>
          <w:szCs w:val="24"/>
          <w:lang w:val="es-ES_tradnl" w:eastAsia="es-ES"/>
        </w:rPr>
        <w:t xml:space="preserve">terios del BID y </w:t>
      </w:r>
      <w:r w:rsidRPr="00CD61D9">
        <w:rPr>
          <w:rFonts w:ascii="Arial" w:eastAsia="Times New Roman" w:hAnsi="Arial"/>
          <w:spacing w:val="-3"/>
          <w:sz w:val="24"/>
          <w:szCs w:val="24"/>
          <w:lang w:val="es-ES_tradnl" w:eastAsia="es-ES"/>
        </w:rPr>
        <w:t>con las Normas Internacionales de Información Financiera (NIIF).</w:t>
      </w:r>
    </w:p>
    <w:p w:rsidR="00F53EF9" w:rsidRDefault="00F53EF9" w:rsidP="00175C1D">
      <w:pPr>
        <w:tabs>
          <w:tab w:val="left" w:pos="-720"/>
        </w:tabs>
        <w:suppressAutoHyphens/>
        <w:spacing w:after="0" w:line="360" w:lineRule="auto"/>
        <w:jc w:val="both"/>
        <w:rPr>
          <w:rFonts w:ascii="Arial" w:eastAsia="Times New Roman" w:hAnsi="Arial"/>
          <w:spacing w:val="-3"/>
          <w:sz w:val="24"/>
          <w:szCs w:val="24"/>
          <w:lang w:val="es-ES_tradnl" w:eastAsia="es-ES"/>
        </w:rPr>
      </w:pPr>
      <w:r w:rsidRPr="00CD61D9">
        <w:rPr>
          <w:rFonts w:ascii="Arial" w:eastAsia="Times New Roman" w:hAnsi="Arial"/>
          <w:b/>
          <w:spacing w:val="-3"/>
          <w:sz w:val="24"/>
          <w:szCs w:val="24"/>
          <w:lang w:val="es-ES_tradnl" w:eastAsia="es-ES"/>
        </w:rPr>
        <w:t>Notas explicativas</w:t>
      </w:r>
      <w:r w:rsidRPr="00CD61D9">
        <w:rPr>
          <w:rFonts w:ascii="Arial" w:eastAsia="Times New Roman" w:hAnsi="Arial"/>
          <w:spacing w:val="-3"/>
          <w:sz w:val="24"/>
          <w:szCs w:val="24"/>
          <w:lang w:val="es-ES_tradnl" w:eastAsia="es-ES"/>
        </w:rPr>
        <w:t xml:space="preserve">. Se presentarán las Notas explicativas que se consideren apropiadas para una adecuada interpretación de los estados financieros. A tales efectos se considerarán los asuntos mencionados en el Anexo 1 de las "Guías de </w:t>
      </w:r>
    </w:p>
    <w:p w:rsidR="00F53EF9" w:rsidRPr="00CD61D9" w:rsidRDefault="00F53EF9" w:rsidP="00175C1D">
      <w:pPr>
        <w:tabs>
          <w:tab w:val="left" w:pos="-720"/>
        </w:tabs>
        <w:suppressAutoHyphens/>
        <w:spacing w:after="0" w:line="360" w:lineRule="auto"/>
        <w:jc w:val="both"/>
        <w:rPr>
          <w:rFonts w:ascii="Arial" w:eastAsia="Times New Roman" w:hAnsi="Arial"/>
          <w:spacing w:val="-3"/>
          <w:sz w:val="24"/>
          <w:szCs w:val="24"/>
          <w:lang w:val="es-ES_tradnl" w:eastAsia="es-ES"/>
        </w:rPr>
      </w:pPr>
      <w:r w:rsidRPr="00CD61D9">
        <w:rPr>
          <w:rFonts w:ascii="Arial" w:eastAsia="Times New Roman" w:hAnsi="Arial"/>
          <w:spacing w:val="-3"/>
          <w:sz w:val="24"/>
          <w:szCs w:val="24"/>
          <w:lang w:val="es-ES_tradnl" w:eastAsia="es-ES"/>
        </w:rPr>
        <w:t>Informes Financieros y Auditoría Externa de las Operaciones Financiadas por el Banco Interamericano de Desarrollo”.</w:t>
      </w:r>
    </w:p>
    <w:p w:rsidR="00F53EF9" w:rsidRPr="00CD61D9" w:rsidRDefault="00F53EF9" w:rsidP="00175C1D">
      <w:pPr>
        <w:tabs>
          <w:tab w:val="left" w:pos="-720"/>
        </w:tabs>
        <w:suppressAutoHyphens/>
        <w:spacing w:after="0" w:line="360" w:lineRule="auto"/>
        <w:jc w:val="both"/>
        <w:rPr>
          <w:rFonts w:ascii="Arial" w:eastAsia="Times New Roman" w:hAnsi="Arial"/>
          <w:spacing w:val="-3"/>
          <w:sz w:val="24"/>
          <w:szCs w:val="24"/>
          <w:lang w:val="es-ES_tradnl" w:eastAsia="es-ES"/>
        </w:rPr>
      </w:pPr>
      <w:r w:rsidRPr="00CD61D9">
        <w:rPr>
          <w:rFonts w:ascii="Arial" w:eastAsia="Times New Roman" w:hAnsi="Arial"/>
          <w:b/>
          <w:bCs/>
          <w:spacing w:val="-3"/>
          <w:sz w:val="24"/>
          <w:szCs w:val="24"/>
          <w:lang w:val="es-ES_tradnl" w:eastAsia="es-ES"/>
        </w:rPr>
        <w:t>Declaración de la Gerencia del Proyecto</w:t>
      </w:r>
      <w:r w:rsidRPr="002414A4">
        <w:rPr>
          <w:rFonts w:ascii="Arial" w:eastAsia="Times New Roman" w:hAnsi="Arial"/>
          <w:bCs/>
          <w:spacing w:val="-3"/>
          <w:sz w:val="24"/>
          <w:szCs w:val="24"/>
          <w:lang w:val="es-ES_tradnl" w:eastAsia="es-ES"/>
        </w:rPr>
        <w:t>,</w:t>
      </w:r>
      <w:r w:rsidRPr="00CD61D9">
        <w:rPr>
          <w:rFonts w:ascii="Arial" w:eastAsia="Times New Roman" w:hAnsi="Arial"/>
          <w:b/>
          <w:bCs/>
          <w:spacing w:val="-3"/>
          <w:sz w:val="24"/>
          <w:szCs w:val="24"/>
          <w:lang w:val="es-ES_tradnl" w:eastAsia="es-ES"/>
        </w:rPr>
        <w:t xml:space="preserve"> </w:t>
      </w:r>
      <w:r w:rsidRPr="00CD61D9">
        <w:rPr>
          <w:rFonts w:ascii="Arial" w:eastAsia="Times New Roman" w:hAnsi="Arial"/>
          <w:spacing w:val="-3"/>
          <w:sz w:val="24"/>
          <w:szCs w:val="24"/>
          <w:lang w:val="es-ES_tradnl" w:eastAsia="es-ES"/>
        </w:rPr>
        <w:t>en la cual revele que los gastos realizados con fondos del BID, se han efectuado conforme a los propós</w:t>
      </w:r>
      <w:r>
        <w:rPr>
          <w:rFonts w:ascii="Arial" w:eastAsia="Times New Roman" w:hAnsi="Arial"/>
          <w:spacing w:val="-3"/>
          <w:sz w:val="24"/>
          <w:szCs w:val="24"/>
          <w:lang w:val="es-ES_tradnl" w:eastAsia="es-ES"/>
        </w:rPr>
        <w:t>itos establecidos</w:t>
      </w:r>
      <w:r w:rsidR="002414A4">
        <w:rPr>
          <w:rFonts w:ascii="Arial" w:eastAsia="Times New Roman" w:hAnsi="Arial"/>
          <w:spacing w:val="-3"/>
          <w:sz w:val="24"/>
          <w:szCs w:val="24"/>
          <w:lang w:val="es-ES_tradnl" w:eastAsia="es-ES"/>
        </w:rPr>
        <w:t xml:space="preserve"> en el Convenio de Cooperación.</w:t>
      </w:r>
    </w:p>
    <w:p w:rsidR="00F53EF9" w:rsidRPr="00CD61D9" w:rsidRDefault="00F53EF9" w:rsidP="00175C1D">
      <w:pPr>
        <w:keepNext/>
        <w:widowControl w:val="0"/>
        <w:tabs>
          <w:tab w:val="left" w:pos="-720"/>
        </w:tabs>
        <w:suppressAutoHyphens/>
        <w:snapToGrid w:val="0"/>
        <w:spacing w:after="0" w:line="360" w:lineRule="auto"/>
        <w:jc w:val="both"/>
        <w:outlineLvl w:val="3"/>
        <w:rPr>
          <w:rFonts w:ascii="Arial" w:eastAsia="Times New Roman" w:hAnsi="Arial"/>
          <w:spacing w:val="-3"/>
          <w:sz w:val="24"/>
          <w:szCs w:val="24"/>
          <w:lang w:val="es-ES_tradnl" w:eastAsia="es-ES"/>
        </w:rPr>
      </w:pPr>
      <w:r w:rsidRPr="00CD61D9">
        <w:rPr>
          <w:rFonts w:ascii="Arial" w:eastAsia="Times New Roman" w:hAnsi="Arial"/>
          <w:b/>
          <w:bCs/>
          <w:spacing w:val="-3"/>
          <w:sz w:val="24"/>
          <w:szCs w:val="20"/>
          <w:lang w:val="es-ES_tradnl" w:eastAsia="es-ES"/>
        </w:rPr>
        <w:t>Estado de Solicitudes de Desembolsos</w:t>
      </w:r>
      <w:r w:rsidRPr="00CD61D9">
        <w:rPr>
          <w:rFonts w:ascii="Arial" w:eastAsia="Times New Roman" w:hAnsi="Arial"/>
          <w:bCs/>
          <w:spacing w:val="-3"/>
          <w:sz w:val="24"/>
          <w:szCs w:val="20"/>
          <w:lang w:val="es-ES_tradnl" w:eastAsia="es-ES"/>
        </w:rPr>
        <w:t xml:space="preserve">. Este estado se presentará de acuerdo con las normas y </w:t>
      </w:r>
      <w:r>
        <w:rPr>
          <w:rFonts w:ascii="Arial" w:eastAsia="Times New Roman" w:hAnsi="Arial"/>
          <w:bCs/>
          <w:spacing w:val="-3"/>
          <w:sz w:val="24"/>
          <w:szCs w:val="20"/>
          <w:lang w:val="es-ES_tradnl" w:eastAsia="es-ES"/>
        </w:rPr>
        <w:t>criterios del BID y</w:t>
      </w:r>
      <w:r w:rsidRPr="00CD61D9">
        <w:rPr>
          <w:rFonts w:ascii="Arial" w:eastAsia="Times New Roman" w:hAnsi="Arial"/>
          <w:bCs/>
          <w:spacing w:val="-3"/>
          <w:sz w:val="24"/>
          <w:szCs w:val="20"/>
          <w:lang w:val="es-ES_tradnl" w:eastAsia="es-ES"/>
        </w:rPr>
        <w:t xml:space="preserve"> con las Normas Internacionales de I</w:t>
      </w:r>
      <w:r w:rsidRPr="00CD61D9">
        <w:rPr>
          <w:rFonts w:ascii="Arial" w:eastAsia="Times New Roman" w:hAnsi="Arial"/>
          <w:spacing w:val="-3"/>
          <w:sz w:val="24"/>
          <w:szCs w:val="20"/>
          <w:lang w:val="es-ES_tradnl" w:eastAsia="es-ES"/>
        </w:rPr>
        <w:t>nformación Financiera (NIIF). Se deberán revelar los anticipos de desembolso del ejercicio reportado y las correspondientes justificaciones de los mismos, discriminando los recursos del BID utilizados y los fondos de contraparte local aportados al Programa</w:t>
      </w:r>
      <w:r w:rsidR="002414A4">
        <w:rPr>
          <w:rFonts w:ascii="Arial" w:eastAsia="Times New Roman" w:hAnsi="Arial"/>
          <w:spacing w:val="-3"/>
          <w:sz w:val="24"/>
          <w:szCs w:val="20"/>
          <w:lang w:val="es-ES_tradnl" w:eastAsia="es-ES"/>
        </w:rPr>
        <w:t>.</w:t>
      </w:r>
    </w:p>
    <w:p w:rsidR="00F53EF9" w:rsidRDefault="00F53EF9" w:rsidP="00175C1D">
      <w:pPr>
        <w:tabs>
          <w:tab w:val="left" w:pos="-720"/>
        </w:tabs>
        <w:suppressAutoHyphens/>
        <w:spacing w:after="0" w:line="360" w:lineRule="auto"/>
        <w:jc w:val="both"/>
        <w:rPr>
          <w:rFonts w:ascii="Arial" w:eastAsia="Times New Roman" w:hAnsi="Arial"/>
          <w:spacing w:val="-3"/>
          <w:sz w:val="24"/>
          <w:szCs w:val="24"/>
          <w:lang w:val="es-ES_tradnl" w:eastAsia="es-ES"/>
        </w:rPr>
      </w:pPr>
      <w:r w:rsidRPr="00CD61D9">
        <w:rPr>
          <w:rFonts w:ascii="Arial" w:eastAsia="Times New Roman" w:hAnsi="Arial"/>
          <w:spacing w:val="-3"/>
          <w:sz w:val="24"/>
          <w:szCs w:val="24"/>
          <w:lang w:val="es-ES_tradnl" w:eastAsia="es-ES"/>
        </w:rPr>
        <w:t>La auditoría se realizará de acuerdo con las Normas Internacionales de Entidades Fiscalizadoras Superiores (ISSAI) y con los requerimientos establecidos en las "Guías de Informes Financieros y Auditoría Externa de las Operaciones Financiadas por el Banco Interamericano de Desarrollo”. Esas normas requieren que se planifique y realice la auditoría para obtener una seguridad razonable acerca de si los estados financieros están libres de errores significativos. Durante la auditoría se examinarán, sobre una base selectiva, la evidencia que respalda los importes y revelaciones en dichos estados y se evaluarán tanto las normas contables utilizadas y las estimaciones significativas efectuadas por la Unidad Ejecutora como la presentación de los estados financieros en su conjunto. Una vez finalizada la auditoría</w:t>
      </w:r>
      <w:r w:rsidRPr="00AF6EF4">
        <w:rPr>
          <w:rFonts w:ascii="Arial" w:eastAsia="Times New Roman" w:hAnsi="Arial"/>
          <w:bCs/>
          <w:spacing w:val="-3"/>
          <w:sz w:val="24"/>
          <w:szCs w:val="24"/>
          <w:lang w:val="es-ES_tradnl" w:eastAsia="es-ES"/>
        </w:rPr>
        <w:t>,</w:t>
      </w:r>
      <w:r w:rsidRPr="00CD61D9">
        <w:rPr>
          <w:rFonts w:ascii="Arial" w:eastAsia="Times New Roman" w:hAnsi="Arial"/>
          <w:b/>
          <w:bCs/>
          <w:spacing w:val="-3"/>
          <w:sz w:val="24"/>
          <w:szCs w:val="24"/>
          <w:lang w:val="es-ES_tradnl" w:eastAsia="es-ES"/>
        </w:rPr>
        <w:t xml:space="preserve"> </w:t>
      </w:r>
      <w:r w:rsidRPr="00CD61D9">
        <w:rPr>
          <w:rFonts w:ascii="Arial" w:eastAsia="Times New Roman" w:hAnsi="Arial"/>
          <w:spacing w:val="-3"/>
          <w:sz w:val="24"/>
          <w:szCs w:val="24"/>
          <w:lang w:val="es-ES_tradnl" w:eastAsia="es-ES"/>
        </w:rPr>
        <w:t>se emitirá un Dictamen sobre la forma y contenido de los estados financieros del Programa.</w:t>
      </w:r>
    </w:p>
    <w:p w:rsidR="00F53EF9" w:rsidRDefault="00F53EF9" w:rsidP="00A22656">
      <w:pPr>
        <w:widowControl w:val="0"/>
        <w:tabs>
          <w:tab w:val="left" w:pos="-720"/>
        </w:tabs>
        <w:suppressAutoHyphens/>
        <w:snapToGrid w:val="0"/>
        <w:spacing w:after="0" w:line="360" w:lineRule="auto"/>
        <w:jc w:val="both"/>
        <w:rPr>
          <w:rFonts w:ascii="Arial" w:eastAsia="Times New Roman" w:hAnsi="Arial" w:cs="Arial"/>
          <w:sz w:val="24"/>
          <w:szCs w:val="20"/>
          <w:lang w:val="es-ES" w:eastAsia="es-ES"/>
        </w:rPr>
      </w:pPr>
      <w:r w:rsidRPr="00CD61D9">
        <w:rPr>
          <w:rFonts w:ascii="Arial" w:eastAsia="Times New Roman" w:hAnsi="Arial" w:cs="Arial"/>
          <w:sz w:val="24"/>
          <w:szCs w:val="20"/>
          <w:lang w:val="es-ES" w:eastAsia="es-ES"/>
        </w:rPr>
        <w:t>Cualquier reserva o salvedad que se tenga sobre la forma o contenido de los estados financieros o sobre el cumplimiento de las normas del BID, será informada con la debida antelación para evitar, en lo posible, cualquier manifestación adversa en nuestras opiniones.</w:t>
      </w:r>
    </w:p>
    <w:p w:rsidR="00F53EF9" w:rsidRDefault="00F53EF9" w:rsidP="00A22656">
      <w:pPr>
        <w:widowControl w:val="0"/>
        <w:tabs>
          <w:tab w:val="left" w:pos="-720"/>
        </w:tabs>
        <w:suppressAutoHyphens/>
        <w:snapToGrid w:val="0"/>
        <w:spacing w:after="0" w:line="360" w:lineRule="auto"/>
        <w:jc w:val="both"/>
        <w:rPr>
          <w:rFonts w:ascii="Arial" w:eastAsia="Times New Roman" w:hAnsi="Arial"/>
          <w:spacing w:val="-3"/>
          <w:sz w:val="24"/>
          <w:szCs w:val="24"/>
          <w:lang w:val="es-ES_tradnl" w:eastAsia="es-ES"/>
        </w:rPr>
      </w:pPr>
      <w:r w:rsidRPr="00CD61D9">
        <w:rPr>
          <w:rFonts w:ascii="Arial" w:eastAsia="Times New Roman" w:hAnsi="Arial"/>
          <w:spacing w:val="-3"/>
          <w:sz w:val="24"/>
          <w:szCs w:val="24"/>
          <w:lang w:val="es-ES_tradnl" w:eastAsia="es-ES"/>
        </w:rPr>
        <w:t>La responsabilidad del Tribunal de Cuentas es expresar una opinión sobre los est</w:t>
      </w:r>
      <w:r>
        <w:rPr>
          <w:rFonts w:ascii="Arial" w:eastAsia="Times New Roman" w:hAnsi="Arial"/>
          <w:spacing w:val="-3"/>
          <w:sz w:val="24"/>
          <w:szCs w:val="24"/>
          <w:lang w:val="es-ES_tradnl" w:eastAsia="es-ES"/>
        </w:rPr>
        <w:t>ados financieros del Programa.</w:t>
      </w:r>
    </w:p>
    <w:p w:rsidR="00F53EF9" w:rsidRPr="00CD61D9" w:rsidRDefault="00F53EF9" w:rsidP="00175C1D">
      <w:pPr>
        <w:tabs>
          <w:tab w:val="left" w:pos="-720"/>
        </w:tabs>
        <w:suppressAutoHyphens/>
        <w:spacing w:after="0" w:line="360" w:lineRule="auto"/>
        <w:jc w:val="both"/>
        <w:rPr>
          <w:rFonts w:ascii="Arial" w:eastAsia="Times New Roman" w:hAnsi="Arial"/>
          <w:spacing w:val="-3"/>
          <w:sz w:val="24"/>
          <w:szCs w:val="24"/>
          <w:lang w:val="es-ES_tradnl" w:eastAsia="es-ES"/>
        </w:rPr>
      </w:pPr>
      <w:r w:rsidRPr="00CD61D9">
        <w:rPr>
          <w:rFonts w:ascii="Arial" w:eastAsia="Times New Roman" w:hAnsi="Arial"/>
          <w:spacing w:val="-3"/>
          <w:sz w:val="24"/>
          <w:szCs w:val="24"/>
          <w:lang w:val="es-ES_tradnl" w:eastAsia="es-ES"/>
        </w:rPr>
        <w:t>El Prestatario, a través del Organismo Ejecutor, es  responsable de la selección de políticas contables adecuadas y de la implementación de una adecuada estructura de control interno para mantener la confiabilidad de los estados financieros y proveer una razonable seguridad sobre la posibilidad de que no se cometan errores e irregularidades significativos. Como consecuencia de las limitaciones de las pruebas de auditoría y aquellas limitaciones inherentes a todo sistema de contabilidad y de control interno, la auditoría no puede proveer seguridad absoluta de que no haya desviaciones provenientes de  irregularidades o errores en los estados financieros.</w:t>
      </w:r>
    </w:p>
    <w:p w:rsidR="00F53EF9" w:rsidRPr="00CD61D9" w:rsidRDefault="00F53EF9" w:rsidP="00175C1D">
      <w:pPr>
        <w:tabs>
          <w:tab w:val="left" w:pos="-720"/>
        </w:tabs>
        <w:suppressAutoHyphens/>
        <w:spacing w:after="0" w:line="360" w:lineRule="auto"/>
        <w:jc w:val="both"/>
        <w:rPr>
          <w:rFonts w:ascii="Arial" w:eastAsia="Times New Roman" w:hAnsi="Arial"/>
          <w:spacing w:val="-3"/>
          <w:sz w:val="24"/>
          <w:szCs w:val="24"/>
          <w:lang w:val="es-ES_tradnl" w:eastAsia="es-ES"/>
        </w:rPr>
      </w:pPr>
      <w:r w:rsidRPr="00CD61D9">
        <w:rPr>
          <w:rFonts w:ascii="Arial" w:eastAsia="Times New Roman" w:hAnsi="Arial"/>
          <w:spacing w:val="-3"/>
          <w:sz w:val="24"/>
          <w:szCs w:val="24"/>
          <w:lang w:val="es-ES_tradnl" w:eastAsia="es-ES"/>
        </w:rPr>
        <w:t>Durante la planeación y ejecución de la auditoría, se considerarán aspectos del control interno del Proyecto a efectos de determinar los procedimientos de auditoría que sean apropiados para expresar una opinión sobre los estados financieros y no para emitir una opinión sobre la eficacia</w:t>
      </w:r>
      <w:r w:rsidR="002414A4">
        <w:rPr>
          <w:rFonts w:ascii="Arial" w:eastAsia="Times New Roman" w:hAnsi="Arial"/>
          <w:spacing w:val="-3"/>
          <w:sz w:val="24"/>
          <w:szCs w:val="24"/>
          <w:lang w:val="es-ES_tradnl" w:eastAsia="es-ES"/>
        </w:rPr>
        <w:t xml:space="preserve"> del mismo.</w:t>
      </w:r>
    </w:p>
    <w:p w:rsidR="00F53EF9" w:rsidRPr="00CD61D9" w:rsidRDefault="00F53EF9" w:rsidP="00175C1D">
      <w:pPr>
        <w:tabs>
          <w:tab w:val="left" w:pos="-720"/>
        </w:tabs>
        <w:suppressAutoHyphens/>
        <w:spacing w:after="0" w:line="360" w:lineRule="auto"/>
        <w:jc w:val="both"/>
        <w:rPr>
          <w:rFonts w:ascii="Arial" w:eastAsia="Times New Roman" w:hAnsi="Arial"/>
          <w:spacing w:val="-3"/>
          <w:sz w:val="24"/>
          <w:szCs w:val="24"/>
          <w:lang w:val="es-ES_tradnl" w:eastAsia="es-ES"/>
        </w:rPr>
      </w:pPr>
      <w:r w:rsidRPr="000331D6">
        <w:rPr>
          <w:rFonts w:ascii="Arial" w:eastAsia="Times New Roman" w:hAnsi="Arial"/>
          <w:spacing w:val="-3"/>
          <w:sz w:val="24"/>
          <w:szCs w:val="24"/>
          <w:lang w:val="es-ES_tradnl" w:eastAsia="es-ES"/>
        </w:rPr>
        <w:t xml:space="preserve">Entendemos que todos los registros, documentación e información necesaria para realizar la auditoría serán </w:t>
      </w:r>
      <w:r>
        <w:rPr>
          <w:rFonts w:ascii="Arial" w:eastAsia="Times New Roman" w:hAnsi="Arial"/>
          <w:spacing w:val="-3"/>
          <w:sz w:val="24"/>
          <w:szCs w:val="24"/>
          <w:lang w:val="es-ES_tradnl" w:eastAsia="es-ES"/>
        </w:rPr>
        <w:t xml:space="preserve">puestos a nuestra disposición. </w:t>
      </w:r>
      <w:r w:rsidRPr="000331D6">
        <w:rPr>
          <w:rFonts w:ascii="Arial" w:eastAsia="Times New Roman" w:hAnsi="Arial"/>
          <w:spacing w:val="-3"/>
          <w:sz w:val="24"/>
          <w:szCs w:val="24"/>
          <w:lang w:val="es-ES_tradnl" w:eastAsia="es-ES"/>
        </w:rPr>
        <w:t xml:space="preserve">En aquellos casos en que la Unidad Ejecutora del Programa no disponga de documentación original se arbitrarán los mecanismos para permitir al Tribunal de Cuentas acceder a dicha documentación. En particular, durante la ejecución del Programa, se nos entregarán los </w:t>
      </w:r>
      <w:r>
        <w:rPr>
          <w:rFonts w:ascii="Arial" w:eastAsia="Times New Roman" w:hAnsi="Arial"/>
          <w:spacing w:val="-3"/>
          <w:sz w:val="24"/>
          <w:szCs w:val="24"/>
          <w:lang w:val="es-ES_tradnl" w:eastAsia="es-ES"/>
        </w:rPr>
        <w:t>estados financieros y su documentación de respaldo dentro de los dos meses posteriores</w:t>
      </w:r>
      <w:r w:rsidRPr="000331D6">
        <w:rPr>
          <w:rFonts w:ascii="Arial" w:eastAsia="Times New Roman" w:hAnsi="Arial"/>
          <w:spacing w:val="-3"/>
          <w:sz w:val="24"/>
          <w:szCs w:val="24"/>
          <w:lang w:val="es-ES_tradnl" w:eastAsia="es-ES"/>
        </w:rPr>
        <w:t xml:space="preserve"> a la fecha de cierre de ejercicio, a </w:t>
      </w:r>
      <w:r>
        <w:rPr>
          <w:rFonts w:ascii="Arial" w:eastAsia="Times New Roman" w:hAnsi="Arial"/>
          <w:spacing w:val="-3"/>
          <w:sz w:val="24"/>
          <w:szCs w:val="24"/>
          <w:lang w:val="es-ES_tradnl" w:eastAsia="es-ES"/>
        </w:rPr>
        <w:t xml:space="preserve">excepción del ejercicio correspondiente a la finalización del Programa, en el que deberán entregarse dentro de los dos meses posteriores a la fecha </w:t>
      </w:r>
      <w:r w:rsidRPr="000331D6">
        <w:rPr>
          <w:rFonts w:ascii="Arial" w:eastAsia="Times New Roman" w:hAnsi="Arial"/>
          <w:spacing w:val="-3"/>
          <w:sz w:val="24"/>
          <w:szCs w:val="24"/>
          <w:lang w:val="es-ES_tradnl" w:eastAsia="es-ES"/>
        </w:rPr>
        <w:t>del último desembolso. Asimismo se facilitarán todos los recursos materiales necesarios para el desarrollo de la auditoría, inc</w:t>
      </w:r>
      <w:r>
        <w:rPr>
          <w:rFonts w:ascii="Arial" w:eastAsia="Times New Roman" w:hAnsi="Arial"/>
          <w:spacing w:val="-3"/>
          <w:sz w:val="24"/>
          <w:szCs w:val="24"/>
          <w:lang w:val="es-ES_tradnl" w:eastAsia="es-ES"/>
        </w:rPr>
        <w:t xml:space="preserve">luyendo  </w:t>
      </w:r>
      <w:r w:rsidRPr="000331D6">
        <w:rPr>
          <w:rFonts w:ascii="Arial" w:eastAsia="Times New Roman" w:hAnsi="Arial"/>
          <w:spacing w:val="-3"/>
          <w:sz w:val="24"/>
          <w:szCs w:val="24"/>
          <w:lang w:val="es-ES_tradnl" w:eastAsia="es-ES"/>
        </w:rPr>
        <w:t>áreas reservadas de trabajo para nuestros funcionarios.</w:t>
      </w:r>
    </w:p>
    <w:p w:rsidR="00F53EF9" w:rsidRPr="00EA47F1" w:rsidRDefault="00F53EF9" w:rsidP="00175C1D">
      <w:pPr>
        <w:widowControl w:val="0"/>
        <w:tabs>
          <w:tab w:val="left" w:pos="-720"/>
        </w:tabs>
        <w:suppressAutoHyphens/>
        <w:snapToGrid w:val="0"/>
        <w:spacing w:after="0" w:line="360" w:lineRule="auto"/>
        <w:jc w:val="both"/>
        <w:rPr>
          <w:rFonts w:ascii="Arial" w:eastAsia="Times New Roman" w:hAnsi="Arial" w:cs="Arial"/>
          <w:spacing w:val="-3"/>
          <w:sz w:val="24"/>
          <w:szCs w:val="20"/>
          <w:lang w:val="es-ES_tradnl" w:eastAsia="es-ES"/>
        </w:rPr>
      </w:pPr>
      <w:r w:rsidRPr="00CD61D9">
        <w:rPr>
          <w:rFonts w:ascii="Arial" w:eastAsia="Times New Roman" w:hAnsi="Arial"/>
          <w:spacing w:val="-3"/>
          <w:sz w:val="24"/>
          <w:szCs w:val="20"/>
          <w:lang w:val="es-ES_tradnl" w:eastAsia="es-ES"/>
        </w:rPr>
        <w:t>Como parte del proceso de auditoría es nuestro p</w:t>
      </w:r>
      <w:r>
        <w:rPr>
          <w:rFonts w:ascii="Arial" w:eastAsia="Times New Roman" w:hAnsi="Arial"/>
          <w:spacing w:val="-3"/>
          <w:sz w:val="24"/>
          <w:szCs w:val="20"/>
          <w:lang w:val="es-ES_tradnl" w:eastAsia="es-ES"/>
        </w:rPr>
        <w:t>ropósito requerir al Organismo e</w:t>
      </w:r>
      <w:r w:rsidRPr="00CD61D9">
        <w:rPr>
          <w:rFonts w:ascii="Arial" w:eastAsia="Times New Roman" w:hAnsi="Arial"/>
          <w:spacing w:val="-3"/>
          <w:sz w:val="24"/>
          <w:szCs w:val="20"/>
          <w:lang w:val="es-ES_tradnl" w:eastAsia="es-ES"/>
        </w:rPr>
        <w:t xml:space="preserve">jecutor, declaraciones sobre la integridad de los registros y la información puesta a nuestra disposición para los fines de control. Esta declaración escrita, dirigida a nosotros, cubrirá áreas específicas, como ser: la titularidad de los bienes, la integridad de los pasivos y toda aquella información </w:t>
      </w:r>
      <w:r w:rsidRPr="00EA47F1">
        <w:rPr>
          <w:rFonts w:ascii="Arial" w:eastAsia="Times New Roman" w:hAnsi="Arial"/>
          <w:spacing w:val="-3"/>
          <w:sz w:val="24"/>
          <w:szCs w:val="20"/>
          <w:lang w:val="es-ES_tradnl" w:eastAsia="es-ES"/>
        </w:rPr>
        <w:t>conocida que tenga o pudiera tener algún efecto significativo sobre la información</w:t>
      </w:r>
      <w:r w:rsidRPr="00CD61D9">
        <w:rPr>
          <w:rFonts w:ascii="Arial" w:eastAsia="Times New Roman" w:hAnsi="Arial"/>
          <w:spacing w:val="-3"/>
          <w:sz w:val="24"/>
          <w:szCs w:val="20"/>
          <w:lang w:val="es-ES_tradnl" w:eastAsia="es-ES"/>
        </w:rPr>
        <w:t xml:space="preserve"> presentada </w:t>
      </w:r>
      <w:r w:rsidRPr="00EA47F1">
        <w:rPr>
          <w:rFonts w:ascii="Arial" w:eastAsia="Times New Roman" w:hAnsi="Arial"/>
          <w:spacing w:val="-3"/>
          <w:sz w:val="24"/>
          <w:szCs w:val="20"/>
          <w:lang w:val="es-ES_tradnl" w:eastAsia="es-ES"/>
        </w:rPr>
        <w:t>en los estados financieros examinados. También es nuestro propósito solicitar, a los asesores jurídicos del Organismo, su directa información escrita sobre asuntos relevantes que sean de su conocimiento y tengan relación a los estados financieros examinados.</w:t>
      </w:r>
      <w:r>
        <w:rPr>
          <w:rFonts w:ascii="Arial" w:eastAsia="Times New Roman" w:hAnsi="Arial"/>
          <w:spacing w:val="-3"/>
          <w:sz w:val="24"/>
          <w:szCs w:val="20"/>
          <w:lang w:val="es-ES_tradnl" w:eastAsia="es-ES"/>
        </w:rPr>
        <w:t xml:space="preserve"> También es nuestro propósito solicitar, a los asesores jurídicos del Organismo, su directa información escrita sobre asuntos relevantes que sean de su conocimiento y tengan relación con los estados financieros examinados.</w:t>
      </w:r>
    </w:p>
    <w:p w:rsidR="00F53EF9" w:rsidRPr="004929B2" w:rsidRDefault="00F53EF9" w:rsidP="00175C1D">
      <w:pPr>
        <w:tabs>
          <w:tab w:val="left" w:pos="-720"/>
        </w:tabs>
        <w:suppressAutoHyphens/>
        <w:spacing w:after="0" w:line="360" w:lineRule="auto"/>
        <w:jc w:val="both"/>
      </w:pPr>
      <w:r w:rsidRPr="00CD61D9">
        <w:rPr>
          <w:rFonts w:ascii="Arial" w:eastAsia="Times New Roman" w:hAnsi="Arial" w:cs="Arial"/>
          <w:sz w:val="24"/>
          <w:szCs w:val="24"/>
          <w:lang w:val="es-ES" w:eastAsia="es-ES"/>
        </w:rPr>
        <w:t xml:space="preserve">El costo por los servicios de auditoría asciende a de U.I. </w:t>
      </w:r>
      <w:r>
        <w:rPr>
          <w:rFonts w:ascii="Arial" w:eastAsia="Times New Roman" w:hAnsi="Arial" w:cs="Arial"/>
          <w:sz w:val="24"/>
          <w:szCs w:val="24"/>
          <w:lang w:val="es-ES" w:eastAsia="es-ES"/>
        </w:rPr>
        <w:t>81.000 (ochenta y un mil unidades indexadas)</w:t>
      </w:r>
      <w:r w:rsidRPr="00CD61D9">
        <w:rPr>
          <w:rFonts w:ascii="Arial" w:eastAsia="Times New Roman" w:hAnsi="Arial" w:cs="Arial"/>
          <w:sz w:val="24"/>
          <w:szCs w:val="24"/>
          <w:lang w:val="es-ES" w:eastAsia="es-ES"/>
        </w:rPr>
        <w:t>,</w:t>
      </w:r>
      <w:r w:rsidRPr="00CD61D9">
        <w:rPr>
          <w:rFonts w:ascii="Arial" w:eastAsia="Times New Roman" w:hAnsi="Arial" w:cs="Arial"/>
          <w:sz w:val="24"/>
          <w:szCs w:val="24"/>
          <w:lang w:val="es-ES_tradnl" w:eastAsia="es-ES"/>
        </w:rPr>
        <w:t xml:space="preserve"> </w:t>
      </w:r>
      <w:r>
        <w:rPr>
          <w:rFonts w:ascii="Arial" w:eastAsia="Times New Roman" w:hAnsi="Arial" w:cs="Arial"/>
          <w:sz w:val="24"/>
          <w:szCs w:val="24"/>
          <w:lang w:val="es-ES" w:eastAsia="es-ES"/>
        </w:rPr>
        <w:t xml:space="preserve">correspondiente a un estimado 274 de horas de trabajo, </w:t>
      </w:r>
      <w:r w:rsidRPr="00CD61D9">
        <w:rPr>
          <w:rFonts w:ascii="Arial" w:eastAsia="Times New Roman" w:hAnsi="Arial" w:cs="Arial"/>
          <w:sz w:val="24"/>
          <w:szCs w:val="24"/>
          <w:lang w:val="es-ES" w:eastAsia="es-ES"/>
        </w:rPr>
        <w:t>que será f</w:t>
      </w:r>
      <w:r>
        <w:rPr>
          <w:rFonts w:ascii="Arial" w:eastAsia="Times New Roman" w:hAnsi="Arial" w:cs="Arial"/>
          <w:sz w:val="24"/>
          <w:szCs w:val="24"/>
          <w:lang w:val="es-ES" w:eastAsia="es-ES"/>
        </w:rPr>
        <w:t>acturado una vez presentado el informe</w:t>
      </w:r>
      <w:r w:rsidRPr="00CD61D9">
        <w:rPr>
          <w:rFonts w:ascii="Arial" w:eastAsia="Times New Roman" w:hAnsi="Arial" w:cs="Arial"/>
          <w:sz w:val="24"/>
          <w:szCs w:val="24"/>
          <w:lang w:val="es-ES" w:eastAsia="es-ES"/>
        </w:rPr>
        <w:t>.</w:t>
      </w:r>
      <w:r>
        <w:rPr>
          <w:rFonts w:ascii="Arial" w:eastAsia="Times New Roman" w:hAnsi="Arial" w:cs="Arial"/>
          <w:sz w:val="24"/>
          <w:szCs w:val="24"/>
          <w:lang w:val="es-ES" w:eastAsia="es-ES"/>
        </w:rPr>
        <w:t xml:space="preserve"> </w:t>
      </w:r>
      <w:r w:rsidRPr="00CD61D9">
        <w:rPr>
          <w:rFonts w:ascii="Arial" w:eastAsia="Times New Roman" w:hAnsi="Arial" w:cs="Arial"/>
          <w:sz w:val="24"/>
          <w:szCs w:val="24"/>
          <w:lang w:val="es-ES" w:eastAsia="es-ES"/>
        </w:rPr>
        <w:t>Dicho importe no incluye eventuales gastos de viaje y estadía incurridos por nuestros funcionarios fuera del Departamento de Montevideo, los que serán abonados por el Organismo Ejecutor.</w:t>
      </w:r>
    </w:p>
    <w:p w:rsidR="00F53EF9" w:rsidRDefault="00F53EF9" w:rsidP="00175C1D">
      <w:pPr>
        <w:tabs>
          <w:tab w:val="left" w:pos="-720"/>
        </w:tabs>
        <w:suppressAutoHyphens/>
        <w:spacing w:after="0" w:line="360" w:lineRule="auto"/>
        <w:jc w:val="both"/>
        <w:rPr>
          <w:rFonts w:ascii="Arial" w:eastAsia="Times New Roman" w:hAnsi="Arial"/>
          <w:spacing w:val="-3"/>
          <w:sz w:val="24"/>
          <w:szCs w:val="24"/>
          <w:lang w:val="es-ES_tradnl" w:eastAsia="es-ES"/>
        </w:rPr>
      </w:pPr>
      <w:r w:rsidRPr="00CD61D9">
        <w:rPr>
          <w:rFonts w:ascii="Arial" w:eastAsia="Times New Roman" w:hAnsi="Arial"/>
          <w:spacing w:val="-3"/>
          <w:sz w:val="24"/>
          <w:szCs w:val="24"/>
          <w:lang w:val="es-ES_tradnl" w:eastAsia="es-ES"/>
        </w:rPr>
        <w:t xml:space="preserve">Agradecemos se nos confirme la aceptación de nuestra propuesta, firmando </w:t>
      </w:r>
      <w:r w:rsidR="002414A4">
        <w:rPr>
          <w:rFonts w:ascii="Arial" w:eastAsia="Times New Roman" w:hAnsi="Arial"/>
          <w:spacing w:val="-3"/>
          <w:sz w:val="24"/>
          <w:szCs w:val="24"/>
          <w:lang w:val="es-ES_tradnl" w:eastAsia="es-ES"/>
        </w:rPr>
        <w:t>y devolviendo la copia adjunta.</w:t>
      </w:r>
    </w:p>
    <w:p w:rsidR="002414A4" w:rsidRDefault="002414A4" w:rsidP="00175C1D">
      <w:pPr>
        <w:tabs>
          <w:tab w:val="left" w:pos="-720"/>
        </w:tabs>
        <w:suppressAutoHyphens/>
        <w:spacing w:after="0" w:line="360" w:lineRule="auto"/>
        <w:jc w:val="both"/>
        <w:rPr>
          <w:rFonts w:ascii="Arial" w:eastAsia="Times New Roman" w:hAnsi="Arial"/>
          <w:spacing w:val="-3"/>
          <w:sz w:val="24"/>
          <w:szCs w:val="24"/>
          <w:lang w:val="es-ES_tradnl" w:eastAsia="es-ES"/>
        </w:rPr>
      </w:pPr>
    </w:p>
    <w:p w:rsidR="00F53EF9" w:rsidRDefault="00F53EF9" w:rsidP="00175C1D">
      <w:pPr>
        <w:tabs>
          <w:tab w:val="left" w:pos="-720"/>
        </w:tabs>
        <w:suppressAutoHyphens/>
        <w:spacing w:after="0" w:line="360" w:lineRule="auto"/>
        <w:jc w:val="both"/>
        <w:rPr>
          <w:rFonts w:ascii="Arial" w:eastAsia="Times New Roman" w:hAnsi="Arial"/>
          <w:spacing w:val="-3"/>
          <w:sz w:val="24"/>
          <w:szCs w:val="24"/>
          <w:lang w:val="es-ES_tradnl" w:eastAsia="es-ES"/>
        </w:rPr>
      </w:pPr>
    </w:p>
    <w:p w:rsidR="00F53EF9" w:rsidRPr="00F53EF9" w:rsidRDefault="00F53EF9" w:rsidP="00CE0260">
      <w:pPr>
        <w:tabs>
          <w:tab w:val="left" w:pos="-720"/>
        </w:tabs>
        <w:suppressAutoHyphens/>
        <w:spacing w:after="0" w:line="360" w:lineRule="auto"/>
        <w:jc w:val="both"/>
        <w:rPr>
          <w:rFonts w:ascii="Times New Roman" w:eastAsia="Times New Roman" w:hAnsi="Times New Roman"/>
          <w:sz w:val="24"/>
          <w:szCs w:val="24"/>
          <w:lang w:val="es-ES_tradnl" w:eastAsia="es-ES"/>
        </w:rPr>
      </w:pPr>
      <w:proofErr w:type="gramStart"/>
      <w:r>
        <w:rPr>
          <w:rFonts w:ascii="Arial" w:eastAsia="Times New Roman" w:hAnsi="Arial"/>
          <w:spacing w:val="-3"/>
          <w:sz w:val="24"/>
          <w:szCs w:val="24"/>
          <w:lang w:val="es-ES_tradnl" w:eastAsia="es-ES"/>
        </w:rPr>
        <w:t>lm</w:t>
      </w:r>
      <w:proofErr w:type="gramEnd"/>
    </w:p>
    <w:sectPr w:rsidR="00F53EF9" w:rsidRPr="00F53EF9" w:rsidSect="00CE0260">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F50AC9"/>
    <w:multiLevelType w:val="hybridMultilevel"/>
    <w:tmpl w:val="E4B6C93E"/>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2F6"/>
    <w:rsid w:val="002414A4"/>
    <w:rsid w:val="004314E9"/>
    <w:rsid w:val="008B62B3"/>
    <w:rsid w:val="00AF6EF4"/>
    <w:rsid w:val="00B622F6"/>
    <w:rsid w:val="00CE0260"/>
    <w:rsid w:val="00F53E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2F6"/>
    <w:rPr>
      <w:rFonts w:ascii="Calibri" w:eastAsia="Calibri" w:hAnsi="Calibri" w:cs="Times New Roman"/>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53EF9"/>
    <w:pPr>
      <w:spacing w:after="0" w:line="240" w:lineRule="auto"/>
    </w:pPr>
    <w:rPr>
      <w:rFonts w:ascii="Calibri" w:eastAsia="Calibri" w:hAnsi="Calibri" w:cs="Times New Roman"/>
      <w:lang w:val="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2F6"/>
    <w:rPr>
      <w:rFonts w:ascii="Calibri" w:eastAsia="Calibri" w:hAnsi="Calibri" w:cs="Times New Roman"/>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53EF9"/>
    <w:pPr>
      <w:spacing w:after="0" w:line="240" w:lineRule="auto"/>
    </w:pPr>
    <w:rPr>
      <w:rFonts w:ascii="Calibri" w:eastAsia="Calibri" w:hAnsi="Calibri" w:cs="Times New Roman"/>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1274</Words>
  <Characters>7009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5</cp:revision>
  <cp:lastPrinted>2019-07-19T14:05:00Z</cp:lastPrinted>
  <dcterms:created xsi:type="dcterms:W3CDTF">2019-07-19T13:56:00Z</dcterms:created>
  <dcterms:modified xsi:type="dcterms:W3CDTF">2019-08-02T14:52:00Z</dcterms:modified>
</cp:coreProperties>
</file>