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A9A" w:rsidRPr="007A7443" w:rsidRDefault="00C30A9A" w:rsidP="00C30A9A">
      <w:pPr>
        <w:tabs>
          <w:tab w:val="center" w:pos="4253"/>
        </w:tabs>
        <w:suppressAutoHyphens/>
        <w:spacing w:line="480" w:lineRule="auto"/>
        <w:jc w:val="right"/>
        <w:rPr>
          <w:rFonts w:cs="Arial"/>
          <w:b/>
          <w:sz w:val="28"/>
          <w:szCs w:val="28"/>
        </w:rPr>
      </w:pPr>
      <w:r w:rsidRPr="007A7443">
        <w:rPr>
          <w:rFonts w:cs="Arial"/>
          <w:b/>
          <w:sz w:val="28"/>
          <w:szCs w:val="28"/>
        </w:rPr>
        <w:t xml:space="preserve">RES. </w:t>
      </w:r>
      <w:r w:rsidR="006A2279">
        <w:rPr>
          <w:rFonts w:cs="Arial"/>
          <w:b/>
          <w:sz w:val="28"/>
          <w:szCs w:val="28"/>
        </w:rPr>
        <w:t>1645</w:t>
      </w:r>
      <w:r w:rsidRPr="007A7443">
        <w:rPr>
          <w:rFonts w:cs="Arial"/>
          <w:b/>
          <w:sz w:val="28"/>
          <w:szCs w:val="28"/>
        </w:rPr>
        <w:t>/19</w:t>
      </w:r>
    </w:p>
    <w:p w:rsidR="00C30A9A" w:rsidRPr="000F48AC" w:rsidRDefault="00C30A9A" w:rsidP="00C30A9A">
      <w:pPr>
        <w:tabs>
          <w:tab w:val="center" w:pos="4253"/>
        </w:tabs>
        <w:suppressAutoHyphens/>
        <w:spacing w:line="480" w:lineRule="auto"/>
        <w:jc w:val="center"/>
        <w:rPr>
          <w:rFonts w:cs="Arial"/>
          <w:b/>
          <w:lang w:val="es-ES_tradnl"/>
        </w:rPr>
      </w:pPr>
      <w:r w:rsidRPr="000F48AC">
        <w:rPr>
          <w:rFonts w:cs="Arial"/>
          <w:b/>
          <w:lang w:val="es-ES_tradnl"/>
        </w:rPr>
        <w:t>RESOLUCION ADOPTADA POR EL</w:t>
      </w:r>
    </w:p>
    <w:p w:rsidR="00C30A9A" w:rsidRPr="000F48AC" w:rsidRDefault="00C30A9A" w:rsidP="00C30A9A">
      <w:pPr>
        <w:tabs>
          <w:tab w:val="center" w:pos="4253"/>
        </w:tabs>
        <w:suppressAutoHyphens/>
        <w:spacing w:line="480" w:lineRule="auto"/>
        <w:jc w:val="center"/>
        <w:rPr>
          <w:rFonts w:cs="Arial"/>
          <w:b/>
          <w:lang w:val="es-ES_tradnl"/>
        </w:rPr>
      </w:pPr>
      <w:r w:rsidRPr="000F48AC">
        <w:rPr>
          <w:rFonts w:cs="Arial"/>
          <w:b/>
          <w:lang w:val="es-ES_tradnl"/>
        </w:rPr>
        <w:t>TRIBUNAL DE CUENTAS</w:t>
      </w:r>
    </w:p>
    <w:p w:rsidR="00C30A9A" w:rsidRPr="000F48AC" w:rsidRDefault="00C30A9A" w:rsidP="00C30A9A">
      <w:pPr>
        <w:tabs>
          <w:tab w:val="center" w:pos="4253"/>
        </w:tabs>
        <w:suppressAutoHyphens/>
        <w:spacing w:line="480" w:lineRule="auto"/>
        <w:jc w:val="center"/>
        <w:rPr>
          <w:rFonts w:cs="Arial"/>
          <w:b/>
          <w:lang w:val="es-ES_tradnl"/>
        </w:rPr>
      </w:pPr>
      <w:r w:rsidRPr="000F48AC">
        <w:rPr>
          <w:rFonts w:cs="Arial"/>
          <w:b/>
          <w:lang w:val="es-ES_tradnl"/>
        </w:rPr>
        <w:t xml:space="preserve">EN SESION DE FECHA </w:t>
      </w:r>
      <w:r>
        <w:rPr>
          <w:rFonts w:cs="Arial"/>
          <w:b/>
          <w:lang w:val="es-ES_tradnl"/>
        </w:rPr>
        <w:t>10 DE JULIO DE 2019</w:t>
      </w:r>
    </w:p>
    <w:p w:rsidR="00C30A9A" w:rsidRDefault="00C30A9A" w:rsidP="00C30A9A">
      <w:pPr>
        <w:tabs>
          <w:tab w:val="center" w:pos="4253"/>
        </w:tabs>
        <w:suppressAutoHyphens/>
        <w:spacing w:line="360" w:lineRule="auto"/>
        <w:jc w:val="center"/>
        <w:rPr>
          <w:rFonts w:cs="Arial"/>
          <w:b/>
        </w:rPr>
      </w:pPr>
      <w:r w:rsidRPr="00BB4DEC">
        <w:rPr>
          <w:rFonts w:cs="Arial"/>
          <w:b/>
        </w:rPr>
        <w:t>(E.</w:t>
      </w:r>
      <w:r>
        <w:rPr>
          <w:rFonts w:cs="Arial"/>
          <w:b/>
        </w:rPr>
        <w:t xml:space="preserve"> E. Nº 201</w:t>
      </w:r>
      <w:r w:rsidR="006A2279">
        <w:rPr>
          <w:rFonts w:cs="Arial"/>
          <w:b/>
        </w:rPr>
        <w:t>9</w:t>
      </w:r>
      <w:r>
        <w:rPr>
          <w:rFonts w:cs="Arial"/>
          <w:b/>
        </w:rPr>
        <w:t>-17-1-000</w:t>
      </w:r>
      <w:r w:rsidR="006A2279">
        <w:rPr>
          <w:rFonts w:cs="Arial"/>
          <w:b/>
        </w:rPr>
        <w:t>2879</w:t>
      </w:r>
      <w:r>
        <w:rPr>
          <w:rFonts w:cs="Arial"/>
          <w:b/>
        </w:rPr>
        <w:t xml:space="preserve">, </w:t>
      </w:r>
      <w:proofErr w:type="spellStart"/>
      <w:r>
        <w:rPr>
          <w:rFonts w:cs="Arial"/>
          <w:b/>
        </w:rPr>
        <w:t>Ent</w:t>
      </w:r>
      <w:proofErr w:type="spellEnd"/>
      <w:r>
        <w:rPr>
          <w:rFonts w:cs="Arial"/>
          <w:b/>
        </w:rPr>
        <w:t xml:space="preserve">. N° </w:t>
      </w:r>
      <w:r w:rsidR="006A2279">
        <w:rPr>
          <w:rFonts w:cs="Arial"/>
          <w:b/>
        </w:rPr>
        <w:t>2254</w:t>
      </w:r>
      <w:r>
        <w:rPr>
          <w:rFonts w:cs="Arial"/>
          <w:b/>
        </w:rPr>
        <w:t>/19</w:t>
      </w:r>
      <w:r w:rsidRPr="00BB4DEC">
        <w:rPr>
          <w:rFonts w:cs="Arial"/>
          <w:b/>
        </w:rPr>
        <w:t>)</w:t>
      </w:r>
    </w:p>
    <w:p w:rsidR="00C30A9A" w:rsidRPr="00BB4DEC" w:rsidRDefault="00C30A9A" w:rsidP="00C30A9A">
      <w:pPr>
        <w:tabs>
          <w:tab w:val="center" w:pos="4253"/>
        </w:tabs>
        <w:suppressAutoHyphens/>
        <w:spacing w:line="360" w:lineRule="auto"/>
        <w:jc w:val="center"/>
        <w:rPr>
          <w:rFonts w:cs="Arial"/>
          <w:b/>
        </w:rPr>
      </w:pPr>
    </w:p>
    <w:p w:rsidR="002967EE" w:rsidRDefault="00F72B73" w:rsidP="006A2279">
      <w:pPr>
        <w:pStyle w:val="Sangradetextonormal"/>
        <w:ind w:firstLine="851"/>
      </w:pPr>
      <w:r>
        <w:rPr>
          <w:b/>
        </w:rPr>
        <w:t xml:space="preserve">VISTO: </w:t>
      </w:r>
      <w:r w:rsidR="002967EE">
        <w:t>l</w:t>
      </w:r>
      <w:r>
        <w:t xml:space="preserve">as actuaciones remitidas por el Ministerio de Transporte y </w:t>
      </w:r>
      <w:r w:rsidR="00691EBD">
        <w:t>Obras Públicas (MTOP), relacionadas con el pago de honorarios</w:t>
      </w:r>
      <w:r w:rsidR="00F47BF4">
        <w:t xml:space="preserve"> de los Árbitros, Secretario y gastos administrativos del Centro de Conciliación y Arbitraje</w:t>
      </w:r>
      <w:r w:rsidR="002967EE">
        <w:t>,</w:t>
      </w:r>
      <w:r w:rsidR="00D76B85">
        <w:t xml:space="preserve"> en referencia al procedimiento de arbitraje que se tramita en dicho Centro</w:t>
      </w:r>
      <w:r w:rsidR="002967EE">
        <w:t>,</w:t>
      </w:r>
      <w:r w:rsidR="00D76B85">
        <w:t xml:space="preserve"> entre Constructora Santa María y </w:t>
      </w:r>
      <w:r w:rsidR="002967EE">
        <w:t>la Secretaría de Estado actuante;</w:t>
      </w:r>
    </w:p>
    <w:p w:rsidR="00251B1B" w:rsidRDefault="00F72B73" w:rsidP="006A2279">
      <w:pPr>
        <w:pStyle w:val="Sangradetextonormal"/>
        <w:ind w:firstLine="851"/>
      </w:pPr>
      <w:r>
        <w:rPr>
          <w:b/>
        </w:rPr>
        <w:t>RESULTANDO:</w:t>
      </w:r>
      <w:r w:rsidR="008701D4">
        <w:rPr>
          <w:b/>
        </w:rPr>
        <w:t xml:space="preserve"> </w:t>
      </w:r>
      <w:r w:rsidR="00C64848">
        <w:rPr>
          <w:b/>
        </w:rPr>
        <w:t xml:space="preserve">1) </w:t>
      </w:r>
      <w:r w:rsidR="00C64848">
        <w:t>que</w:t>
      </w:r>
      <w:r w:rsidR="00251B1B">
        <w:t xml:space="preserve"> según resolución del Poder Ejecutivo de fecha 08/10/2007,</w:t>
      </w:r>
      <w:r w:rsidR="00C64848">
        <w:t xml:space="preserve"> la empresa Constructora Santa María S.A. (C.S.M.)</w:t>
      </w:r>
      <w:r w:rsidR="001A33FC">
        <w:t xml:space="preserve"> </w:t>
      </w:r>
      <w:r w:rsidR="00251B1B">
        <w:t xml:space="preserve">resultó </w:t>
      </w:r>
      <w:r w:rsidR="001A33FC">
        <w:t>adjudicataria de las licitaciones N°</w:t>
      </w:r>
      <w:r w:rsidR="002967EE">
        <w:t xml:space="preserve"> </w:t>
      </w:r>
      <w:r w:rsidR="001A33FC">
        <w:t>1/2007 (“Reacondicionamiento y reparación de estructuras en el puerto de Punta del Este: Obra 1 Muelle oficial, muelle de transición, marinas 1 y 2, y muros de rivera a bajo nivel”) y N°</w:t>
      </w:r>
      <w:r w:rsidR="002967EE">
        <w:t xml:space="preserve"> </w:t>
      </w:r>
      <w:r w:rsidR="001A33FC">
        <w:t>2/2007 (“Reacondicionamiento y reparación de estructuras en el puerto de Punta del Este: Obra 2: Escollera y Muelle interior”)</w:t>
      </w:r>
      <w:r w:rsidR="00251B1B">
        <w:t xml:space="preserve"> convocadas por el M.T.O.P. a través de la Dirección Nacional de Hidrografía (D.N.H.)</w:t>
      </w:r>
      <w:r w:rsidR="002967EE">
        <w:t>;</w:t>
      </w:r>
      <w:r w:rsidR="00C64848">
        <w:t xml:space="preserve"> </w:t>
      </w:r>
    </w:p>
    <w:p w:rsidR="006A2279" w:rsidRDefault="006A2279" w:rsidP="006A2279">
      <w:pPr>
        <w:pStyle w:val="Sangradetextonormal"/>
        <w:ind w:firstLine="2694"/>
      </w:pPr>
      <w:r>
        <w:rPr>
          <w:b/>
        </w:rPr>
        <w:t xml:space="preserve"> </w:t>
      </w:r>
      <w:r w:rsidR="002E0503" w:rsidRPr="002E0503">
        <w:rPr>
          <w:b/>
        </w:rPr>
        <w:t>2)</w:t>
      </w:r>
      <w:r w:rsidR="002E0503">
        <w:t xml:space="preserve"> que luego de</w:t>
      </w:r>
      <w:r w:rsidR="00251B1B">
        <w:t xml:space="preserve"> la rescisión de</w:t>
      </w:r>
      <w:r w:rsidR="002E0503">
        <w:t xml:space="preserve">l contrato </w:t>
      </w:r>
      <w:r w:rsidR="002C0CBA">
        <w:t>entre C.S.M. y el MTOP</w:t>
      </w:r>
      <w:r w:rsidR="002967EE">
        <w:t xml:space="preserve"> operada con</w:t>
      </w:r>
      <w:r w:rsidR="002E0503">
        <w:t xml:space="preserve"> fecha 26/08/2010, </w:t>
      </w:r>
      <w:r w:rsidR="002967EE">
        <w:t>la primera</w:t>
      </w:r>
      <w:r w:rsidR="00C64848">
        <w:t xml:space="preserve"> </w:t>
      </w:r>
      <w:r w:rsidR="002C0CBA">
        <w:t xml:space="preserve">manifestó discrepancias </w:t>
      </w:r>
      <w:r w:rsidR="00C64848">
        <w:t xml:space="preserve">con los certificados emitidos por la </w:t>
      </w:r>
      <w:r w:rsidR="00412723">
        <w:t>D</w:t>
      </w:r>
      <w:r w:rsidR="002967EE">
        <w:t>irección Nacional de Hidrografía</w:t>
      </w:r>
      <w:r w:rsidR="00412723">
        <w:t xml:space="preserve"> </w:t>
      </w:r>
      <w:r w:rsidR="00C64848">
        <w:t>en los meses de noviembre y diciembre del 2010</w:t>
      </w:r>
      <w:r w:rsidR="002C0CBA">
        <w:t xml:space="preserve">, </w:t>
      </w:r>
      <w:r w:rsidR="00412723">
        <w:t xml:space="preserve">requiriendo </w:t>
      </w:r>
      <w:r w:rsidR="002C0CBA">
        <w:t>la intervención de un conciliador y</w:t>
      </w:r>
      <w:r w:rsidR="002967EE">
        <w:t>,</w:t>
      </w:r>
      <w:r w:rsidR="002C0CBA">
        <w:t xml:space="preserve"> posteriormente, </w:t>
      </w:r>
      <w:r w:rsidR="00412723">
        <w:t xml:space="preserve">solicitando </w:t>
      </w:r>
      <w:r w:rsidR="002C0CBA">
        <w:t>el inicio de un procedimiento arbitral</w:t>
      </w:r>
      <w:r w:rsidR="00C64848">
        <w:t>;</w:t>
      </w:r>
    </w:p>
    <w:p w:rsidR="006A62FF" w:rsidRDefault="006A2279" w:rsidP="006A62FF">
      <w:pPr>
        <w:pStyle w:val="Sangradetextonormal"/>
        <w:ind w:firstLine="2694"/>
      </w:pPr>
      <w:r>
        <w:t xml:space="preserve"> </w:t>
      </w:r>
      <w:r w:rsidR="00592E06" w:rsidRPr="00592E06">
        <w:rPr>
          <w:b/>
        </w:rPr>
        <w:t>3)</w:t>
      </w:r>
      <w:r w:rsidR="00592E06">
        <w:t xml:space="preserve"> que por documento privado de fecha 28/08/2012 C.S.M. cedió al Nuevo Banco Comercial S.A., hoy Scotiabank Uruguay S.A.</w:t>
      </w:r>
      <w:r w:rsidR="00412723">
        <w:t xml:space="preserve"> </w:t>
      </w:r>
      <w:r w:rsidR="00412723">
        <w:lastRenderedPageBreak/>
        <w:t>(Scotiabank),</w:t>
      </w:r>
      <w:r w:rsidR="00592E06">
        <w:t xml:space="preserve"> </w:t>
      </w:r>
      <w:r w:rsidR="00412723">
        <w:t xml:space="preserve">parte de </w:t>
      </w:r>
      <w:r w:rsidR="00592E06">
        <w:t xml:space="preserve">los créditos de los que era titular contra </w:t>
      </w:r>
      <w:r w:rsidR="002967EE">
        <w:t>e</w:t>
      </w:r>
      <w:r w:rsidR="00592E06">
        <w:t>l</w:t>
      </w:r>
      <w:r w:rsidR="002967EE">
        <w:t xml:space="preserve"> </w:t>
      </w:r>
      <w:r w:rsidR="00592E06">
        <w:t xml:space="preserve">MTOP hasta un monto de US$ 3.000.000, habiendo </w:t>
      </w:r>
      <w:r w:rsidR="002967EE">
        <w:t xml:space="preserve">éste </w:t>
      </w:r>
      <w:r w:rsidR="00592E06">
        <w:t>aceptado expr</w:t>
      </w:r>
      <w:r w:rsidR="00412723">
        <w:t>esamente la cesión</w:t>
      </w:r>
      <w:r w:rsidR="002967EE">
        <w:t>;</w:t>
      </w:r>
    </w:p>
    <w:p w:rsidR="006A62FF" w:rsidRDefault="006A62FF" w:rsidP="006A62FF">
      <w:pPr>
        <w:pStyle w:val="Sangradetextonormal"/>
        <w:ind w:firstLine="2694"/>
      </w:pPr>
      <w:r>
        <w:t xml:space="preserve"> </w:t>
      </w:r>
      <w:r w:rsidR="00A26B0A">
        <w:rPr>
          <w:b/>
        </w:rPr>
        <w:t>4</w:t>
      </w:r>
      <w:r w:rsidR="00A26B0A" w:rsidRPr="003E4DE6">
        <w:rPr>
          <w:b/>
        </w:rPr>
        <w:t>)</w:t>
      </w:r>
      <w:r w:rsidR="00A26B0A">
        <w:t xml:space="preserve"> que por Sentencia N°</w:t>
      </w:r>
      <w:r w:rsidR="002967EE">
        <w:t xml:space="preserve"> </w:t>
      </w:r>
      <w:r w:rsidR="00A26B0A">
        <w:t xml:space="preserve">946/2017 del Juzgado Letrado de Primera Instancia en lo Civil de 2° Turno, se designó </w:t>
      </w:r>
      <w:r w:rsidR="00412723">
        <w:t>como</w:t>
      </w:r>
      <w:r w:rsidR="00A26B0A">
        <w:t xml:space="preserve"> árbitros </w:t>
      </w:r>
      <w:r w:rsidR="00412723">
        <w:t xml:space="preserve">para el proceso al </w:t>
      </w:r>
      <w:r w:rsidR="00A26B0A">
        <w:t>Dr. Leonardo Costa por parte del MTOP, el Dr. Augusto Durán Martínez por parte de C.S.M. y al Dr. Alejandro Santi como tercer árbitro y presidente del tribunal arbitral;</w:t>
      </w:r>
    </w:p>
    <w:p w:rsidR="006A62FF" w:rsidRDefault="006A62FF" w:rsidP="006A62FF">
      <w:pPr>
        <w:pStyle w:val="Sangradetextonormal"/>
        <w:ind w:firstLine="2694"/>
      </w:pPr>
      <w:r>
        <w:t xml:space="preserve"> </w:t>
      </w:r>
      <w:r w:rsidR="00A26B0A">
        <w:rPr>
          <w:b/>
        </w:rPr>
        <w:t>5</w:t>
      </w:r>
      <w:r w:rsidR="000E5F50" w:rsidRPr="00A26B0A">
        <w:rPr>
          <w:b/>
        </w:rPr>
        <w:t>)</w:t>
      </w:r>
      <w:r w:rsidR="000E5F50">
        <w:t xml:space="preserve">  que</w:t>
      </w:r>
      <w:r w:rsidR="002967EE">
        <w:t xml:space="preserve"> con fecha</w:t>
      </w:r>
      <w:r w:rsidR="00412723">
        <w:t xml:space="preserve"> 24/09/2018 se dio inicio al proceso arbitral</w:t>
      </w:r>
      <w:r w:rsidR="00412723" w:rsidRPr="00412723">
        <w:t xml:space="preserve"> </w:t>
      </w:r>
      <w:r w:rsidR="00412723">
        <w:t>entre Scotiabank</w:t>
      </w:r>
      <w:r w:rsidR="002967EE">
        <w:t xml:space="preserve"> (cesionario)</w:t>
      </w:r>
      <w:r w:rsidR="00412723">
        <w:t xml:space="preserve"> y el M</w:t>
      </w:r>
      <w:r w:rsidR="002967EE">
        <w:t>inisterio (cedido)</w:t>
      </w:r>
      <w:r w:rsidR="00412723">
        <w:t xml:space="preserve"> y </w:t>
      </w:r>
      <w:r w:rsidR="000E5F50">
        <w:t xml:space="preserve">con fecha 12/12/2018 el Centro de Conciliación y Arbitraje homologó el acuerdo arribado entre </w:t>
      </w:r>
      <w:r w:rsidR="00412723">
        <w:t>estas partes,</w:t>
      </w:r>
      <w:r w:rsidR="00A26B0A">
        <w:t xml:space="preserve"> por el cual el MTOP </w:t>
      </w:r>
      <w:r w:rsidR="00A26B0A" w:rsidRPr="00A26B0A">
        <w:t>se obligó a abonar la suma de</w:t>
      </w:r>
      <w:r w:rsidR="005577EA">
        <w:t xml:space="preserve">              </w:t>
      </w:r>
      <w:bookmarkStart w:id="0" w:name="_GoBack"/>
      <w:bookmarkEnd w:id="0"/>
      <w:r w:rsidR="00A26B0A" w:rsidRPr="00A26B0A">
        <w:t>$</w:t>
      </w:r>
      <w:r w:rsidR="002967EE">
        <w:t xml:space="preserve"> </w:t>
      </w:r>
      <w:r w:rsidR="00A26B0A" w:rsidRPr="00A26B0A">
        <w:t>22.846.058 y ambas acordaron sufragar cada una el 50% de los honorarios del tribunal más I.V.A., así como los gastos administrativos del Centro de Conciliación y Arbitraje –Corte de Arbitraje Internacional pa</w:t>
      </w:r>
      <w:r w:rsidR="00412723">
        <w:t>r</w:t>
      </w:r>
      <w:r w:rsidR="00A26B0A" w:rsidRPr="00A26B0A">
        <w:t>a el Mercosur– Bolsa de Comercio;</w:t>
      </w:r>
    </w:p>
    <w:p w:rsidR="006A62FF" w:rsidRDefault="006A62FF" w:rsidP="006A62FF">
      <w:pPr>
        <w:pStyle w:val="Sangradetextonormal"/>
        <w:ind w:firstLine="2694"/>
      </w:pPr>
      <w:r>
        <w:t xml:space="preserve"> </w:t>
      </w:r>
      <w:r w:rsidR="00412723">
        <w:rPr>
          <w:b/>
        </w:rPr>
        <w:t>6</w:t>
      </w:r>
      <w:r w:rsidR="00A26B0A" w:rsidRPr="00251B1B">
        <w:rPr>
          <w:b/>
        </w:rPr>
        <w:t>)</w:t>
      </w:r>
      <w:r w:rsidR="00A26B0A">
        <w:t xml:space="preserve"> que este Tribunal, por Resolución N° 426/19 del 13/02/2019, resolvió cometer al Contador Auditor destacado ante el M.T.O.P., la intervenc</w:t>
      </w:r>
      <w:r w:rsidR="00412723">
        <w:t>ión del gasto por un total de $</w:t>
      </w:r>
      <w:r w:rsidR="002967EE">
        <w:t xml:space="preserve"> </w:t>
      </w:r>
      <w:r w:rsidR="00A26B0A">
        <w:t xml:space="preserve">22.846.058 derivado de la transacción </w:t>
      </w:r>
      <w:r w:rsidR="00412723">
        <w:t>referida en el numeral anterior</w:t>
      </w:r>
      <w:r w:rsidR="00A26B0A">
        <w:t>;</w:t>
      </w:r>
    </w:p>
    <w:p w:rsidR="006A62FF" w:rsidRDefault="006A62FF" w:rsidP="006A62FF">
      <w:pPr>
        <w:pStyle w:val="Sangradetextonormal"/>
        <w:ind w:firstLine="2694"/>
      </w:pPr>
      <w:r>
        <w:t xml:space="preserve"> </w:t>
      </w:r>
      <w:r w:rsidR="00412723">
        <w:rPr>
          <w:b/>
        </w:rPr>
        <w:t>7</w:t>
      </w:r>
      <w:r w:rsidR="00A26B0A" w:rsidRPr="00251B1B">
        <w:rPr>
          <w:b/>
        </w:rPr>
        <w:t>)</w:t>
      </w:r>
      <w:r w:rsidR="00A26B0A">
        <w:t xml:space="preserve"> que por Resolución N° 754/19 del 22/03/2019, este Tribunal cometió al Contador Auditor destacado ante el M.T.O.P., la intervención del gasto por un total de U</w:t>
      </w:r>
      <w:r w:rsidR="002967EE">
        <w:t>$</w:t>
      </w:r>
      <w:r w:rsidR="00A26B0A">
        <w:t>S 10.862,80</w:t>
      </w:r>
      <w:r w:rsidR="002967EE">
        <w:t>,</w:t>
      </w:r>
      <w:r w:rsidR="00A26B0A">
        <w:t xml:space="preserve"> derivado de los gastos arbitrales </w:t>
      </w:r>
      <w:r w:rsidR="00412723">
        <w:t xml:space="preserve">(honorarios de los árbitros, el secretario y gastos administrativos del centro) </w:t>
      </w:r>
      <w:r w:rsidR="002967EE">
        <w:t>derivados del</w:t>
      </w:r>
      <w:r w:rsidR="00412723">
        <w:t xml:space="preserve"> </w:t>
      </w:r>
      <w:r w:rsidR="00A26B0A">
        <w:t>acuerdo transaccional</w:t>
      </w:r>
      <w:r w:rsidR="002967EE">
        <w:t xml:space="preserve"> citado</w:t>
      </w:r>
      <w:r w:rsidR="00A26B0A">
        <w:t>;</w:t>
      </w:r>
    </w:p>
    <w:p w:rsidR="006A62FF" w:rsidRDefault="006A62FF" w:rsidP="006A62FF">
      <w:pPr>
        <w:pStyle w:val="Sangradetextonormal"/>
        <w:ind w:firstLine="2694"/>
      </w:pPr>
      <w:r>
        <w:t xml:space="preserve"> </w:t>
      </w:r>
      <w:r w:rsidR="00412723">
        <w:rPr>
          <w:b/>
        </w:rPr>
        <w:t>8</w:t>
      </w:r>
      <w:r w:rsidR="001A33FC" w:rsidRPr="003E4DE6">
        <w:rPr>
          <w:b/>
        </w:rPr>
        <w:t>)</w:t>
      </w:r>
      <w:r w:rsidR="001A33FC">
        <w:t xml:space="preserve"> que</w:t>
      </w:r>
      <w:r w:rsidR="00412723">
        <w:t xml:space="preserve"> por otra parte, por acta del 25 de abril de 2019</w:t>
      </w:r>
      <w:r w:rsidR="002967EE">
        <w:t>,</w:t>
      </w:r>
      <w:r w:rsidR="00412723">
        <w:t xml:space="preserve"> s</w:t>
      </w:r>
      <w:r w:rsidR="001A33FC">
        <w:t>e dio inicio al proceso arbitral</w:t>
      </w:r>
      <w:r w:rsidR="004268F9">
        <w:t xml:space="preserve"> </w:t>
      </w:r>
      <w:r w:rsidR="00A26B0A">
        <w:t xml:space="preserve">entre C.S.M. y el MTOP, </w:t>
      </w:r>
      <w:r w:rsidR="001A33FC">
        <w:t xml:space="preserve">y se fijó como </w:t>
      </w:r>
      <w:r w:rsidR="00A26B0A">
        <w:t>m</w:t>
      </w:r>
      <w:r w:rsidR="001A33FC">
        <w:t xml:space="preserve">onto provisional del asunto la suma de </w:t>
      </w:r>
      <w:r w:rsidR="002967EE">
        <w:t>U</w:t>
      </w:r>
      <w:r w:rsidR="001A33FC">
        <w:t>$</w:t>
      </w:r>
      <w:r w:rsidR="002967EE">
        <w:t xml:space="preserve">S </w:t>
      </w:r>
      <w:r w:rsidR="003E4DE6">
        <w:t>5.546.441</w:t>
      </w:r>
      <w:r w:rsidR="002E0503">
        <w:t xml:space="preserve">, </w:t>
      </w:r>
      <w:r w:rsidR="004268F9">
        <w:t>estableciéndose</w:t>
      </w:r>
      <w:r w:rsidR="002E0503">
        <w:t xml:space="preserve"> que el cálculo provisional de honorarios y gastos administrativos del arbitraje sería comunicado a las </w:t>
      </w:r>
      <w:r w:rsidR="00261732">
        <w:t xml:space="preserve">partes en un plazo de 15 días; </w:t>
      </w:r>
    </w:p>
    <w:p w:rsidR="006A62FF" w:rsidRDefault="006A62FF" w:rsidP="006A62FF">
      <w:pPr>
        <w:pStyle w:val="Sangradetextonormal"/>
        <w:ind w:firstLine="2694"/>
      </w:pPr>
      <w:r>
        <w:lastRenderedPageBreak/>
        <w:t xml:space="preserve"> </w:t>
      </w:r>
      <w:r w:rsidR="00412723">
        <w:rPr>
          <w:b/>
        </w:rPr>
        <w:t>9</w:t>
      </w:r>
      <w:r w:rsidR="00261732" w:rsidRPr="00261732">
        <w:rPr>
          <w:b/>
        </w:rPr>
        <w:t>)</w:t>
      </w:r>
      <w:r w:rsidR="00A26B0A">
        <w:t xml:space="preserve"> que en tal sentido,</w:t>
      </w:r>
      <w:r w:rsidR="00261732">
        <w:t xml:space="preserve"> </w:t>
      </w:r>
      <w:r w:rsidR="002E0503">
        <w:t>por nota de</w:t>
      </w:r>
      <w:r w:rsidR="00261732">
        <w:t xml:space="preserve"> fecha</w:t>
      </w:r>
      <w:r w:rsidR="002E0503">
        <w:t xml:space="preserve"> 17/05/2019</w:t>
      </w:r>
      <w:r w:rsidR="00261732">
        <w:t xml:space="preserve"> suscripta por el Secretario General del Centro de Conciliación y Arbitraje y dirigida al M.T.O.P., se informó que los honorarios de los Árbitros, Secretario y los gastos administrativos del Centro</w:t>
      </w:r>
      <w:r w:rsidR="002967EE">
        <w:t>,</w:t>
      </w:r>
      <w:r w:rsidR="00261732">
        <w:t xml:space="preserve"> se fijaron en forma provisional</w:t>
      </w:r>
      <w:r w:rsidR="002967EE">
        <w:t xml:space="preserve"> </w:t>
      </w:r>
      <w:r w:rsidR="00261732">
        <w:t>en la suma de U$</w:t>
      </w:r>
      <w:r w:rsidR="002967EE">
        <w:t>S</w:t>
      </w:r>
      <w:r w:rsidR="00261732">
        <w:t xml:space="preserve"> 73.669;</w:t>
      </w:r>
    </w:p>
    <w:p w:rsidR="00792B1E" w:rsidRDefault="006A62FF" w:rsidP="006A62FF">
      <w:pPr>
        <w:pStyle w:val="Sangradetextonormal"/>
        <w:ind w:firstLine="2694"/>
      </w:pPr>
      <w:r>
        <w:t xml:space="preserve"> </w:t>
      </w:r>
      <w:r w:rsidR="00412723">
        <w:rPr>
          <w:b/>
        </w:rPr>
        <w:t>10</w:t>
      </w:r>
      <w:r w:rsidR="0041724C" w:rsidRPr="00792B1E">
        <w:rPr>
          <w:b/>
        </w:rPr>
        <w:t>)</w:t>
      </w:r>
      <w:r w:rsidR="0041724C">
        <w:t xml:space="preserve"> que</w:t>
      </w:r>
      <w:r w:rsidR="00A26B0A">
        <w:t xml:space="preserve"> en esta oportunidad, se remite </w:t>
      </w:r>
      <w:r w:rsidR="00792B1E">
        <w:t>Resolución de la D</w:t>
      </w:r>
      <w:r w:rsidR="004268F9">
        <w:t>irección Nacional de Hidrografía de fecha</w:t>
      </w:r>
      <w:r w:rsidR="00792B1E">
        <w:t xml:space="preserve"> 11/06/2019</w:t>
      </w:r>
      <w:r w:rsidR="002E0503">
        <w:t>, por la que</w:t>
      </w:r>
      <w:r w:rsidR="00792B1E">
        <w:t xml:space="preserve"> se autorizó el pago de US$ 73.669 para atender los honorarios</w:t>
      </w:r>
      <w:r w:rsidR="004268F9">
        <w:t xml:space="preserve"> y gastos en cuestión, </w:t>
      </w:r>
      <w:r w:rsidR="00792B1E">
        <w:t>en aplicación de lo dispuesto en el arancel de arbitraje del Centro de Conciliación y Arbitraje de la Bolsa de Comercio, ad referéndum de la intervención de este Tribunal, dejando constancia de que la erogación resultante se atenderá con cargo al Proyecto 757 Puertos, Crédito Ejercicio 2019</w:t>
      </w:r>
      <w:r w:rsidR="00AA6C08">
        <w:t>;</w:t>
      </w:r>
    </w:p>
    <w:p w:rsidR="009314AA" w:rsidRDefault="00251B1B" w:rsidP="006A62FF">
      <w:pPr>
        <w:pStyle w:val="Sangradetextonormal"/>
        <w:ind w:firstLine="851"/>
      </w:pPr>
      <w:r>
        <w:rPr>
          <w:b/>
        </w:rPr>
        <w:t>CONSIDERANDO:</w:t>
      </w:r>
      <w:r w:rsidR="00261732">
        <w:rPr>
          <w:b/>
        </w:rPr>
        <w:t xml:space="preserve"> </w:t>
      </w:r>
      <w:r w:rsidR="00DF49FD">
        <w:rPr>
          <w:b/>
        </w:rPr>
        <w:t xml:space="preserve">1) </w:t>
      </w:r>
      <w:r w:rsidR="00DF49FD">
        <w:t>que este Tribunal, por Resolución de fecha 18 de junio de 2008 en la redacción dada</w:t>
      </w:r>
      <w:r w:rsidR="009314AA">
        <w:t xml:space="preserve"> </w:t>
      </w:r>
      <w:r w:rsidR="00DF49FD">
        <w:t>por la Resolución de 23 de diciembre de 2009, dispuso que se deben remitir al</w:t>
      </w:r>
      <w:r w:rsidR="009314AA">
        <w:t xml:space="preserve"> </w:t>
      </w:r>
      <w:r w:rsidR="00DF49FD">
        <w:t>mismo</w:t>
      </w:r>
      <w:r w:rsidR="009314AA">
        <w:t xml:space="preserve"> para su intervención, todos los gastos emergentes de transacciones extrajudiciales y </w:t>
      </w:r>
      <w:proofErr w:type="gramStart"/>
      <w:r w:rsidR="004631B3">
        <w:t>laudos arbitrales cualquiera</w:t>
      </w:r>
      <w:proofErr w:type="gramEnd"/>
      <w:r w:rsidR="009314AA">
        <w:t xml:space="preserve"> sea su monto;</w:t>
      </w:r>
      <w:r w:rsidR="00DF49FD">
        <w:t xml:space="preserve"> </w:t>
      </w:r>
    </w:p>
    <w:p w:rsidR="00F57948" w:rsidRPr="00261732" w:rsidRDefault="009314AA" w:rsidP="006A62FF">
      <w:pPr>
        <w:pStyle w:val="Sangradetextonormal"/>
        <w:ind w:firstLine="2977"/>
      </w:pPr>
      <w:r w:rsidRPr="009314AA">
        <w:rPr>
          <w:b/>
        </w:rPr>
        <w:t>2)</w:t>
      </w:r>
      <w:r>
        <w:t xml:space="preserve"> que </w:t>
      </w:r>
      <w:r w:rsidR="000C1EF9">
        <w:t xml:space="preserve">el gasto remitido en la oportunidad corresponde </w:t>
      </w:r>
      <w:r w:rsidR="004268F9">
        <w:t xml:space="preserve"> al pago de honorarios y gastos resultantes de la defensa de los derechos del Est</w:t>
      </w:r>
      <w:r w:rsidR="000C1EF9">
        <w:t xml:space="preserve">ado (MTOP), que </w:t>
      </w:r>
      <w:r w:rsidR="004631B3">
        <w:t>se ajusta</w:t>
      </w:r>
      <w:r w:rsidR="000C1EF9">
        <w:t xml:space="preserve"> a</w:t>
      </w:r>
      <w:r w:rsidR="004268F9">
        <w:t xml:space="preserve"> las condiciones previamente pactadas entre las partes</w:t>
      </w:r>
      <w:r w:rsidR="000C1EF9">
        <w:t xml:space="preserve"> en el marco del proceso arbitral</w:t>
      </w:r>
      <w:r w:rsidR="004268F9">
        <w:t xml:space="preserve"> y a los aranceles vigentes;</w:t>
      </w:r>
    </w:p>
    <w:p w:rsidR="00261732" w:rsidRPr="00261732" w:rsidRDefault="00F72B73" w:rsidP="006A62FF">
      <w:pPr>
        <w:pStyle w:val="Sangradetextonormal"/>
        <w:ind w:firstLine="851"/>
      </w:pPr>
      <w:r>
        <w:rPr>
          <w:b/>
        </w:rPr>
        <w:t>ATENTO:</w:t>
      </w:r>
      <w:r w:rsidR="00261732">
        <w:rPr>
          <w:b/>
        </w:rPr>
        <w:t xml:space="preserve"> </w:t>
      </w:r>
      <w:r w:rsidR="00261732">
        <w:t xml:space="preserve">a lo precedentemente expuesto, y a </w:t>
      </w:r>
      <w:r w:rsidR="000C1EF9">
        <w:t xml:space="preserve">lo dispuesto por el artículo </w:t>
      </w:r>
      <w:r w:rsidR="00261732">
        <w:t>211 literal B) de la Constitución de la República;</w:t>
      </w:r>
    </w:p>
    <w:p w:rsidR="006A62FF" w:rsidRDefault="00F72B73" w:rsidP="006A62FF">
      <w:pPr>
        <w:pStyle w:val="Sangradetextonormal"/>
        <w:ind w:firstLine="0"/>
        <w:jc w:val="center"/>
        <w:rPr>
          <w:b/>
        </w:rPr>
      </w:pPr>
      <w:r>
        <w:rPr>
          <w:b/>
        </w:rPr>
        <w:t>EL TRIBUNAL ACUERDA</w:t>
      </w:r>
    </w:p>
    <w:p w:rsidR="006A62FF" w:rsidRDefault="006A62FF" w:rsidP="006A62FF">
      <w:pPr>
        <w:pStyle w:val="Sangradetextonormal"/>
        <w:ind w:firstLine="0"/>
      </w:pPr>
      <w:r w:rsidRPr="006A62FF">
        <w:rPr>
          <w:b/>
        </w:rPr>
        <w:t>1)</w:t>
      </w:r>
      <w:r>
        <w:t xml:space="preserve"> </w:t>
      </w:r>
      <w:r w:rsidR="00261732">
        <w:t>Cometer al Contador Auditor destacado ante el Ministerio de Transporte y Obras Públicas, la interv</w:t>
      </w:r>
      <w:r w:rsidR="009314AA">
        <w:t>ención</w:t>
      </w:r>
      <w:r w:rsidR="00261732">
        <w:t xml:space="preserve"> </w:t>
      </w:r>
      <w:r w:rsidR="009314AA">
        <w:t xml:space="preserve">de la suma </w:t>
      </w:r>
      <w:r w:rsidR="00261732">
        <w:t>total de U$</w:t>
      </w:r>
      <w:r w:rsidR="004268F9">
        <w:t>S</w:t>
      </w:r>
      <w:r w:rsidR="00261732">
        <w:t xml:space="preserve"> 73.669, previo control de</w:t>
      </w:r>
      <w:r w:rsidR="00F57948">
        <w:t xml:space="preserve"> su imputación con cargo a </w:t>
      </w:r>
      <w:r w:rsidR="009314AA">
        <w:t>g</w:t>
      </w:r>
      <w:r w:rsidR="00F57948">
        <w:t>rupo</w:t>
      </w:r>
      <w:r w:rsidR="00261732">
        <w:t xml:space="preserve"> adecuado con disponibilidad suficiente;</w:t>
      </w:r>
    </w:p>
    <w:p w:rsidR="00261732" w:rsidRPr="006A62FF" w:rsidRDefault="006A62FF" w:rsidP="006A62FF">
      <w:pPr>
        <w:pStyle w:val="Sangradetextonormal"/>
        <w:ind w:firstLine="0"/>
        <w:rPr>
          <w:b/>
        </w:rPr>
      </w:pPr>
      <w:r>
        <w:rPr>
          <w:b/>
        </w:rPr>
        <w:lastRenderedPageBreak/>
        <w:t xml:space="preserve">2) </w:t>
      </w:r>
      <w:r w:rsidR="00261732">
        <w:t>Comunicar al Contador Auditor; y</w:t>
      </w:r>
    </w:p>
    <w:p w:rsidR="00373CDB" w:rsidRDefault="006A62FF" w:rsidP="006A62FF">
      <w:pPr>
        <w:spacing w:line="360" w:lineRule="auto"/>
        <w:jc w:val="both"/>
      </w:pPr>
      <w:r>
        <w:rPr>
          <w:b/>
        </w:rPr>
        <w:t xml:space="preserve">3) </w:t>
      </w:r>
      <w:r w:rsidR="00261732">
        <w:t>Devolver las actuaciones</w:t>
      </w:r>
      <w:r>
        <w:t>.</w:t>
      </w:r>
    </w:p>
    <w:p w:rsidR="00082D70" w:rsidRDefault="00082D70" w:rsidP="00C30A9A">
      <w:pPr>
        <w:spacing w:line="360" w:lineRule="auto"/>
        <w:jc w:val="both"/>
      </w:pPr>
    </w:p>
    <w:p w:rsidR="00082D70" w:rsidRPr="00082D70" w:rsidRDefault="00082D70" w:rsidP="00C30A9A">
      <w:pPr>
        <w:spacing w:line="360" w:lineRule="auto"/>
        <w:jc w:val="both"/>
      </w:pPr>
      <w:proofErr w:type="gramStart"/>
      <w:r>
        <w:t>lm</w:t>
      </w:r>
      <w:proofErr w:type="gramEnd"/>
    </w:p>
    <w:sectPr w:rsidR="00082D70" w:rsidRPr="00082D70" w:rsidSect="006A62FF">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2FF" w:rsidRDefault="006A62FF" w:rsidP="006A62FF">
      <w:r>
        <w:separator/>
      </w:r>
    </w:p>
  </w:endnote>
  <w:endnote w:type="continuationSeparator" w:id="0">
    <w:p w:rsidR="006A62FF" w:rsidRDefault="006A62FF" w:rsidP="006A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177486"/>
      <w:docPartObj>
        <w:docPartGallery w:val="Page Numbers (Bottom of Page)"/>
        <w:docPartUnique/>
      </w:docPartObj>
    </w:sdtPr>
    <w:sdtEndPr/>
    <w:sdtContent>
      <w:p w:rsidR="006A62FF" w:rsidRDefault="006A62FF">
        <w:pPr>
          <w:pStyle w:val="Piedepgina"/>
          <w:jc w:val="center"/>
        </w:pPr>
      </w:p>
      <w:p w:rsidR="006A62FF" w:rsidRDefault="006A62FF">
        <w:pPr>
          <w:pStyle w:val="Piedepgina"/>
          <w:jc w:val="center"/>
        </w:pPr>
        <w:r>
          <w:fldChar w:fldCharType="begin"/>
        </w:r>
        <w:r>
          <w:instrText>PAGE   \* MERGEFORMAT</w:instrText>
        </w:r>
        <w:r>
          <w:fldChar w:fldCharType="separate"/>
        </w:r>
        <w:r w:rsidR="005577EA">
          <w:rPr>
            <w:noProof/>
          </w:rPr>
          <w:t>2</w:t>
        </w:r>
        <w:r>
          <w:fldChar w:fldCharType="end"/>
        </w:r>
      </w:p>
      <w:p w:rsidR="006A62FF" w:rsidRDefault="005577EA">
        <w:pPr>
          <w:pStyle w:val="Piedepgin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2FF" w:rsidRDefault="006A62FF" w:rsidP="006A62FF">
      <w:r>
        <w:separator/>
      </w:r>
    </w:p>
  </w:footnote>
  <w:footnote w:type="continuationSeparator" w:id="0">
    <w:p w:rsidR="006A62FF" w:rsidRDefault="006A62FF" w:rsidP="006A62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1459B"/>
    <w:multiLevelType w:val="hybridMultilevel"/>
    <w:tmpl w:val="3CAAA4EC"/>
    <w:lvl w:ilvl="0" w:tplc="27DA1C2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DBE5344"/>
    <w:multiLevelType w:val="hybridMultilevel"/>
    <w:tmpl w:val="9768EA8A"/>
    <w:lvl w:ilvl="0" w:tplc="0EB44B64">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29C"/>
    <w:rsid w:val="00074F6E"/>
    <w:rsid w:val="00082D70"/>
    <w:rsid w:val="000C1EF9"/>
    <w:rsid w:val="000E5F50"/>
    <w:rsid w:val="00120D8A"/>
    <w:rsid w:val="001A33FC"/>
    <w:rsid w:val="00251B1B"/>
    <w:rsid w:val="00261732"/>
    <w:rsid w:val="002967EE"/>
    <w:rsid w:val="002C0CBA"/>
    <w:rsid w:val="002E0503"/>
    <w:rsid w:val="00373CDB"/>
    <w:rsid w:val="003E4DE6"/>
    <w:rsid w:val="00412723"/>
    <w:rsid w:val="0041724C"/>
    <w:rsid w:val="004268F9"/>
    <w:rsid w:val="004631B3"/>
    <w:rsid w:val="005577EA"/>
    <w:rsid w:val="00592E06"/>
    <w:rsid w:val="00691EBD"/>
    <w:rsid w:val="006A2279"/>
    <w:rsid w:val="006A62FF"/>
    <w:rsid w:val="00751591"/>
    <w:rsid w:val="00792B1E"/>
    <w:rsid w:val="008701D4"/>
    <w:rsid w:val="00901CEB"/>
    <w:rsid w:val="009314AA"/>
    <w:rsid w:val="00A26B0A"/>
    <w:rsid w:val="00A8729C"/>
    <w:rsid w:val="00AA6C08"/>
    <w:rsid w:val="00AB7233"/>
    <w:rsid w:val="00C30A9A"/>
    <w:rsid w:val="00C64848"/>
    <w:rsid w:val="00C652B7"/>
    <w:rsid w:val="00D76B85"/>
    <w:rsid w:val="00DC0BCD"/>
    <w:rsid w:val="00DF49FD"/>
    <w:rsid w:val="00E41311"/>
    <w:rsid w:val="00F47BF4"/>
    <w:rsid w:val="00F57948"/>
    <w:rsid w:val="00F72B73"/>
    <w:rsid w:val="00FC16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9C"/>
    <w:pPr>
      <w:spacing w:after="0" w:line="240" w:lineRule="auto"/>
    </w:pPr>
    <w:rPr>
      <w:rFonts w:ascii="Arial" w:eastAsia="Times New Roman" w:hAnsi="Arial" w:cs="Times New Roman"/>
      <w:sz w:val="24"/>
      <w:szCs w:val="24"/>
      <w:lang w:val="es-ES" w:eastAsia="es-ES"/>
    </w:rPr>
  </w:style>
  <w:style w:type="paragraph" w:styleId="Ttulo2">
    <w:name w:val="heading 2"/>
    <w:basedOn w:val="Normal"/>
    <w:next w:val="Normal"/>
    <w:link w:val="Ttulo2Car"/>
    <w:qFormat/>
    <w:rsid w:val="00A8729C"/>
    <w:pPr>
      <w:keepNext/>
      <w:spacing w:line="360" w:lineRule="auto"/>
      <w:jc w:val="both"/>
      <w:outlineLvl w:val="1"/>
    </w:pPr>
    <w:rPr>
      <w:b/>
      <w:bCs/>
    </w:rPr>
  </w:style>
  <w:style w:type="paragraph" w:styleId="Ttulo5">
    <w:name w:val="heading 5"/>
    <w:basedOn w:val="Normal"/>
    <w:next w:val="Normal"/>
    <w:link w:val="Ttulo5Car"/>
    <w:qFormat/>
    <w:rsid w:val="00A8729C"/>
    <w:pPr>
      <w:keepNext/>
      <w:spacing w:line="360" w:lineRule="auto"/>
      <w:ind w:firstLine="709"/>
      <w:jc w:val="center"/>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8729C"/>
    <w:rPr>
      <w:rFonts w:ascii="Arial" w:eastAsia="Times New Roman" w:hAnsi="Arial" w:cs="Times New Roman"/>
      <w:b/>
      <w:bCs/>
      <w:sz w:val="24"/>
      <w:szCs w:val="24"/>
      <w:lang w:val="es-ES" w:eastAsia="es-ES"/>
    </w:rPr>
  </w:style>
  <w:style w:type="character" w:customStyle="1" w:styleId="Ttulo5Car">
    <w:name w:val="Título 5 Car"/>
    <w:basedOn w:val="Fuentedeprrafopredeter"/>
    <w:link w:val="Ttulo5"/>
    <w:rsid w:val="00A8729C"/>
    <w:rPr>
      <w:rFonts w:ascii="Arial" w:eastAsia="Times New Roman" w:hAnsi="Arial" w:cs="Times New Roman"/>
      <w:b/>
      <w:bCs/>
      <w:sz w:val="24"/>
      <w:szCs w:val="24"/>
      <w:lang w:val="es-ES" w:eastAsia="es-ES"/>
    </w:rPr>
  </w:style>
  <w:style w:type="paragraph" w:styleId="Sangradetextonormal">
    <w:name w:val="Body Text Indent"/>
    <w:basedOn w:val="Normal"/>
    <w:link w:val="SangradetextonormalCar"/>
    <w:semiHidden/>
    <w:rsid w:val="00A8729C"/>
    <w:pPr>
      <w:spacing w:line="360" w:lineRule="auto"/>
      <w:ind w:firstLine="708"/>
      <w:jc w:val="both"/>
    </w:pPr>
  </w:style>
  <w:style w:type="character" w:customStyle="1" w:styleId="SangradetextonormalCar">
    <w:name w:val="Sangría de texto normal Car"/>
    <w:basedOn w:val="Fuentedeprrafopredeter"/>
    <w:link w:val="Sangradetextonormal"/>
    <w:semiHidden/>
    <w:rsid w:val="00A8729C"/>
    <w:rPr>
      <w:rFonts w:ascii="Arial" w:eastAsia="Times New Roman" w:hAnsi="Arial" w:cs="Times New Roman"/>
      <w:sz w:val="24"/>
      <w:szCs w:val="24"/>
      <w:lang w:val="es-ES" w:eastAsia="es-ES"/>
    </w:rPr>
  </w:style>
  <w:style w:type="paragraph" w:styleId="Prrafodelista">
    <w:name w:val="List Paragraph"/>
    <w:basedOn w:val="Normal"/>
    <w:uiPriority w:val="34"/>
    <w:qFormat/>
    <w:rsid w:val="00261732"/>
    <w:pPr>
      <w:ind w:left="720"/>
      <w:contextualSpacing/>
    </w:pPr>
  </w:style>
  <w:style w:type="paragraph" w:styleId="Encabezado">
    <w:name w:val="header"/>
    <w:basedOn w:val="Normal"/>
    <w:link w:val="EncabezadoCar"/>
    <w:uiPriority w:val="99"/>
    <w:unhideWhenUsed/>
    <w:rsid w:val="006A62FF"/>
    <w:pPr>
      <w:tabs>
        <w:tab w:val="center" w:pos="4252"/>
        <w:tab w:val="right" w:pos="8504"/>
      </w:tabs>
    </w:pPr>
  </w:style>
  <w:style w:type="character" w:customStyle="1" w:styleId="EncabezadoCar">
    <w:name w:val="Encabezado Car"/>
    <w:basedOn w:val="Fuentedeprrafopredeter"/>
    <w:link w:val="Encabezado"/>
    <w:uiPriority w:val="99"/>
    <w:rsid w:val="006A62FF"/>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A62FF"/>
    <w:pPr>
      <w:tabs>
        <w:tab w:val="center" w:pos="4252"/>
        <w:tab w:val="right" w:pos="8504"/>
      </w:tabs>
    </w:pPr>
  </w:style>
  <w:style w:type="character" w:customStyle="1" w:styleId="PiedepginaCar">
    <w:name w:val="Pie de página Car"/>
    <w:basedOn w:val="Fuentedeprrafopredeter"/>
    <w:link w:val="Piedepgina"/>
    <w:uiPriority w:val="99"/>
    <w:rsid w:val="006A62FF"/>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9C"/>
    <w:pPr>
      <w:spacing w:after="0" w:line="240" w:lineRule="auto"/>
    </w:pPr>
    <w:rPr>
      <w:rFonts w:ascii="Arial" w:eastAsia="Times New Roman" w:hAnsi="Arial" w:cs="Times New Roman"/>
      <w:sz w:val="24"/>
      <w:szCs w:val="24"/>
      <w:lang w:val="es-ES" w:eastAsia="es-ES"/>
    </w:rPr>
  </w:style>
  <w:style w:type="paragraph" w:styleId="Ttulo2">
    <w:name w:val="heading 2"/>
    <w:basedOn w:val="Normal"/>
    <w:next w:val="Normal"/>
    <w:link w:val="Ttulo2Car"/>
    <w:qFormat/>
    <w:rsid w:val="00A8729C"/>
    <w:pPr>
      <w:keepNext/>
      <w:spacing w:line="360" w:lineRule="auto"/>
      <w:jc w:val="both"/>
      <w:outlineLvl w:val="1"/>
    </w:pPr>
    <w:rPr>
      <w:b/>
      <w:bCs/>
    </w:rPr>
  </w:style>
  <w:style w:type="paragraph" w:styleId="Ttulo5">
    <w:name w:val="heading 5"/>
    <w:basedOn w:val="Normal"/>
    <w:next w:val="Normal"/>
    <w:link w:val="Ttulo5Car"/>
    <w:qFormat/>
    <w:rsid w:val="00A8729C"/>
    <w:pPr>
      <w:keepNext/>
      <w:spacing w:line="360" w:lineRule="auto"/>
      <w:ind w:firstLine="709"/>
      <w:jc w:val="center"/>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8729C"/>
    <w:rPr>
      <w:rFonts w:ascii="Arial" w:eastAsia="Times New Roman" w:hAnsi="Arial" w:cs="Times New Roman"/>
      <w:b/>
      <w:bCs/>
      <w:sz w:val="24"/>
      <w:szCs w:val="24"/>
      <w:lang w:val="es-ES" w:eastAsia="es-ES"/>
    </w:rPr>
  </w:style>
  <w:style w:type="character" w:customStyle="1" w:styleId="Ttulo5Car">
    <w:name w:val="Título 5 Car"/>
    <w:basedOn w:val="Fuentedeprrafopredeter"/>
    <w:link w:val="Ttulo5"/>
    <w:rsid w:val="00A8729C"/>
    <w:rPr>
      <w:rFonts w:ascii="Arial" w:eastAsia="Times New Roman" w:hAnsi="Arial" w:cs="Times New Roman"/>
      <w:b/>
      <w:bCs/>
      <w:sz w:val="24"/>
      <w:szCs w:val="24"/>
      <w:lang w:val="es-ES" w:eastAsia="es-ES"/>
    </w:rPr>
  </w:style>
  <w:style w:type="paragraph" w:styleId="Sangradetextonormal">
    <w:name w:val="Body Text Indent"/>
    <w:basedOn w:val="Normal"/>
    <w:link w:val="SangradetextonormalCar"/>
    <w:semiHidden/>
    <w:rsid w:val="00A8729C"/>
    <w:pPr>
      <w:spacing w:line="360" w:lineRule="auto"/>
      <w:ind w:firstLine="708"/>
      <w:jc w:val="both"/>
    </w:pPr>
  </w:style>
  <w:style w:type="character" w:customStyle="1" w:styleId="SangradetextonormalCar">
    <w:name w:val="Sangría de texto normal Car"/>
    <w:basedOn w:val="Fuentedeprrafopredeter"/>
    <w:link w:val="Sangradetextonormal"/>
    <w:semiHidden/>
    <w:rsid w:val="00A8729C"/>
    <w:rPr>
      <w:rFonts w:ascii="Arial" w:eastAsia="Times New Roman" w:hAnsi="Arial" w:cs="Times New Roman"/>
      <w:sz w:val="24"/>
      <w:szCs w:val="24"/>
      <w:lang w:val="es-ES" w:eastAsia="es-ES"/>
    </w:rPr>
  </w:style>
  <w:style w:type="paragraph" w:styleId="Prrafodelista">
    <w:name w:val="List Paragraph"/>
    <w:basedOn w:val="Normal"/>
    <w:uiPriority w:val="34"/>
    <w:qFormat/>
    <w:rsid w:val="00261732"/>
    <w:pPr>
      <w:ind w:left="720"/>
      <w:contextualSpacing/>
    </w:pPr>
  </w:style>
  <w:style w:type="paragraph" w:styleId="Encabezado">
    <w:name w:val="header"/>
    <w:basedOn w:val="Normal"/>
    <w:link w:val="EncabezadoCar"/>
    <w:uiPriority w:val="99"/>
    <w:unhideWhenUsed/>
    <w:rsid w:val="006A62FF"/>
    <w:pPr>
      <w:tabs>
        <w:tab w:val="center" w:pos="4252"/>
        <w:tab w:val="right" w:pos="8504"/>
      </w:tabs>
    </w:pPr>
  </w:style>
  <w:style w:type="character" w:customStyle="1" w:styleId="EncabezadoCar">
    <w:name w:val="Encabezado Car"/>
    <w:basedOn w:val="Fuentedeprrafopredeter"/>
    <w:link w:val="Encabezado"/>
    <w:uiPriority w:val="99"/>
    <w:rsid w:val="006A62FF"/>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A62FF"/>
    <w:pPr>
      <w:tabs>
        <w:tab w:val="center" w:pos="4252"/>
        <w:tab w:val="right" w:pos="8504"/>
      </w:tabs>
    </w:pPr>
  </w:style>
  <w:style w:type="character" w:customStyle="1" w:styleId="PiedepginaCar">
    <w:name w:val="Pie de página Car"/>
    <w:basedOn w:val="Fuentedeprrafopredeter"/>
    <w:link w:val="Piedepgina"/>
    <w:uiPriority w:val="99"/>
    <w:rsid w:val="006A62FF"/>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821</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4</cp:revision>
  <cp:lastPrinted>2019-07-12T20:45:00Z</cp:lastPrinted>
  <dcterms:created xsi:type="dcterms:W3CDTF">2019-07-12T20:18:00Z</dcterms:created>
  <dcterms:modified xsi:type="dcterms:W3CDTF">2019-07-15T16:58:00Z</dcterms:modified>
</cp:coreProperties>
</file>