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FF9" w:rsidRPr="00786EEB" w:rsidRDefault="00C32FF9" w:rsidP="00786EEB">
      <w:pPr>
        <w:tabs>
          <w:tab w:val="center" w:pos="4253"/>
        </w:tabs>
        <w:suppressAutoHyphens/>
        <w:jc w:val="right"/>
        <w:rPr>
          <w:rFonts w:cs="Arial"/>
          <w:b/>
          <w:sz w:val="28"/>
          <w:szCs w:val="28"/>
          <w:lang w:val="es-ES_tradnl"/>
        </w:rPr>
      </w:pPr>
      <w:r>
        <w:rPr>
          <w:rFonts w:cs="Arial"/>
          <w:b/>
          <w:sz w:val="28"/>
          <w:szCs w:val="28"/>
          <w:lang w:val="es-ES_tradnl"/>
        </w:rPr>
        <w:t>RES. 1639/19</w:t>
      </w:r>
    </w:p>
    <w:p w:rsidR="00C32FF9" w:rsidRDefault="00C32FF9" w:rsidP="00786EEB">
      <w:pPr>
        <w:tabs>
          <w:tab w:val="center" w:pos="4253"/>
        </w:tabs>
        <w:suppressAutoHyphens/>
        <w:jc w:val="right"/>
        <w:rPr>
          <w:rFonts w:cs="Arial"/>
          <w:b/>
          <w:lang w:val="es-ES_tradnl"/>
        </w:rPr>
      </w:pPr>
    </w:p>
    <w:p w:rsidR="00C32FF9" w:rsidRPr="00762B34" w:rsidRDefault="00C32FF9">
      <w:pPr>
        <w:tabs>
          <w:tab w:val="center" w:pos="4253"/>
        </w:tabs>
        <w:suppressAutoHyphens/>
        <w:jc w:val="center"/>
        <w:rPr>
          <w:rFonts w:cs="Arial"/>
          <w:b/>
          <w:lang w:val="es-ES_tradnl"/>
        </w:rPr>
      </w:pPr>
      <w:r w:rsidRPr="00762B34">
        <w:rPr>
          <w:rFonts w:cs="Arial"/>
          <w:b/>
          <w:lang w:val="es-ES_tradnl"/>
        </w:rPr>
        <w:t>RESOLUCION ADOPTADA POR EL</w:t>
      </w:r>
    </w:p>
    <w:p w:rsidR="00C32FF9" w:rsidRPr="00762B34" w:rsidRDefault="00C32FF9">
      <w:pPr>
        <w:tabs>
          <w:tab w:val="left" w:pos="-720"/>
        </w:tabs>
        <w:suppressAutoHyphens/>
        <w:jc w:val="center"/>
        <w:rPr>
          <w:rFonts w:cs="Arial"/>
          <w:b/>
          <w:lang w:val="es-ES_tradnl"/>
        </w:rPr>
      </w:pPr>
    </w:p>
    <w:p w:rsidR="00C32FF9" w:rsidRPr="00762B34" w:rsidRDefault="00C32FF9">
      <w:pPr>
        <w:tabs>
          <w:tab w:val="center" w:pos="4253"/>
        </w:tabs>
        <w:suppressAutoHyphens/>
        <w:jc w:val="center"/>
        <w:rPr>
          <w:rFonts w:cs="Arial"/>
          <w:b/>
          <w:lang w:val="es-ES_tradnl"/>
        </w:rPr>
      </w:pPr>
      <w:r w:rsidRPr="00762B34">
        <w:rPr>
          <w:rFonts w:cs="Arial"/>
          <w:b/>
          <w:lang w:val="es-ES_tradnl"/>
        </w:rPr>
        <w:t>TRIBUNAL DE CUENTAS</w:t>
      </w:r>
    </w:p>
    <w:p w:rsidR="00C32FF9" w:rsidRPr="00762B34" w:rsidRDefault="00C32FF9">
      <w:pPr>
        <w:tabs>
          <w:tab w:val="left" w:pos="-720"/>
        </w:tabs>
        <w:suppressAutoHyphens/>
        <w:jc w:val="center"/>
        <w:rPr>
          <w:rFonts w:cs="Arial"/>
          <w:b/>
          <w:lang w:val="es-ES_tradnl"/>
        </w:rPr>
      </w:pPr>
    </w:p>
    <w:p w:rsidR="00C32FF9" w:rsidRPr="00762B34" w:rsidRDefault="00C32FF9">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10 DE JULIO </w:t>
      </w:r>
      <w:r>
        <w:rPr>
          <w:rFonts w:ascii="Helvetica" w:hAnsi="Helvetica"/>
          <w:b/>
          <w:lang w:val="es-ES_tradnl"/>
        </w:rPr>
        <w:t>DE 2019</w:t>
      </w:r>
    </w:p>
    <w:p w:rsidR="00C32FF9" w:rsidRPr="00762B34" w:rsidRDefault="00C32FF9">
      <w:pPr>
        <w:tabs>
          <w:tab w:val="center" w:pos="4253"/>
        </w:tabs>
        <w:suppressAutoHyphens/>
        <w:jc w:val="center"/>
        <w:rPr>
          <w:rFonts w:cs="Arial"/>
          <w:b/>
          <w:lang w:val="es-ES_tradnl"/>
        </w:rPr>
      </w:pPr>
    </w:p>
    <w:p w:rsidR="00C32FF9" w:rsidRPr="00762B34" w:rsidRDefault="00C32FF9">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2019-17-1-0002976</w:t>
      </w:r>
      <w:r w:rsidRPr="00762B34">
        <w:rPr>
          <w:rFonts w:cs="Arial"/>
          <w:b/>
          <w:lang w:val="en-US"/>
        </w:rPr>
        <w:t xml:space="preserve">, Ent. N° </w:t>
      </w:r>
      <w:r>
        <w:rPr>
          <w:rFonts w:cs="Arial"/>
          <w:b/>
          <w:lang w:val="en-US"/>
        </w:rPr>
        <w:t>2331/19</w:t>
      </w:r>
      <w:r w:rsidRPr="00762B34">
        <w:rPr>
          <w:rFonts w:cs="Arial"/>
          <w:b/>
          <w:lang w:val="en-US"/>
        </w:rPr>
        <w:t>)</w:t>
      </w:r>
    </w:p>
    <w:p w:rsidR="00C32FF9" w:rsidRDefault="00C32FF9">
      <w:pPr>
        <w:tabs>
          <w:tab w:val="center" w:pos="4253"/>
        </w:tabs>
        <w:suppressAutoHyphens/>
        <w:jc w:val="center"/>
        <w:rPr>
          <w:rFonts w:ascii="Helvetica" w:hAnsi="Helvetica"/>
          <w:b/>
          <w:lang w:val="en-US"/>
        </w:rPr>
      </w:pPr>
    </w:p>
    <w:p w:rsidR="00C32FF9" w:rsidRDefault="006F72DC" w:rsidP="00C32FF9">
      <w:pPr>
        <w:tabs>
          <w:tab w:val="left" w:pos="-720"/>
        </w:tabs>
        <w:suppressAutoHyphens/>
        <w:spacing w:line="360" w:lineRule="auto"/>
        <w:ind w:firstLine="851"/>
        <w:jc w:val="both"/>
      </w:pPr>
      <w:r>
        <w:rPr>
          <w:b/>
          <w:spacing w:val="-3"/>
          <w:lang w:val="es-ES_tradnl"/>
        </w:rPr>
        <w:t>VISTO:</w:t>
      </w:r>
      <w:r>
        <w:rPr>
          <w:spacing w:val="-3"/>
          <w:lang w:val="es-ES_tradnl"/>
        </w:rPr>
        <w:t xml:space="preserve"> estos antecedentes remitidos por el Ministerio de Economía y Finanzas (M.E.F.)</w:t>
      </w:r>
      <w:r w:rsidRPr="00F41302">
        <w:t>, relacionados con el acuerdo transaccional celebrado</w:t>
      </w:r>
      <w:r w:rsidR="00C32FF9">
        <w:t xml:space="preserve"> por</w:t>
      </w:r>
      <w:r>
        <w:t xml:space="preserve"> el Ministerio de Salud Pública (M.S.P.) y BAYER  S.A.;</w:t>
      </w:r>
    </w:p>
    <w:p w:rsidR="00C32FF9" w:rsidRDefault="006F72DC" w:rsidP="00C32FF9">
      <w:pPr>
        <w:tabs>
          <w:tab w:val="left" w:pos="-720"/>
        </w:tabs>
        <w:suppressAutoHyphens/>
        <w:spacing w:line="360" w:lineRule="auto"/>
        <w:ind w:firstLine="851"/>
        <w:jc w:val="both"/>
      </w:pPr>
      <w:r>
        <w:rPr>
          <w:b/>
        </w:rPr>
        <w:t>RESULTANDO: 1</w:t>
      </w:r>
      <w:r w:rsidRPr="00A24DCE">
        <w:rPr>
          <w:b/>
        </w:rPr>
        <w:t>)</w:t>
      </w:r>
      <w:r>
        <w:rPr>
          <w:b/>
        </w:rPr>
        <w:t xml:space="preserve"> </w:t>
      </w:r>
      <w:r>
        <w:t>que con fecha 02/04/2019, se suscribi</w:t>
      </w:r>
      <w:r w:rsidR="00C32FF9">
        <w:t>ó un acuerdo transaccional por</w:t>
      </w:r>
      <w:r>
        <w:t xml:space="preserve"> el M.S.P. y BAYER S.A., por el cual el M.S.P. se obligó a pagar a BAYER S.A., la suma de $</w:t>
      </w:r>
      <w:r w:rsidR="00C32FF9">
        <w:t xml:space="preserve"> 13:</w:t>
      </w:r>
      <w:r>
        <w:t>744.926, que se abona</w:t>
      </w:r>
      <w:r w:rsidR="00C32FF9">
        <w:t>rá en dos cuotas iguales de $ 6:</w:t>
      </w:r>
      <w:r>
        <w:t>872.463: la primera que vencerá el 30 de junio de 2019 y la segunda con vencimiento el 30 de setiembre 2019;</w:t>
      </w:r>
    </w:p>
    <w:p w:rsidR="00C32FF9" w:rsidRDefault="006F72DC" w:rsidP="00C32FF9">
      <w:pPr>
        <w:tabs>
          <w:tab w:val="left" w:pos="-720"/>
        </w:tabs>
        <w:suppressAutoHyphens/>
        <w:spacing w:line="360" w:lineRule="auto"/>
        <w:ind w:firstLine="2835"/>
        <w:jc w:val="both"/>
      </w:pPr>
      <w:r>
        <w:rPr>
          <w:b/>
        </w:rPr>
        <w:t>2</w:t>
      </w:r>
      <w:r w:rsidRPr="00A24DCE">
        <w:rPr>
          <w:b/>
        </w:rPr>
        <w:t>)</w:t>
      </w:r>
      <w:r>
        <w:rPr>
          <w:b/>
        </w:rPr>
        <w:t xml:space="preserve"> </w:t>
      </w:r>
      <w:r w:rsidR="006E1BB9">
        <w:t>que</w:t>
      </w:r>
      <w:r>
        <w:t xml:space="preserve"> se consigna que el MSP ha emitido diversas órdenes de compra para adquirir diversos fármacos comercializados por BAYER S.A., que fueran entregados a los correspondientes prestadores de salud, ya fuera con motivo de una obligación impuesta al MSP por sentencia judicial de condena o una resolución ministerial recaída en el marco del procedimiento administrativo abreviado, que tiene por objeto la solicitud de una prestación no comprendida en el Plan Integral de Atención de Salud (PIAS);</w:t>
      </w:r>
    </w:p>
    <w:p w:rsidR="00C32FF9" w:rsidRDefault="006F72DC" w:rsidP="00C32FF9">
      <w:pPr>
        <w:tabs>
          <w:tab w:val="left" w:pos="-720"/>
        </w:tabs>
        <w:suppressAutoHyphens/>
        <w:spacing w:line="360" w:lineRule="auto"/>
        <w:ind w:firstLine="2835"/>
        <w:jc w:val="both"/>
      </w:pPr>
      <w:r w:rsidRPr="00A043CB">
        <w:rPr>
          <w:b/>
        </w:rPr>
        <w:t>3)</w:t>
      </w:r>
      <w:r w:rsidR="006E1BB9">
        <w:t xml:space="preserve"> que ante la solicitud conjunta formulada por las</w:t>
      </w:r>
      <w:r>
        <w:t xml:space="preserve"> partes, </w:t>
      </w:r>
      <w:r w:rsidR="006E1BB9" w:rsidRPr="006E1BB9">
        <w:t>el Juzgado Letrado de Primera Instancia en lo Civil de 10° Turno dispuso la homologación de la transacción celebrada</w:t>
      </w:r>
      <w:r w:rsidR="006E1BB9">
        <w:t>,</w:t>
      </w:r>
      <w:r w:rsidR="006E1BB9" w:rsidRPr="006E1BB9">
        <w:t xml:space="preserve"> </w:t>
      </w:r>
      <w:r w:rsidR="00C32FF9">
        <w:t>mediante Decreto Nº</w:t>
      </w:r>
      <w:r>
        <w:t>841</w:t>
      </w:r>
      <w:r w:rsidR="006E1BB9">
        <w:t>/2019 del  23 de abril de 2019</w:t>
      </w:r>
      <w:r>
        <w:t>;</w:t>
      </w:r>
    </w:p>
    <w:p w:rsidR="006F72DC" w:rsidRDefault="006F72DC" w:rsidP="00C32FF9">
      <w:pPr>
        <w:tabs>
          <w:tab w:val="left" w:pos="-720"/>
        </w:tabs>
        <w:suppressAutoHyphens/>
        <w:spacing w:line="360" w:lineRule="auto"/>
        <w:ind w:firstLine="2835"/>
        <w:jc w:val="both"/>
        <w:rPr>
          <w:b/>
        </w:rPr>
      </w:pPr>
      <w:r>
        <w:rPr>
          <w:b/>
        </w:rPr>
        <w:t>4</w:t>
      </w:r>
      <w:r w:rsidRPr="005F4121">
        <w:rPr>
          <w:b/>
        </w:rPr>
        <w:t xml:space="preserve">) </w:t>
      </w:r>
      <w:r>
        <w:t>que consta docum</w:t>
      </w:r>
      <w:r w:rsidR="00C32FF9">
        <w:t>ento de afectación del gasto N°</w:t>
      </w:r>
      <w:r>
        <w:t>001050 de fecha 21 de ju</w:t>
      </w:r>
      <w:r w:rsidR="00C32FF9">
        <w:t>nio de 2019 por la suma de $ 13:</w:t>
      </w:r>
      <w:r>
        <w:t xml:space="preserve">744.926, con </w:t>
      </w:r>
      <w:r>
        <w:lastRenderedPageBreak/>
        <w:t xml:space="preserve">cargo al Programa 488, Objeto de Gasto 711, Financiamiento 1.1 Rentas Generales del Ejercicio 2019, documento; </w:t>
      </w:r>
      <w:r w:rsidRPr="005F4121">
        <w:rPr>
          <w:b/>
        </w:rPr>
        <w:t xml:space="preserve">  </w:t>
      </w:r>
    </w:p>
    <w:p w:rsidR="00C32FF9" w:rsidRDefault="006F72DC" w:rsidP="00C32FF9">
      <w:pPr>
        <w:tabs>
          <w:tab w:val="left" w:pos="-720"/>
        </w:tabs>
        <w:suppressAutoHyphens/>
        <w:spacing w:line="360" w:lineRule="auto"/>
        <w:ind w:firstLine="851"/>
        <w:jc w:val="both"/>
        <w:rPr>
          <w:bCs/>
          <w:spacing w:val="-3"/>
          <w:lang w:val="es-ES_tradnl"/>
        </w:rPr>
      </w:pPr>
      <w:r>
        <w:rPr>
          <w:b/>
          <w:spacing w:val="-3"/>
        </w:rPr>
        <w:t>C</w:t>
      </w:r>
      <w:r>
        <w:rPr>
          <w:b/>
          <w:spacing w:val="-3"/>
          <w:lang w:val="es-ES_tradnl"/>
        </w:rPr>
        <w:t>ONSIDERANDO:</w:t>
      </w:r>
      <w:r>
        <w:rPr>
          <w:bCs/>
          <w:spacing w:val="-3"/>
          <w:lang w:val="es-ES_tradnl"/>
        </w:rPr>
        <w:t xml:space="preserve"> </w:t>
      </w:r>
      <w:r w:rsidRPr="00A562E2">
        <w:rPr>
          <w:b/>
          <w:bCs/>
          <w:spacing w:val="-3"/>
          <w:lang w:val="es-ES_tradnl"/>
        </w:rPr>
        <w:t>1</w:t>
      </w:r>
      <w:r w:rsidRPr="00A562E2">
        <w:rPr>
          <w:b/>
          <w:spacing w:val="-3"/>
          <w:lang w:val="es-ES_tradnl"/>
        </w:rPr>
        <w:t>)</w:t>
      </w:r>
      <w:r>
        <w:rPr>
          <w:bCs/>
          <w:spacing w:val="-3"/>
          <w:lang w:val="es-ES_tradnl"/>
        </w:rPr>
        <w:t xml:space="preserve"> </w:t>
      </w:r>
      <w:r w:rsidRPr="00D44632">
        <w:rPr>
          <w:bCs/>
          <w:spacing w:val="-3"/>
          <w:lang w:val="es-ES_tradnl"/>
        </w:rPr>
        <w:t xml:space="preserve">que </w:t>
      </w:r>
      <w:r>
        <w:rPr>
          <w:bCs/>
          <w:spacing w:val="-3"/>
          <w:lang w:val="es-ES_tradnl"/>
        </w:rPr>
        <w:t>la transacción es un contrato por el cual, haciéndose recíprocas concesiones, terminan los contrayentes un litigio pendiente  o pr</w:t>
      </w:r>
      <w:r w:rsidR="00C32FF9">
        <w:rPr>
          <w:bCs/>
          <w:spacing w:val="-3"/>
          <w:lang w:val="es-ES_tradnl"/>
        </w:rPr>
        <w:t>ecaven un litigio eventual (A</w:t>
      </w:r>
      <w:r w:rsidR="006E1BB9">
        <w:rPr>
          <w:bCs/>
          <w:spacing w:val="-3"/>
          <w:lang w:val="es-ES_tradnl"/>
        </w:rPr>
        <w:t>rtículo</w:t>
      </w:r>
      <w:r>
        <w:rPr>
          <w:bCs/>
          <w:spacing w:val="-3"/>
          <w:lang w:val="es-ES_tradnl"/>
        </w:rPr>
        <w:t xml:space="preserve"> 2147 del Código Civil);</w:t>
      </w:r>
    </w:p>
    <w:p w:rsidR="00C32FF9" w:rsidRDefault="006F72DC" w:rsidP="00C32FF9">
      <w:pPr>
        <w:tabs>
          <w:tab w:val="left" w:pos="-720"/>
        </w:tabs>
        <w:suppressAutoHyphens/>
        <w:spacing w:line="360" w:lineRule="auto"/>
        <w:ind w:firstLine="3119"/>
        <w:jc w:val="both"/>
        <w:rPr>
          <w:bCs/>
          <w:spacing w:val="-3"/>
          <w:lang w:val="es-ES_tradnl"/>
        </w:rPr>
      </w:pPr>
      <w:r>
        <w:rPr>
          <w:b/>
          <w:spacing w:val="-3"/>
          <w:lang w:val="es-ES_tradnl"/>
        </w:rPr>
        <w:t>2)</w:t>
      </w:r>
      <w:r w:rsidR="006E1BB9">
        <w:rPr>
          <w:bCs/>
          <w:spacing w:val="-3"/>
          <w:lang w:val="es-ES_tradnl"/>
        </w:rPr>
        <w:t xml:space="preserve"> que este </w:t>
      </w:r>
      <w:r w:rsidR="00C32FF9">
        <w:rPr>
          <w:bCs/>
          <w:spacing w:val="-3"/>
          <w:lang w:val="es-ES_tradnl"/>
        </w:rPr>
        <w:t>Tribunal</w:t>
      </w:r>
      <w:r>
        <w:rPr>
          <w:bCs/>
          <w:spacing w:val="-3"/>
          <w:lang w:val="es-ES_tradnl"/>
        </w:rPr>
        <w:t xml:space="preserve">, </w:t>
      </w:r>
      <w:r w:rsidR="006E1BB9">
        <w:rPr>
          <w:bCs/>
          <w:spacing w:val="-3"/>
          <w:lang w:val="es-ES_tradnl"/>
        </w:rPr>
        <w:t xml:space="preserve">por Resolución </w:t>
      </w:r>
      <w:r>
        <w:rPr>
          <w:bCs/>
          <w:spacing w:val="-3"/>
          <w:lang w:val="es-ES_tradnl"/>
        </w:rPr>
        <w:t>de</w:t>
      </w:r>
      <w:r>
        <w:rPr>
          <w:b/>
          <w:spacing w:val="-3"/>
          <w:lang w:val="es-ES_tradnl"/>
        </w:rPr>
        <w:t xml:space="preserve"> </w:t>
      </w:r>
      <w:r>
        <w:rPr>
          <w:bCs/>
          <w:spacing w:val="-3"/>
          <w:lang w:val="es-ES_tradnl"/>
        </w:rPr>
        <w:t>fecha 18 de junio de 20</w:t>
      </w:r>
      <w:r w:rsidR="00C32FF9">
        <w:rPr>
          <w:bCs/>
          <w:spacing w:val="-3"/>
          <w:lang w:val="es-ES_tradnl"/>
        </w:rPr>
        <w:t>08 en la redacción dada por el A</w:t>
      </w:r>
      <w:r>
        <w:rPr>
          <w:bCs/>
          <w:spacing w:val="-3"/>
          <w:lang w:val="es-ES_tradnl"/>
        </w:rPr>
        <w:t>rtí</w:t>
      </w:r>
      <w:r w:rsidR="006E1BB9">
        <w:rPr>
          <w:bCs/>
          <w:spacing w:val="-3"/>
          <w:lang w:val="es-ES_tradnl"/>
        </w:rPr>
        <w:t>culo 1 de la Resolución</w:t>
      </w:r>
      <w:r>
        <w:rPr>
          <w:bCs/>
          <w:spacing w:val="-3"/>
          <w:lang w:val="es-ES_tradnl"/>
        </w:rPr>
        <w:t xml:space="preserve"> de </w:t>
      </w:r>
      <w:r w:rsidR="006E1BB9">
        <w:rPr>
          <w:bCs/>
          <w:spacing w:val="-3"/>
          <w:lang w:val="es-ES_tradnl"/>
        </w:rPr>
        <w:t xml:space="preserve">23 de diciembre de 2009, </w:t>
      </w:r>
      <w:r>
        <w:rPr>
          <w:bCs/>
          <w:spacing w:val="-3"/>
          <w:lang w:val="es-ES_tradnl"/>
        </w:rPr>
        <w:t>dispuso que los gastos derivados de sentencias y de transacciones homologadas judicialmente que condenen al Estado al pago de una cantidad líquida y exigible, deberán ser sometidos a la intervención preventiva de sus Contadores Delegados, no siendo aplicable a</w:t>
      </w:r>
      <w:r w:rsidR="00156908">
        <w:rPr>
          <w:bCs/>
          <w:spacing w:val="-3"/>
          <w:lang w:val="es-ES_tradnl"/>
        </w:rPr>
        <w:t xml:space="preserve"> dichos gastos lo establecido p</w:t>
      </w:r>
      <w:r>
        <w:rPr>
          <w:bCs/>
          <w:spacing w:val="-3"/>
          <w:lang w:val="es-ES_tradnl"/>
        </w:rPr>
        <w:t>o</w:t>
      </w:r>
      <w:r w:rsidR="00156908">
        <w:rPr>
          <w:bCs/>
          <w:spacing w:val="-3"/>
          <w:lang w:val="es-ES_tradnl"/>
        </w:rPr>
        <w:t>r</w:t>
      </w:r>
      <w:r>
        <w:rPr>
          <w:bCs/>
          <w:spacing w:val="-3"/>
          <w:lang w:val="es-ES_tradnl"/>
        </w:rPr>
        <w:t xml:space="preserve"> l</w:t>
      </w:r>
      <w:r w:rsidR="00156908">
        <w:rPr>
          <w:bCs/>
          <w:spacing w:val="-3"/>
          <w:lang w:val="es-ES_tradnl"/>
        </w:rPr>
        <w:t>a</w:t>
      </w:r>
      <w:r>
        <w:rPr>
          <w:bCs/>
          <w:spacing w:val="-3"/>
          <w:lang w:val="es-ES_tradnl"/>
        </w:rPr>
        <w:t xml:space="preserve"> Ordenanza N° 64, de 2 de marzo de 1998;</w:t>
      </w:r>
    </w:p>
    <w:p w:rsidR="00C32FF9" w:rsidRDefault="006F72DC" w:rsidP="00C32FF9">
      <w:pPr>
        <w:tabs>
          <w:tab w:val="left" w:pos="-720"/>
        </w:tabs>
        <w:suppressAutoHyphens/>
        <w:spacing w:line="360" w:lineRule="auto"/>
        <w:ind w:firstLine="3119"/>
        <w:jc w:val="both"/>
        <w:rPr>
          <w:bCs/>
          <w:spacing w:val="-3"/>
          <w:lang w:val="es-ES_tradnl"/>
        </w:rPr>
      </w:pPr>
      <w:r w:rsidRPr="00C34B48">
        <w:rPr>
          <w:b/>
          <w:bCs/>
          <w:spacing w:val="-3"/>
          <w:lang w:val="es-ES_tradnl"/>
        </w:rPr>
        <w:t xml:space="preserve">3) </w:t>
      </w:r>
      <w:r>
        <w:rPr>
          <w:bCs/>
          <w:spacing w:val="-3"/>
          <w:lang w:val="es-ES_tradnl"/>
        </w:rPr>
        <w:t xml:space="preserve"> </w:t>
      </w:r>
      <w:r w:rsidR="006E1BB9" w:rsidRPr="006E1BB9">
        <w:rPr>
          <w:bCs/>
          <w:spacing w:val="-3"/>
          <w:lang w:val="es-ES_tradnl"/>
        </w:rPr>
        <w:t>que en virtud de lo expuesto, la intervención preventiva del gasto emergente de las transacciones homologadas judicialmente como la remitida en la oportunidad, debe ser realizada por intermedio de los Contadores Delegados de este Tribunal;</w:t>
      </w:r>
    </w:p>
    <w:p w:rsidR="006E1BB9" w:rsidRPr="006E1BB9" w:rsidRDefault="006E1BB9" w:rsidP="00C32FF9">
      <w:pPr>
        <w:tabs>
          <w:tab w:val="left" w:pos="-720"/>
        </w:tabs>
        <w:suppressAutoHyphens/>
        <w:spacing w:line="360" w:lineRule="auto"/>
        <w:ind w:firstLine="3119"/>
        <w:jc w:val="both"/>
        <w:rPr>
          <w:bCs/>
          <w:spacing w:val="-3"/>
          <w:lang w:val="es-ES_tradnl"/>
        </w:rPr>
      </w:pPr>
      <w:r w:rsidRPr="006E1BB9">
        <w:rPr>
          <w:b/>
          <w:bCs/>
          <w:spacing w:val="-3"/>
          <w:lang w:val="es-ES_tradnl"/>
        </w:rPr>
        <w:t>4)</w:t>
      </w:r>
      <w:r w:rsidRPr="006E1BB9">
        <w:rPr>
          <w:bCs/>
          <w:spacing w:val="-3"/>
          <w:lang w:val="es-ES_tradnl"/>
        </w:rPr>
        <w:t xml:space="preserve"> que la transacción remitida no merece objeciones de índole legal y los aspectos que refieren a su oportunidad o conveniencia, constituyen una cuestión de mérito cuya apreciación no encuadra en el ámbito de competencias de este Tribunal;</w:t>
      </w:r>
    </w:p>
    <w:p w:rsidR="006F72DC" w:rsidRDefault="009605AD" w:rsidP="00C32FF9">
      <w:pPr>
        <w:tabs>
          <w:tab w:val="left" w:pos="-720"/>
        </w:tabs>
        <w:suppressAutoHyphens/>
        <w:spacing w:line="360" w:lineRule="auto"/>
        <w:ind w:firstLine="851"/>
        <w:jc w:val="both"/>
        <w:rPr>
          <w:rFonts w:ascii="LiberationSans-Regular" w:hAnsi="LiberationSans-Regular"/>
        </w:rPr>
      </w:pPr>
      <w:r>
        <w:rPr>
          <w:b/>
          <w:spacing w:val="-3"/>
          <w:lang w:val="es-ES_tradnl"/>
        </w:rPr>
        <w:t>ATENTO:</w:t>
      </w:r>
      <w:r>
        <w:rPr>
          <w:spacing w:val="-3"/>
          <w:lang w:val="es-ES_tradnl"/>
        </w:rPr>
        <w:t xml:space="preserve"> </w:t>
      </w:r>
      <w:r>
        <w:rPr>
          <w:rFonts w:ascii="LiberationSans-Regular" w:hAnsi="LiberationSans-Regular"/>
        </w:rPr>
        <w:t xml:space="preserve">a lo precedentemente </w:t>
      </w:r>
      <w:r w:rsidR="00C32FF9">
        <w:rPr>
          <w:rFonts w:ascii="LiberationSans-Regular" w:hAnsi="LiberationSans-Regular"/>
        </w:rPr>
        <w:t>expuesto y a lo que dispone el Artículo 211 L</w:t>
      </w:r>
      <w:r>
        <w:rPr>
          <w:rFonts w:ascii="LiberationSans-Regular" w:hAnsi="LiberationSans-Regular"/>
        </w:rPr>
        <w:t xml:space="preserve">iteral B)  </w:t>
      </w:r>
      <w:r w:rsidR="00967B36">
        <w:rPr>
          <w:rFonts w:ascii="LiberationSans-Regular" w:hAnsi="LiberationSans-Regular"/>
        </w:rPr>
        <w:t>de la Constitución de la República,</w:t>
      </w:r>
    </w:p>
    <w:p w:rsidR="006F72DC" w:rsidRDefault="006F72DC" w:rsidP="00C32FF9">
      <w:pPr>
        <w:pStyle w:val="Ttulo1"/>
        <w:widowControl/>
        <w:tabs>
          <w:tab w:val="clear" w:pos="4218"/>
        </w:tabs>
        <w:suppressAutoHyphens w:val="0"/>
        <w:autoSpaceDE w:val="0"/>
        <w:autoSpaceDN w:val="0"/>
        <w:adjustRightInd w:val="0"/>
        <w:rPr>
          <w:rFonts w:ascii="Arial" w:hAnsi="Arial"/>
          <w:bCs/>
          <w:snapToGrid/>
          <w:spacing w:val="0"/>
          <w:szCs w:val="24"/>
          <w:lang w:val="es-ES"/>
        </w:rPr>
      </w:pPr>
      <w:r>
        <w:rPr>
          <w:rFonts w:ascii="Arial" w:hAnsi="Arial"/>
          <w:bCs/>
          <w:snapToGrid/>
          <w:spacing w:val="0"/>
          <w:szCs w:val="24"/>
          <w:lang w:val="es-ES"/>
        </w:rPr>
        <w:t>EL TRIBUNAL ACUERDA</w:t>
      </w:r>
    </w:p>
    <w:p w:rsidR="006F72DC" w:rsidRDefault="00077130" w:rsidP="00C32FF9">
      <w:pPr>
        <w:pStyle w:val="Textoindependiente2"/>
        <w:numPr>
          <w:ilvl w:val="0"/>
          <w:numId w:val="1"/>
        </w:numPr>
        <w:ind w:left="284" w:hanging="284"/>
        <w:jc w:val="both"/>
      </w:pPr>
      <w:r>
        <w:t>Cometer al Contador  Auditor destacado</w:t>
      </w:r>
      <w:r w:rsidR="004C7D9C">
        <w:t xml:space="preserve"> ante</w:t>
      </w:r>
      <w:r w:rsidR="006F72DC">
        <w:t xml:space="preserve"> el Ministerio de Salud Pública la </w:t>
      </w:r>
      <w:r w:rsidR="004C7D9C">
        <w:t>intervención de la suma de $ 13:</w:t>
      </w:r>
      <w:r w:rsidR="006F72DC">
        <w:t>744.926, previo contro</w:t>
      </w:r>
      <w:r w:rsidR="004C7D9C">
        <w:t>l de su imputación con cargo a G</w:t>
      </w:r>
      <w:r w:rsidR="006F72DC">
        <w:t>rupo adecuado con disponibilidad suficiente;</w:t>
      </w:r>
    </w:p>
    <w:p w:rsidR="006F72DC" w:rsidRDefault="00D96E9B" w:rsidP="00C32FF9">
      <w:pPr>
        <w:pStyle w:val="Textoindependiente2"/>
        <w:numPr>
          <w:ilvl w:val="0"/>
          <w:numId w:val="1"/>
        </w:numPr>
        <w:ind w:left="284" w:hanging="284"/>
        <w:jc w:val="both"/>
      </w:pPr>
      <w:r>
        <w:t>Señalar que en lo sucesivo</w:t>
      </w:r>
      <w:r w:rsidR="006E1BB9">
        <w:t xml:space="preserve"> se deberá  tener </w:t>
      </w:r>
      <w:r w:rsidR="006F72DC" w:rsidRPr="00812D82">
        <w:t xml:space="preserve">presente lo </w:t>
      </w:r>
      <w:r w:rsidR="006E1BB9">
        <w:t>consignado</w:t>
      </w:r>
      <w:r w:rsidR="006F72DC">
        <w:t xml:space="preserve"> </w:t>
      </w:r>
      <w:r w:rsidR="006F72DC" w:rsidRPr="00812D82">
        <w:t>en el Considerando 3)</w:t>
      </w:r>
      <w:r w:rsidR="006F72DC">
        <w:t xml:space="preserve"> de la presente</w:t>
      </w:r>
      <w:r w:rsidR="006E1BB9">
        <w:t xml:space="preserve"> Resolución</w:t>
      </w:r>
      <w:r w:rsidR="006F72DC">
        <w:t>;</w:t>
      </w:r>
    </w:p>
    <w:p w:rsidR="006F72DC" w:rsidRDefault="00077130" w:rsidP="00C32FF9">
      <w:pPr>
        <w:pStyle w:val="Textoindependiente2"/>
        <w:numPr>
          <w:ilvl w:val="0"/>
          <w:numId w:val="1"/>
        </w:numPr>
        <w:ind w:left="284" w:hanging="284"/>
        <w:jc w:val="both"/>
      </w:pPr>
      <w:r>
        <w:lastRenderedPageBreak/>
        <w:t xml:space="preserve"> Comunicar al Contador Auditor destacado</w:t>
      </w:r>
      <w:r w:rsidR="004C7D9C">
        <w:t xml:space="preserve"> ante</w:t>
      </w:r>
      <w:r w:rsidR="006F72DC">
        <w:t xml:space="preserve"> el Ministerio de Salud Pública;</w:t>
      </w:r>
      <w:bookmarkStart w:id="0" w:name="_GoBack"/>
      <w:bookmarkEnd w:id="0"/>
      <w:r w:rsidR="006F72DC">
        <w:t>y</w:t>
      </w:r>
    </w:p>
    <w:p w:rsidR="006F72DC" w:rsidRDefault="006F72DC" w:rsidP="00C32FF9">
      <w:pPr>
        <w:pStyle w:val="Textoindependiente2"/>
        <w:numPr>
          <w:ilvl w:val="0"/>
          <w:numId w:val="1"/>
        </w:numPr>
        <w:ind w:left="284" w:hanging="284"/>
        <w:jc w:val="both"/>
      </w:pPr>
      <w:r>
        <w:t>Devolver las actuaciones.</w:t>
      </w:r>
    </w:p>
    <w:p w:rsidR="004C7D9C" w:rsidRDefault="004C7D9C" w:rsidP="004C7D9C">
      <w:pPr>
        <w:pStyle w:val="Textoindependiente2"/>
        <w:jc w:val="both"/>
      </w:pPr>
    </w:p>
    <w:p w:rsidR="004C7D9C" w:rsidRDefault="004C7D9C" w:rsidP="004C7D9C">
      <w:pPr>
        <w:pStyle w:val="Textoindependiente2"/>
        <w:jc w:val="both"/>
      </w:pPr>
    </w:p>
    <w:p w:rsidR="004C7D9C" w:rsidRDefault="004C7D9C" w:rsidP="004C7D9C">
      <w:pPr>
        <w:pStyle w:val="Textoindependiente2"/>
        <w:jc w:val="both"/>
      </w:pPr>
    </w:p>
    <w:p w:rsidR="004C7D9C" w:rsidRDefault="004C7D9C" w:rsidP="004C7D9C">
      <w:pPr>
        <w:pStyle w:val="Textoindependiente2"/>
        <w:jc w:val="both"/>
      </w:pPr>
    </w:p>
    <w:p w:rsidR="004C7D9C" w:rsidRDefault="004C7D9C" w:rsidP="004C7D9C">
      <w:pPr>
        <w:pStyle w:val="Textoindependiente2"/>
        <w:jc w:val="both"/>
      </w:pPr>
    </w:p>
    <w:p w:rsidR="004C7D9C" w:rsidRDefault="004C7D9C" w:rsidP="004C7D9C">
      <w:pPr>
        <w:pStyle w:val="Textoindependiente2"/>
        <w:jc w:val="both"/>
      </w:pPr>
    </w:p>
    <w:p w:rsidR="004C7D9C" w:rsidRDefault="004C7D9C" w:rsidP="004C7D9C">
      <w:pPr>
        <w:pStyle w:val="Textoindependiente2"/>
        <w:jc w:val="both"/>
      </w:pPr>
    </w:p>
    <w:p w:rsidR="004C7D9C" w:rsidRDefault="004C7D9C" w:rsidP="004C7D9C">
      <w:pPr>
        <w:pStyle w:val="Textoindependiente2"/>
        <w:ind w:hanging="426"/>
        <w:jc w:val="both"/>
      </w:pPr>
      <w:r>
        <w:t>dc</w:t>
      </w:r>
    </w:p>
    <w:sectPr w:rsidR="004C7D9C" w:rsidSect="00077130">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D9C" w:rsidRDefault="004C7D9C" w:rsidP="004C7D9C">
      <w:r>
        <w:separator/>
      </w:r>
    </w:p>
  </w:endnote>
  <w:endnote w:type="continuationSeparator" w:id="0">
    <w:p w:rsidR="004C7D9C" w:rsidRDefault="004C7D9C" w:rsidP="004C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785011"/>
      <w:docPartObj>
        <w:docPartGallery w:val="Page Numbers (Bottom of Page)"/>
        <w:docPartUnique/>
      </w:docPartObj>
    </w:sdtPr>
    <w:sdtEndPr/>
    <w:sdtContent>
      <w:p w:rsidR="004C7D9C" w:rsidRDefault="004C7D9C">
        <w:pPr>
          <w:pStyle w:val="Piedepgina"/>
          <w:jc w:val="center"/>
        </w:pPr>
        <w:r>
          <w:fldChar w:fldCharType="begin"/>
        </w:r>
        <w:r>
          <w:instrText>PAGE   \* MERGEFORMAT</w:instrText>
        </w:r>
        <w:r>
          <w:fldChar w:fldCharType="separate"/>
        </w:r>
        <w:r w:rsidR="00077130">
          <w:rPr>
            <w:noProof/>
          </w:rPr>
          <w:t>3</w:t>
        </w:r>
        <w:r>
          <w:fldChar w:fldCharType="end"/>
        </w:r>
      </w:p>
    </w:sdtContent>
  </w:sdt>
  <w:p w:rsidR="004C7D9C" w:rsidRDefault="004C7D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D9C" w:rsidRDefault="004C7D9C" w:rsidP="004C7D9C">
      <w:r>
        <w:separator/>
      </w:r>
    </w:p>
  </w:footnote>
  <w:footnote w:type="continuationSeparator" w:id="0">
    <w:p w:rsidR="004C7D9C" w:rsidRDefault="004C7D9C" w:rsidP="004C7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D2BF8"/>
    <w:multiLevelType w:val="hybridMultilevel"/>
    <w:tmpl w:val="496C160E"/>
    <w:lvl w:ilvl="0" w:tplc="84AC4C4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DC"/>
    <w:rsid w:val="00077130"/>
    <w:rsid w:val="00156908"/>
    <w:rsid w:val="004C7D9C"/>
    <w:rsid w:val="004F3911"/>
    <w:rsid w:val="00692523"/>
    <w:rsid w:val="006E1BB9"/>
    <w:rsid w:val="006F72DC"/>
    <w:rsid w:val="00794ECB"/>
    <w:rsid w:val="009605AD"/>
    <w:rsid w:val="00967B36"/>
    <w:rsid w:val="00B729F9"/>
    <w:rsid w:val="00C32FF9"/>
    <w:rsid w:val="00C94921"/>
    <w:rsid w:val="00CE743A"/>
    <w:rsid w:val="00D878BF"/>
    <w:rsid w:val="00D96E9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2DC"/>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6F72DC"/>
    <w:pPr>
      <w:keepNext/>
      <w:widowControl w:val="0"/>
      <w:tabs>
        <w:tab w:val="center" w:pos="4218"/>
      </w:tabs>
      <w:suppressAutoHyphens/>
      <w:spacing w:line="360" w:lineRule="auto"/>
      <w:jc w:val="center"/>
      <w:outlineLvl w:val="0"/>
    </w:pPr>
    <w:rPr>
      <w:rFonts w:ascii="Bookman Old Style" w:hAnsi="Bookman Old Style"/>
      <w:b/>
      <w:snapToGrid w:val="0"/>
      <w:spacing w:val="-3"/>
      <w:szCs w:val="20"/>
      <w:lang w:val="es-ES_tradnl"/>
    </w:rPr>
  </w:style>
  <w:style w:type="paragraph" w:styleId="Ttulo2">
    <w:name w:val="heading 2"/>
    <w:basedOn w:val="Normal"/>
    <w:next w:val="Normal"/>
    <w:link w:val="Ttulo2Car"/>
    <w:qFormat/>
    <w:rsid w:val="006F72DC"/>
    <w:pPr>
      <w:keepNext/>
      <w:suppressAutoHyphens/>
      <w:spacing w:line="360" w:lineRule="auto"/>
      <w:jc w:val="both"/>
      <w:outlineLvl w:val="1"/>
    </w:pPr>
    <w:rPr>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72DC"/>
    <w:rPr>
      <w:rFonts w:ascii="Bookman Old Style" w:eastAsia="Times New Roman" w:hAnsi="Bookman Old Style" w:cs="Times New Roman"/>
      <w:b/>
      <w:snapToGrid w:val="0"/>
      <w:spacing w:val="-3"/>
      <w:sz w:val="24"/>
      <w:szCs w:val="20"/>
      <w:lang w:val="es-ES_tradnl" w:eastAsia="es-ES"/>
    </w:rPr>
  </w:style>
  <w:style w:type="character" w:customStyle="1" w:styleId="Ttulo2Car">
    <w:name w:val="Título 2 Car"/>
    <w:basedOn w:val="Fuentedeprrafopredeter"/>
    <w:link w:val="Ttulo2"/>
    <w:rsid w:val="006F72DC"/>
    <w:rPr>
      <w:rFonts w:ascii="Arial" w:eastAsia="Times New Roman" w:hAnsi="Arial" w:cs="Times New Roman"/>
      <w:b/>
      <w:spacing w:val="-3"/>
      <w:sz w:val="24"/>
      <w:szCs w:val="24"/>
      <w:lang w:val="es-ES_tradnl" w:eastAsia="es-ES"/>
    </w:rPr>
  </w:style>
  <w:style w:type="paragraph" w:styleId="Textoindependiente2">
    <w:name w:val="Body Text 2"/>
    <w:basedOn w:val="Normal"/>
    <w:link w:val="Textoindependiente2Car"/>
    <w:semiHidden/>
    <w:rsid w:val="006F72DC"/>
    <w:pPr>
      <w:tabs>
        <w:tab w:val="left" w:pos="-720"/>
      </w:tabs>
      <w:suppressAutoHyphens/>
      <w:spacing w:line="360" w:lineRule="auto"/>
      <w:jc w:val="right"/>
    </w:pPr>
    <w:rPr>
      <w:spacing w:val="-3"/>
      <w:lang w:val="es-ES_tradnl"/>
    </w:rPr>
  </w:style>
  <w:style w:type="character" w:customStyle="1" w:styleId="Textoindependiente2Car">
    <w:name w:val="Texto independiente 2 Car"/>
    <w:basedOn w:val="Fuentedeprrafopredeter"/>
    <w:link w:val="Textoindependiente2"/>
    <w:semiHidden/>
    <w:rsid w:val="006F72DC"/>
    <w:rPr>
      <w:rFonts w:ascii="Arial" w:eastAsia="Times New Roman" w:hAnsi="Arial" w:cs="Times New Roman"/>
      <w:spacing w:val="-3"/>
      <w:sz w:val="24"/>
      <w:szCs w:val="24"/>
      <w:lang w:val="es-ES_tradnl" w:eastAsia="es-ES"/>
    </w:rPr>
  </w:style>
  <w:style w:type="paragraph" w:styleId="Encabezado">
    <w:name w:val="header"/>
    <w:basedOn w:val="Normal"/>
    <w:link w:val="EncabezadoCar"/>
    <w:uiPriority w:val="99"/>
    <w:unhideWhenUsed/>
    <w:rsid w:val="004C7D9C"/>
    <w:pPr>
      <w:tabs>
        <w:tab w:val="center" w:pos="4252"/>
        <w:tab w:val="right" w:pos="8504"/>
      </w:tabs>
    </w:pPr>
  </w:style>
  <w:style w:type="character" w:customStyle="1" w:styleId="EncabezadoCar">
    <w:name w:val="Encabezado Car"/>
    <w:basedOn w:val="Fuentedeprrafopredeter"/>
    <w:link w:val="Encabezado"/>
    <w:uiPriority w:val="99"/>
    <w:rsid w:val="004C7D9C"/>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4C7D9C"/>
    <w:pPr>
      <w:tabs>
        <w:tab w:val="center" w:pos="4252"/>
        <w:tab w:val="right" w:pos="8504"/>
      </w:tabs>
    </w:pPr>
  </w:style>
  <w:style w:type="character" w:customStyle="1" w:styleId="PiedepginaCar">
    <w:name w:val="Pie de página Car"/>
    <w:basedOn w:val="Fuentedeprrafopredeter"/>
    <w:link w:val="Piedepgina"/>
    <w:uiPriority w:val="99"/>
    <w:rsid w:val="004C7D9C"/>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D878BF"/>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8BF"/>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2DC"/>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6F72DC"/>
    <w:pPr>
      <w:keepNext/>
      <w:widowControl w:val="0"/>
      <w:tabs>
        <w:tab w:val="center" w:pos="4218"/>
      </w:tabs>
      <w:suppressAutoHyphens/>
      <w:spacing w:line="360" w:lineRule="auto"/>
      <w:jc w:val="center"/>
      <w:outlineLvl w:val="0"/>
    </w:pPr>
    <w:rPr>
      <w:rFonts w:ascii="Bookman Old Style" w:hAnsi="Bookman Old Style"/>
      <w:b/>
      <w:snapToGrid w:val="0"/>
      <w:spacing w:val="-3"/>
      <w:szCs w:val="20"/>
      <w:lang w:val="es-ES_tradnl"/>
    </w:rPr>
  </w:style>
  <w:style w:type="paragraph" w:styleId="Ttulo2">
    <w:name w:val="heading 2"/>
    <w:basedOn w:val="Normal"/>
    <w:next w:val="Normal"/>
    <w:link w:val="Ttulo2Car"/>
    <w:qFormat/>
    <w:rsid w:val="006F72DC"/>
    <w:pPr>
      <w:keepNext/>
      <w:suppressAutoHyphens/>
      <w:spacing w:line="360" w:lineRule="auto"/>
      <w:jc w:val="both"/>
      <w:outlineLvl w:val="1"/>
    </w:pPr>
    <w:rPr>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72DC"/>
    <w:rPr>
      <w:rFonts w:ascii="Bookman Old Style" w:eastAsia="Times New Roman" w:hAnsi="Bookman Old Style" w:cs="Times New Roman"/>
      <w:b/>
      <w:snapToGrid w:val="0"/>
      <w:spacing w:val="-3"/>
      <w:sz w:val="24"/>
      <w:szCs w:val="20"/>
      <w:lang w:val="es-ES_tradnl" w:eastAsia="es-ES"/>
    </w:rPr>
  </w:style>
  <w:style w:type="character" w:customStyle="1" w:styleId="Ttulo2Car">
    <w:name w:val="Título 2 Car"/>
    <w:basedOn w:val="Fuentedeprrafopredeter"/>
    <w:link w:val="Ttulo2"/>
    <w:rsid w:val="006F72DC"/>
    <w:rPr>
      <w:rFonts w:ascii="Arial" w:eastAsia="Times New Roman" w:hAnsi="Arial" w:cs="Times New Roman"/>
      <w:b/>
      <w:spacing w:val="-3"/>
      <w:sz w:val="24"/>
      <w:szCs w:val="24"/>
      <w:lang w:val="es-ES_tradnl" w:eastAsia="es-ES"/>
    </w:rPr>
  </w:style>
  <w:style w:type="paragraph" w:styleId="Textoindependiente2">
    <w:name w:val="Body Text 2"/>
    <w:basedOn w:val="Normal"/>
    <w:link w:val="Textoindependiente2Car"/>
    <w:semiHidden/>
    <w:rsid w:val="006F72DC"/>
    <w:pPr>
      <w:tabs>
        <w:tab w:val="left" w:pos="-720"/>
      </w:tabs>
      <w:suppressAutoHyphens/>
      <w:spacing w:line="360" w:lineRule="auto"/>
      <w:jc w:val="right"/>
    </w:pPr>
    <w:rPr>
      <w:spacing w:val="-3"/>
      <w:lang w:val="es-ES_tradnl"/>
    </w:rPr>
  </w:style>
  <w:style w:type="character" w:customStyle="1" w:styleId="Textoindependiente2Car">
    <w:name w:val="Texto independiente 2 Car"/>
    <w:basedOn w:val="Fuentedeprrafopredeter"/>
    <w:link w:val="Textoindependiente2"/>
    <w:semiHidden/>
    <w:rsid w:val="006F72DC"/>
    <w:rPr>
      <w:rFonts w:ascii="Arial" w:eastAsia="Times New Roman" w:hAnsi="Arial" w:cs="Times New Roman"/>
      <w:spacing w:val="-3"/>
      <w:sz w:val="24"/>
      <w:szCs w:val="24"/>
      <w:lang w:val="es-ES_tradnl" w:eastAsia="es-ES"/>
    </w:rPr>
  </w:style>
  <w:style w:type="paragraph" w:styleId="Encabezado">
    <w:name w:val="header"/>
    <w:basedOn w:val="Normal"/>
    <w:link w:val="EncabezadoCar"/>
    <w:uiPriority w:val="99"/>
    <w:unhideWhenUsed/>
    <w:rsid w:val="004C7D9C"/>
    <w:pPr>
      <w:tabs>
        <w:tab w:val="center" w:pos="4252"/>
        <w:tab w:val="right" w:pos="8504"/>
      </w:tabs>
    </w:pPr>
  </w:style>
  <w:style w:type="character" w:customStyle="1" w:styleId="EncabezadoCar">
    <w:name w:val="Encabezado Car"/>
    <w:basedOn w:val="Fuentedeprrafopredeter"/>
    <w:link w:val="Encabezado"/>
    <w:uiPriority w:val="99"/>
    <w:rsid w:val="004C7D9C"/>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4C7D9C"/>
    <w:pPr>
      <w:tabs>
        <w:tab w:val="center" w:pos="4252"/>
        <w:tab w:val="right" w:pos="8504"/>
      </w:tabs>
    </w:pPr>
  </w:style>
  <w:style w:type="character" w:customStyle="1" w:styleId="PiedepginaCar">
    <w:name w:val="Pie de página Car"/>
    <w:basedOn w:val="Fuentedeprrafopredeter"/>
    <w:link w:val="Piedepgina"/>
    <w:uiPriority w:val="99"/>
    <w:rsid w:val="004C7D9C"/>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D878BF"/>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8B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524</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Equipo Nuevo</dc:creator>
  <cp:lastModifiedBy>tribunal1</cp:lastModifiedBy>
  <cp:revision>7</cp:revision>
  <cp:lastPrinted>2019-07-16T16:27:00Z</cp:lastPrinted>
  <dcterms:created xsi:type="dcterms:W3CDTF">2019-07-15T16:23:00Z</dcterms:created>
  <dcterms:modified xsi:type="dcterms:W3CDTF">2019-07-16T16:27:00Z</dcterms:modified>
</cp:coreProperties>
</file>