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2D" w:rsidRPr="00786EEB" w:rsidRDefault="0077072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1711/19</w:t>
      </w:r>
    </w:p>
    <w:p w:rsidR="0077072D" w:rsidRDefault="0077072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7072D" w:rsidRPr="0077072D" w:rsidRDefault="0077072D" w:rsidP="007707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7072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7072D" w:rsidRPr="0077072D" w:rsidRDefault="0077072D" w:rsidP="0077072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7072D" w:rsidRPr="0077072D" w:rsidRDefault="0077072D" w:rsidP="007707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7072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7072D" w:rsidRPr="0077072D" w:rsidRDefault="0077072D" w:rsidP="0077072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7072D" w:rsidRPr="0077072D" w:rsidRDefault="0077072D" w:rsidP="007707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7072D">
        <w:rPr>
          <w:rFonts w:ascii="Arial" w:hAnsi="Arial" w:cs="Arial"/>
          <w:b/>
          <w:sz w:val="24"/>
          <w:szCs w:val="24"/>
          <w:lang w:val="es-ES_tradnl"/>
        </w:rPr>
        <w:t xml:space="preserve">EN SESION DE FECHA 17 DE JULIO </w:t>
      </w:r>
      <w:r w:rsidRPr="0077072D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77072D" w:rsidRPr="0077072D" w:rsidRDefault="0077072D" w:rsidP="007707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7072D" w:rsidRPr="00535147" w:rsidRDefault="0077072D" w:rsidP="0077072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35147">
        <w:rPr>
          <w:rFonts w:ascii="Arial" w:hAnsi="Arial" w:cs="Arial"/>
          <w:b/>
          <w:sz w:val="24"/>
          <w:szCs w:val="24"/>
          <w:lang w:val="es-UY"/>
        </w:rPr>
        <w:t xml:space="preserve">(E. E. Nº 2019-17-1-0002901, </w:t>
      </w:r>
      <w:proofErr w:type="spellStart"/>
      <w:r w:rsidRPr="00535147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35147">
        <w:rPr>
          <w:rFonts w:ascii="Arial" w:hAnsi="Arial" w:cs="Arial"/>
          <w:b/>
          <w:sz w:val="24"/>
          <w:szCs w:val="24"/>
          <w:lang w:val="es-UY"/>
        </w:rPr>
        <w:t>. N° 2272/19)</w:t>
      </w:r>
    </w:p>
    <w:p w:rsidR="00136F01" w:rsidRPr="00136F01" w:rsidRDefault="00136F01" w:rsidP="00136F01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77072D" w:rsidRDefault="00136F01" w:rsidP="0077072D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136F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VISTO:</w:t>
      </w:r>
      <w:r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la </w:t>
      </w:r>
      <w:r w:rsidR="009534BA">
        <w:rPr>
          <w:rFonts w:ascii="Arial" w:eastAsia="Times New Roman" w:hAnsi="Arial" w:cs="Times New Roman"/>
          <w:sz w:val="24"/>
          <w:szCs w:val="24"/>
          <w:lang w:val="es-MX" w:eastAsia="es-ES"/>
        </w:rPr>
        <w:t>N</w:t>
      </w:r>
      <w:r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ota remitida por </w:t>
      </w:r>
      <w:r w:rsidRPr="00136F01">
        <w:rPr>
          <w:rFonts w:ascii="Arial" w:eastAsia="Times New Roman" w:hAnsi="Arial" w:cs="Times New Roman"/>
          <w:sz w:val="24"/>
          <w:szCs w:val="24"/>
          <w:lang w:eastAsia="es-ES"/>
        </w:rPr>
        <w:t>la Dirección General de Casinos - Ministerio de Economía y Finanzas de fecha 1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7</w:t>
      </w:r>
      <w:r w:rsidRPr="00136F01">
        <w:rPr>
          <w:rFonts w:ascii="Arial" w:eastAsia="Times New Roman" w:hAnsi="Arial" w:cs="Times New Roman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junio</w:t>
      </w:r>
      <w:r w:rsidRPr="00136F01">
        <w:rPr>
          <w:rFonts w:ascii="Arial" w:eastAsia="Times New Roman" w:hAnsi="Arial" w:cs="Times New Roman"/>
          <w:sz w:val="24"/>
          <w:szCs w:val="24"/>
          <w:lang w:eastAsia="es-ES"/>
        </w:rPr>
        <w:t xml:space="preserve"> de 2019, referente al cumplimiento de lo establecido en la Ordenanza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Nº </w:t>
      </w:r>
      <w:r w:rsidRPr="00136F01">
        <w:rPr>
          <w:rFonts w:ascii="Arial" w:eastAsia="Times New Roman" w:hAnsi="Arial" w:cs="Times New Roman"/>
          <w:sz w:val="24"/>
          <w:szCs w:val="24"/>
          <w:lang w:eastAsia="es-ES"/>
        </w:rPr>
        <w:t>77 del Tribunal de Cuentas</w:t>
      </w:r>
      <w:r w:rsidRPr="0077072D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77072D" w:rsidRDefault="0077072D" w:rsidP="0077072D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RESULTANDO: </w:t>
      </w:r>
      <w:r w:rsidR="00136F01" w:rsidRPr="00136F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1) </w:t>
      </w:r>
      <w:r w:rsidR="00136F01"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por dicha </w:t>
      </w:r>
      <w:r w:rsidR="009534BA">
        <w:rPr>
          <w:rFonts w:ascii="Arial" w:eastAsia="Times New Roman" w:hAnsi="Arial" w:cs="Times New Roman"/>
          <w:sz w:val="24"/>
          <w:szCs w:val="24"/>
          <w:lang w:val="es-MX" w:eastAsia="es-ES"/>
        </w:rPr>
        <w:t>N</w:t>
      </w:r>
      <w:r w:rsidR="00136F01"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ota se pone en conocimiento de este Tribunal, el detalle de las partidas otorgadas a distintos beneficiarios entre el </w:t>
      </w:r>
      <w:r w:rsidR="00136F01" w:rsidRPr="00136F01">
        <w:rPr>
          <w:rFonts w:ascii="Arial" w:eastAsia="Times New Roman" w:hAnsi="Arial" w:cs="Times New Roman"/>
          <w:sz w:val="24"/>
          <w:szCs w:val="24"/>
          <w:lang w:eastAsia="es-ES"/>
        </w:rPr>
        <w:t>1</w:t>
      </w:r>
      <w:r w:rsidR="009534BA">
        <w:rPr>
          <w:rFonts w:ascii="Arial" w:eastAsia="Times New Roman" w:hAnsi="Arial" w:cs="Times New Roman"/>
          <w:sz w:val="24"/>
          <w:szCs w:val="24"/>
          <w:lang w:eastAsia="es-ES"/>
        </w:rPr>
        <w:t>/10/18</w:t>
      </w:r>
      <w:r w:rsidR="00136F01" w:rsidRPr="00136F01">
        <w:rPr>
          <w:rFonts w:ascii="Arial" w:eastAsia="Times New Roman" w:hAnsi="Arial" w:cs="Times New Roman"/>
          <w:sz w:val="24"/>
          <w:szCs w:val="24"/>
          <w:lang w:eastAsia="es-ES"/>
        </w:rPr>
        <w:t xml:space="preserve"> y el 3</w:t>
      </w:r>
      <w:r w:rsidR="009534BA">
        <w:rPr>
          <w:rFonts w:ascii="Arial" w:eastAsia="Times New Roman" w:hAnsi="Arial" w:cs="Times New Roman"/>
          <w:sz w:val="24"/>
          <w:szCs w:val="24"/>
          <w:lang w:eastAsia="es-ES"/>
        </w:rPr>
        <w:t>1/03/19</w:t>
      </w:r>
      <w:r w:rsidR="00136F01"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CD4788" w:rsidRDefault="00A53DB4" w:rsidP="00535147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="00CD4788" w:rsidRPr="00CD478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="00CD4788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="00CD4788" w:rsidRPr="00CD4788">
        <w:rPr>
          <w:rFonts w:ascii="Arial" w:eastAsia="Times New Roman" w:hAnsi="Arial" w:cs="Times New Roman"/>
          <w:sz w:val="24"/>
          <w:szCs w:val="24"/>
          <w:lang w:val="es-MX" w:eastAsia="es-ES"/>
        </w:rPr>
        <w:t>que</w:t>
      </w:r>
      <w:r w:rsidR="00CD4788" w:rsidRPr="00CD4788">
        <w:rPr>
          <w:rFonts w:ascii="Arial" w:eastAsia="Times New Roman" w:hAnsi="Arial" w:cs="Times New Roman"/>
          <w:sz w:val="24"/>
          <w:szCs w:val="24"/>
          <w:lang w:eastAsia="es-ES"/>
        </w:rPr>
        <w:t xml:space="preserve"> de las partidas mencionadas, la que no se </w:t>
      </w:r>
      <w:r w:rsidR="008A2AB1">
        <w:rPr>
          <w:rFonts w:ascii="Arial" w:eastAsia="Times New Roman" w:hAnsi="Arial" w:cs="Times New Roman"/>
          <w:sz w:val="24"/>
          <w:szCs w:val="24"/>
          <w:lang w:eastAsia="es-ES"/>
        </w:rPr>
        <w:t>rindió</w:t>
      </w:r>
      <w:r w:rsidR="00CD4788" w:rsidRPr="00CD4788">
        <w:rPr>
          <w:rFonts w:ascii="Arial" w:eastAsia="Times New Roman" w:hAnsi="Arial" w:cs="Times New Roman"/>
          <w:sz w:val="24"/>
          <w:szCs w:val="24"/>
          <w:lang w:eastAsia="es-ES"/>
        </w:rPr>
        <w:t xml:space="preserve"> en el plazo de 60 días desde el último día del mes en que se otorgaron los fondos, </w:t>
      </w:r>
      <w:r w:rsidR="008A2AB1">
        <w:rPr>
          <w:rFonts w:ascii="Arial" w:eastAsia="Times New Roman" w:hAnsi="Arial" w:cs="Times New Roman"/>
          <w:sz w:val="24"/>
          <w:szCs w:val="24"/>
          <w:lang w:eastAsia="es-ES"/>
        </w:rPr>
        <w:t>es</w:t>
      </w:r>
      <w:r w:rsidR="00CD4788" w:rsidRPr="00CD4788">
        <w:rPr>
          <w:rFonts w:ascii="Arial" w:eastAsia="Times New Roman" w:hAnsi="Arial" w:cs="Times New Roman"/>
          <w:sz w:val="24"/>
          <w:szCs w:val="24"/>
          <w:lang w:eastAsia="es-ES"/>
        </w:rPr>
        <w:t xml:space="preserve"> la siguiente:</w:t>
      </w:r>
    </w:p>
    <w:p w:rsidR="00535147" w:rsidRDefault="00535147" w:rsidP="00535147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tbl>
      <w:tblPr>
        <w:tblW w:w="83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701"/>
        <w:gridCol w:w="1275"/>
        <w:gridCol w:w="2552"/>
        <w:gridCol w:w="1276"/>
      </w:tblGrid>
      <w:tr w:rsidR="00CD4788" w:rsidRPr="00CD4788" w:rsidTr="00CD4788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788" w:rsidRPr="00CD4788" w:rsidRDefault="00CD4788" w:rsidP="00CD4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ORGANISMO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788" w:rsidRPr="00CD4788" w:rsidRDefault="00CD4788" w:rsidP="00CD4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MONTO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788" w:rsidRPr="00CD4788" w:rsidRDefault="00CD4788" w:rsidP="00CD4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788" w:rsidRPr="00CD4788" w:rsidRDefault="00CD4788" w:rsidP="00CD4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OBJETO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788" w:rsidRPr="00CD4788" w:rsidRDefault="00CD4788" w:rsidP="00CD4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PRIMERA</w:t>
            </w:r>
          </w:p>
        </w:tc>
      </w:tr>
      <w:tr w:rsidR="00CD4788" w:rsidRPr="00CD4788" w:rsidTr="00CD478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788" w:rsidRPr="00CD4788" w:rsidRDefault="00CD4788" w:rsidP="00CD4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788" w:rsidRPr="00CD4788" w:rsidRDefault="00CD4788" w:rsidP="00CD4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$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788" w:rsidRPr="00CD4788" w:rsidRDefault="00CD4788" w:rsidP="00CD4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PAGO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788" w:rsidRPr="00CD4788" w:rsidRDefault="00CD4788" w:rsidP="00CD4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788" w:rsidRPr="00CD4788" w:rsidRDefault="00CD4788" w:rsidP="00CD4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47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RENDICIÓN</w:t>
            </w:r>
          </w:p>
        </w:tc>
      </w:tr>
      <w:tr w:rsidR="001079D6" w:rsidRPr="00CD4788" w:rsidTr="00CD4788">
        <w:trPr>
          <w:trHeight w:val="255"/>
        </w:trPr>
        <w:tc>
          <w:tcPr>
            <w:tcW w:w="1575" w:type="dxa"/>
            <w:shd w:val="clear" w:color="auto" w:fill="auto"/>
          </w:tcPr>
          <w:p w:rsidR="001079D6" w:rsidRDefault="001079D6" w:rsidP="00CD478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Comité Olímpico Uruguayo</w:t>
            </w:r>
          </w:p>
        </w:tc>
        <w:tc>
          <w:tcPr>
            <w:tcW w:w="1701" w:type="dxa"/>
            <w:shd w:val="clear" w:color="auto" w:fill="auto"/>
            <w:noWrap/>
          </w:tcPr>
          <w:p w:rsidR="001079D6" w:rsidRPr="00CD4788" w:rsidRDefault="001079D6" w:rsidP="003B34F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4:920.480</w:t>
            </w:r>
          </w:p>
        </w:tc>
        <w:tc>
          <w:tcPr>
            <w:tcW w:w="1275" w:type="dxa"/>
            <w:shd w:val="clear" w:color="auto" w:fill="auto"/>
          </w:tcPr>
          <w:p w:rsidR="001079D6" w:rsidRDefault="001079D6" w:rsidP="00CD478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04-09-18</w:t>
            </w:r>
          </w:p>
        </w:tc>
        <w:tc>
          <w:tcPr>
            <w:tcW w:w="2552" w:type="dxa"/>
            <w:shd w:val="clear" w:color="auto" w:fill="auto"/>
            <w:noWrap/>
          </w:tcPr>
          <w:p w:rsidR="001079D6" w:rsidRDefault="001079D6" w:rsidP="00CD478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Convenio DGC-Min Turismo</w:t>
            </w:r>
          </w:p>
        </w:tc>
        <w:tc>
          <w:tcPr>
            <w:tcW w:w="1276" w:type="dxa"/>
            <w:shd w:val="clear" w:color="auto" w:fill="auto"/>
            <w:noWrap/>
          </w:tcPr>
          <w:p w:rsidR="001079D6" w:rsidRDefault="001079D6" w:rsidP="00CD478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30-04-19</w:t>
            </w:r>
          </w:p>
        </w:tc>
      </w:tr>
    </w:tbl>
    <w:p w:rsidR="00CD4788" w:rsidRPr="00CD4788" w:rsidRDefault="00CD4788" w:rsidP="00CD4788">
      <w:pPr>
        <w:spacing w:after="0" w:line="360" w:lineRule="auto"/>
        <w:ind w:firstLine="2127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136F01" w:rsidRDefault="00535147" w:rsidP="00535147">
      <w:pPr>
        <w:tabs>
          <w:tab w:val="num" w:pos="840"/>
        </w:tabs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="00CD4788" w:rsidRPr="0077072D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3</w:t>
      </w:r>
      <w:r w:rsidR="00136F01" w:rsidRPr="0077072D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)</w:t>
      </w:r>
      <w:r w:rsidR="00136F01" w:rsidRPr="00054F56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136F01"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>que se informa la existenc</w:t>
      </w:r>
      <w:r w:rsidR="0077072D">
        <w:rPr>
          <w:rFonts w:ascii="Arial" w:eastAsia="Times New Roman" w:hAnsi="Arial" w:cs="Times New Roman"/>
          <w:sz w:val="24"/>
          <w:szCs w:val="24"/>
          <w:lang w:val="es-MX" w:eastAsia="es-ES"/>
        </w:rPr>
        <w:t>ia de partidas otorgadas en el E</w:t>
      </w:r>
      <w:r w:rsidR="00136F01"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>jercicio 2017, pendientes de rendición de cuentas, que totalizan $</w:t>
      </w:r>
      <w:r w:rsidR="00054F56" w:rsidRPr="00054F56">
        <w:rPr>
          <w:rFonts w:ascii="Arial" w:eastAsia="Times New Roman" w:hAnsi="Arial" w:cs="Times New Roman"/>
          <w:sz w:val="24"/>
          <w:szCs w:val="24"/>
          <w:lang w:val="es-MX" w:eastAsia="es-ES"/>
        </w:rPr>
        <w:t>3</w:t>
      </w:r>
      <w:r w:rsidR="002A7B19" w:rsidRPr="002A7B19">
        <w:rPr>
          <w:rFonts w:ascii="Arial" w:eastAsia="Times New Roman" w:hAnsi="Arial" w:cs="Times New Roman"/>
          <w:sz w:val="24"/>
          <w:szCs w:val="24"/>
          <w:lang w:val="es-MX" w:eastAsia="es-ES"/>
        </w:rPr>
        <w:t>3</w:t>
      </w:r>
      <w:r w:rsidR="002A7B19">
        <w:rPr>
          <w:rFonts w:ascii="Arial" w:eastAsia="Times New Roman" w:hAnsi="Arial" w:cs="Times New Roman"/>
          <w:sz w:val="24"/>
          <w:szCs w:val="24"/>
          <w:lang w:val="es-MX" w:eastAsia="es-ES"/>
        </w:rPr>
        <w:t>:</w:t>
      </w:r>
      <w:r w:rsidR="002A7B19" w:rsidRPr="002A7B19">
        <w:rPr>
          <w:rFonts w:ascii="Arial" w:eastAsia="Times New Roman" w:hAnsi="Arial" w:cs="Times New Roman"/>
          <w:sz w:val="24"/>
          <w:szCs w:val="24"/>
          <w:lang w:val="es-MX" w:eastAsia="es-ES"/>
        </w:rPr>
        <w:t>265</w:t>
      </w:r>
      <w:r w:rsidR="002A7B19">
        <w:rPr>
          <w:rFonts w:ascii="Arial" w:eastAsia="Times New Roman" w:hAnsi="Arial" w:cs="Times New Roman"/>
          <w:sz w:val="24"/>
          <w:szCs w:val="24"/>
          <w:lang w:val="es-MX" w:eastAsia="es-ES"/>
        </w:rPr>
        <w:t>.</w:t>
      </w:r>
      <w:r w:rsidR="002A7B19" w:rsidRPr="002A7B19">
        <w:rPr>
          <w:rFonts w:ascii="Arial" w:eastAsia="Times New Roman" w:hAnsi="Arial" w:cs="Times New Roman"/>
          <w:sz w:val="24"/>
          <w:szCs w:val="24"/>
          <w:lang w:val="es-MX" w:eastAsia="es-ES"/>
        </w:rPr>
        <w:t>211</w:t>
      </w:r>
      <w:r w:rsidR="00136F01"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>al 31/03/201</w:t>
      </w:r>
      <w:r w:rsidR="00CD4788">
        <w:rPr>
          <w:rFonts w:ascii="Arial" w:eastAsia="Times New Roman" w:hAnsi="Arial" w:cs="Times New Roman"/>
          <w:sz w:val="24"/>
          <w:szCs w:val="24"/>
          <w:lang w:val="es-MX" w:eastAsia="es-ES"/>
        </w:rPr>
        <w:t>9</w:t>
      </w:r>
      <w:r w:rsidR="00136F01"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77072D" w:rsidRDefault="00136F01" w:rsidP="0077072D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136F01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lastRenderedPageBreak/>
        <w:t>CONSIDERANDO: 1)</w:t>
      </w:r>
      <w:r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se ha dado cumplim</w:t>
      </w:r>
      <w:r w:rsidR="0077072D">
        <w:rPr>
          <w:rFonts w:ascii="Arial" w:eastAsia="Times New Roman" w:hAnsi="Arial" w:cs="Times New Roman"/>
          <w:sz w:val="24"/>
          <w:szCs w:val="24"/>
          <w:lang w:val="es-MX" w:eastAsia="es-ES"/>
        </w:rPr>
        <w:t>iento con lo establecido en el A</w:t>
      </w:r>
      <w:r w:rsidRPr="00136F01">
        <w:rPr>
          <w:rFonts w:ascii="Arial" w:eastAsia="Times New Roman" w:hAnsi="Arial" w:cs="Times New Roman"/>
          <w:sz w:val="24"/>
          <w:szCs w:val="24"/>
          <w:lang w:val="es-MX" w:eastAsia="es-ES"/>
        </w:rPr>
        <w:t>rtículo 9 de la Ordenanza N° 77;</w:t>
      </w:r>
    </w:p>
    <w:p w:rsidR="0077072D" w:rsidRDefault="00136F01" w:rsidP="00535147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6C684F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</w:t>
      </w:r>
      <w:r w:rsidRPr="0077072D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) </w:t>
      </w:r>
      <w:r w:rsidRPr="006C684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</w:t>
      </w:r>
      <w:r w:rsidR="00790990">
        <w:rPr>
          <w:rFonts w:ascii="Arial" w:eastAsia="Times New Roman" w:hAnsi="Arial" w:cs="Times New Roman"/>
          <w:sz w:val="24"/>
          <w:szCs w:val="24"/>
          <w:lang w:val="es-MX" w:eastAsia="es-ES"/>
        </w:rPr>
        <w:t>e</w:t>
      </w:r>
      <w:r w:rsidRPr="006C684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l </w:t>
      </w:r>
      <w:r w:rsidR="00031E75" w:rsidRPr="006C684F">
        <w:rPr>
          <w:rFonts w:ascii="Arial" w:eastAsia="Times New Roman" w:hAnsi="Arial" w:cs="Times New Roman"/>
          <w:sz w:val="24"/>
          <w:szCs w:val="24"/>
          <w:lang w:val="es-MX" w:eastAsia="es-ES"/>
        </w:rPr>
        <w:t>Organismo</w:t>
      </w:r>
      <w:r w:rsidRPr="006C684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receptor de la partida</w:t>
      </w:r>
      <w:r w:rsidR="00031E75" w:rsidRPr="006C684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 que refiere el Resultando 2), no</w:t>
      </w:r>
      <w:r w:rsidRPr="006C684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790990">
        <w:rPr>
          <w:rFonts w:ascii="Arial" w:eastAsia="Times New Roman" w:hAnsi="Arial" w:cs="Times New Roman"/>
          <w:sz w:val="24"/>
          <w:szCs w:val="24"/>
          <w:lang w:val="es-MX" w:eastAsia="es-ES"/>
        </w:rPr>
        <w:t>cumplió</w:t>
      </w:r>
      <w:r w:rsidR="0077072D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con lo establecido en el A</w:t>
      </w:r>
      <w:r w:rsidRPr="006C684F">
        <w:rPr>
          <w:rFonts w:ascii="Arial" w:eastAsia="Times New Roman" w:hAnsi="Arial" w:cs="Times New Roman"/>
          <w:sz w:val="24"/>
          <w:szCs w:val="24"/>
          <w:lang w:val="es-MX" w:eastAsia="es-ES"/>
        </w:rPr>
        <w:t>rt</w:t>
      </w:r>
      <w:r w:rsidR="0077072D">
        <w:rPr>
          <w:rFonts w:ascii="Arial" w:eastAsia="Times New Roman" w:hAnsi="Arial" w:cs="Times New Roman"/>
          <w:sz w:val="24"/>
          <w:szCs w:val="24"/>
          <w:lang w:val="es-MX" w:eastAsia="es-ES"/>
        </w:rPr>
        <w:t>ículo</w:t>
      </w:r>
      <w:r w:rsidRPr="006C684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132 del TOCAF;</w:t>
      </w:r>
    </w:p>
    <w:p w:rsidR="0077072D" w:rsidRDefault="00031E75" w:rsidP="00535147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031E75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3)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77072D">
        <w:rPr>
          <w:rFonts w:ascii="Arial" w:eastAsia="Times New Roman" w:hAnsi="Arial" w:cs="Times New Roman"/>
          <w:sz w:val="24"/>
          <w:szCs w:val="24"/>
          <w:lang w:val="es-MX" w:eastAsia="es-ES"/>
        </w:rPr>
        <w:t>q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>ue respecto a las par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t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>idas expuesta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s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en el Resultando 3), el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O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>rganismo deberá extremar las medidas a los efectos del cumplimiento de la presentación de las rendiciones de</w:t>
      </w:r>
      <w:r w:rsidR="0077072D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cuentas correspondientes;</w:t>
      </w:r>
    </w:p>
    <w:p w:rsidR="00031E75" w:rsidRPr="00031E75" w:rsidRDefault="00031E75" w:rsidP="0077072D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031E75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ATENTO: </w:t>
      </w:r>
      <w:r w:rsidR="0077072D">
        <w:rPr>
          <w:rFonts w:ascii="Arial" w:eastAsia="Times New Roman" w:hAnsi="Arial" w:cs="Times New Roman"/>
          <w:sz w:val="24"/>
          <w:szCs w:val="24"/>
          <w:lang w:val="es-MX" w:eastAsia="es-ES"/>
        </w:rPr>
        <w:t>a lo dispuesto por el A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>rt</w:t>
      </w:r>
      <w:r w:rsidR="0077072D">
        <w:rPr>
          <w:rFonts w:ascii="Arial" w:eastAsia="Times New Roman" w:hAnsi="Arial" w:cs="Times New Roman"/>
          <w:sz w:val="24"/>
          <w:szCs w:val="24"/>
          <w:lang w:val="es-MX" w:eastAsia="es-ES"/>
        </w:rPr>
        <w:t>ículo 211 Literal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C) de la Constitución de la República;</w:t>
      </w:r>
    </w:p>
    <w:p w:rsidR="00031E75" w:rsidRPr="00031E75" w:rsidRDefault="00031E75" w:rsidP="00031E75">
      <w:pPr>
        <w:spacing w:after="0" w:line="360" w:lineRule="auto"/>
        <w:ind w:left="2124" w:firstLine="708"/>
        <w:jc w:val="both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  <w:r w:rsidRPr="00031E75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EL TRIBUNAL ACUERDA</w:t>
      </w:r>
    </w:p>
    <w:p w:rsidR="00031E75" w:rsidRPr="00031E75" w:rsidRDefault="00031E75" w:rsidP="0077072D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Tomar conocimiento de la información remitida por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la Dirección General de Casinos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>, respecto de las Rendiciones de Cuentas de las partidas otorgadas a terceros</w:t>
      </w:r>
      <w:r w:rsidRPr="00031E75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en </w:t>
      </w:r>
      <w:r w:rsidRPr="00031E75">
        <w:rPr>
          <w:rFonts w:ascii="Arial" w:eastAsia="Times New Roman" w:hAnsi="Arial" w:cs="Times New Roman"/>
          <w:sz w:val="24"/>
          <w:szCs w:val="24"/>
          <w:lang w:eastAsia="es-ES"/>
        </w:rPr>
        <w:t>el semestre 01/10/2018 – 31/03/2019</w:t>
      </w: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031E75" w:rsidRPr="00031E75" w:rsidRDefault="00031E75" w:rsidP="0077072D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031E75">
        <w:rPr>
          <w:rFonts w:ascii="Arial" w:eastAsia="Times New Roman" w:hAnsi="Arial" w:cs="Times New Roman"/>
          <w:sz w:val="24"/>
          <w:szCs w:val="24"/>
          <w:lang w:val="es-MX" w:eastAsia="es-ES"/>
        </w:rPr>
        <w:t>Téngase presente lo expresado en el Considerando 3);</w:t>
      </w:r>
    </w:p>
    <w:p w:rsidR="00031E75" w:rsidRPr="00B01D58" w:rsidRDefault="00031E75" w:rsidP="0077072D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031E7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Comuníquese al </w:t>
      </w:r>
      <w:r w:rsidRPr="00031E75">
        <w:rPr>
          <w:rFonts w:ascii="Arial" w:eastAsia="Times New Roman" w:hAnsi="Arial" w:cs="Times New Roman"/>
          <w:sz w:val="24"/>
          <w:szCs w:val="24"/>
          <w:lang w:eastAsia="es-ES"/>
        </w:rPr>
        <w:t xml:space="preserve">Ministerio de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Economía y Finanzas</w:t>
      </w:r>
      <w:r w:rsidR="00774857">
        <w:rPr>
          <w:rFonts w:ascii="Arial" w:eastAsia="Times New Roman" w:hAnsi="Arial" w:cs="Times New Roman"/>
          <w:sz w:val="24"/>
          <w:szCs w:val="24"/>
          <w:lang w:eastAsia="es-ES"/>
        </w:rPr>
        <w:t xml:space="preserve"> y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a la Dirección General de Casinos</w:t>
      </w:r>
      <w:r w:rsidR="00535147">
        <w:rPr>
          <w:rFonts w:ascii="Arial" w:eastAsia="Times New Roman" w:hAnsi="Arial" w:cs="Times New Roman"/>
          <w:bCs/>
          <w:sz w:val="24"/>
          <w:szCs w:val="24"/>
          <w:lang w:eastAsia="es-ES"/>
        </w:rPr>
        <w:t>.</w:t>
      </w:r>
    </w:p>
    <w:p w:rsidR="00B01D58" w:rsidRPr="00535147" w:rsidRDefault="00B01D58" w:rsidP="00B01D58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MX" w:eastAsia="es-ES"/>
        </w:rPr>
      </w:pPr>
    </w:p>
    <w:p w:rsidR="00B01D58" w:rsidRDefault="00B01D58" w:rsidP="00B01D58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</w:p>
    <w:p w:rsidR="00031E75" w:rsidRPr="00535147" w:rsidRDefault="00B01D58" w:rsidP="00535147">
      <w:pPr>
        <w:spacing w:after="0" w:line="360" w:lineRule="auto"/>
        <w:ind w:hanging="426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proofErr w:type="gramStart"/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dc</w:t>
      </w:r>
      <w:proofErr w:type="gramEnd"/>
    </w:p>
    <w:sectPr w:rsidR="00031E75" w:rsidRPr="00535147" w:rsidSect="00B01D58">
      <w:footerReference w:type="default" r:id="rId8"/>
      <w:pgSz w:w="12240" w:h="15840" w:code="1"/>
      <w:pgMar w:top="3119" w:right="1701" w:bottom="1701" w:left="1701" w:header="720" w:footer="363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28" w:rsidRDefault="00B23F0F">
      <w:pPr>
        <w:spacing w:after="0" w:line="240" w:lineRule="auto"/>
      </w:pPr>
      <w:r>
        <w:separator/>
      </w:r>
    </w:p>
  </w:endnote>
  <w:endnote w:type="continuationSeparator" w:id="0">
    <w:p w:rsidR="005F1328" w:rsidRDefault="00B2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531255"/>
      <w:docPartObj>
        <w:docPartGallery w:val="Page Numbers (Bottom of Page)"/>
        <w:docPartUnique/>
      </w:docPartObj>
    </w:sdtPr>
    <w:sdtEndPr/>
    <w:sdtContent>
      <w:p w:rsidR="0077072D" w:rsidRDefault="0077072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B4">
          <w:rPr>
            <w:noProof/>
          </w:rPr>
          <w:t>1</w:t>
        </w:r>
        <w:r>
          <w:fldChar w:fldCharType="end"/>
        </w:r>
      </w:p>
    </w:sdtContent>
  </w:sdt>
  <w:p w:rsidR="001079D6" w:rsidRPr="005151AF" w:rsidRDefault="001079D6" w:rsidP="00CD4788">
    <w:pPr>
      <w:tabs>
        <w:tab w:val="center" w:pos="4252"/>
        <w:tab w:val="right" w:pos="8504"/>
      </w:tabs>
      <w:rPr>
        <w:spacing w:val="-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28" w:rsidRDefault="00B23F0F">
      <w:pPr>
        <w:spacing w:after="0" w:line="240" w:lineRule="auto"/>
      </w:pPr>
      <w:r>
        <w:separator/>
      </w:r>
    </w:p>
  </w:footnote>
  <w:footnote w:type="continuationSeparator" w:id="0">
    <w:p w:rsidR="005F1328" w:rsidRDefault="00B2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1F68"/>
    <w:multiLevelType w:val="hybridMultilevel"/>
    <w:tmpl w:val="D9D42E4C"/>
    <w:lvl w:ilvl="0" w:tplc="383804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01"/>
    <w:rsid w:val="00031E75"/>
    <w:rsid w:val="00054F56"/>
    <w:rsid w:val="001079D6"/>
    <w:rsid w:val="00136F01"/>
    <w:rsid w:val="001B7B75"/>
    <w:rsid w:val="00245787"/>
    <w:rsid w:val="002A7B19"/>
    <w:rsid w:val="003055F5"/>
    <w:rsid w:val="003763AE"/>
    <w:rsid w:val="003B34F9"/>
    <w:rsid w:val="00535147"/>
    <w:rsid w:val="005B36DE"/>
    <w:rsid w:val="005F1328"/>
    <w:rsid w:val="006C684F"/>
    <w:rsid w:val="0077072D"/>
    <w:rsid w:val="00774857"/>
    <w:rsid w:val="00790990"/>
    <w:rsid w:val="008A2AB1"/>
    <w:rsid w:val="009534BA"/>
    <w:rsid w:val="00A53DB4"/>
    <w:rsid w:val="00B01D58"/>
    <w:rsid w:val="00B23F0F"/>
    <w:rsid w:val="00CD4788"/>
    <w:rsid w:val="00ED4DB4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36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F01"/>
  </w:style>
  <w:style w:type="paragraph" w:styleId="Encabezado">
    <w:name w:val="header"/>
    <w:basedOn w:val="Normal"/>
    <w:link w:val="EncabezadoCar"/>
    <w:uiPriority w:val="99"/>
    <w:unhideWhenUsed/>
    <w:rsid w:val="00770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36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F01"/>
  </w:style>
  <w:style w:type="paragraph" w:styleId="Encabezado">
    <w:name w:val="header"/>
    <w:basedOn w:val="Normal"/>
    <w:link w:val="EncabezadoCar"/>
    <w:uiPriority w:val="99"/>
    <w:unhideWhenUsed/>
    <w:rsid w:val="00770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Tribunal1</cp:lastModifiedBy>
  <cp:revision>4</cp:revision>
  <cp:lastPrinted>2019-07-23T16:10:00Z</cp:lastPrinted>
  <dcterms:created xsi:type="dcterms:W3CDTF">2019-07-23T16:11:00Z</dcterms:created>
  <dcterms:modified xsi:type="dcterms:W3CDTF">2019-07-31T19:00:00Z</dcterms:modified>
</cp:coreProperties>
</file>