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9" w:rsidRPr="00BF1C69" w:rsidRDefault="00BF1C69" w:rsidP="00BF1C69">
      <w:pPr>
        <w:tabs>
          <w:tab w:val="center" w:pos="4253"/>
        </w:tabs>
        <w:suppressAutoHyphens/>
        <w:jc w:val="right"/>
        <w:rPr>
          <w:rFonts w:cs="Arial"/>
          <w:b/>
          <w:sz w:val="28"/>
          <w:szCs w:val="28"/>
          <w:lang w:val="es-ES_tradnl"/>
        </w:rPr>
      </w:pPr>
      <w:r>
        <w:rPr>
          <w:rFonts w:cs="Arial"/>
          <w:b/>
          <w:sz w:val="28"/>
          <w:szCs w:val="28"/>
          <w:lang w:val="es-ES_tradnl"/>
        </w:rPr>
        <w:t>RES.1646/19</w:t>
      </w:r>
    </w:p>
    <w:p w:rsidR="00BF1C69" w:rsidRPr="00762B34" w:rsidRDefault="00BF1C69" w:rsidP="00BF1C69">
      <w:pPr>
        <w:tabs>
          <w:tab w:val="center" w:pos="4253"/>
        </w:tabs>
        <w:suppressAutoHyphens/>
        <w:spacing w:line="240" w:lineRule="auto"/>
        <w:jc w:val="center"/>
        <w:rPr>
          <w:rFonts w:cs="Arial"/>
          <w:b/>
          <w:lang w:val="es-ES_tradnl"/>
        </w:rPr>
      </w:pPr>
      <w:r w:rsidRPr="00762B34">
        <w:rPr>
          <w:rFonts w:cs="Arial"/>
          <w:b/>
          <w:lang w:val="es-ES_tradnl"/>
        </w:rPr>
        <w:t>RESOLUCION ADOPTADA POR EL</w:t>
      </w:r>
    </w:p>
    <w:p w:rsidR="00BF1C69" w:rsidRPr="00762B34" w:rsidRDefault="00BF1C69" w:rsidP="00BF1C69">
      <w:pPr>
        <w:tabs>
          <w:tab w:val="left" w:pos="-720"/>
        </w:tabs>
        <w:suppressAutoHyphens/>
        <w:spacing w:line="240" w:lineRule="auto"/>
        <w:jc w:val="center"/>
        <w:rPr>
          <w:rFonts w:cs="Arial"/>
          <w:b/>
          <w:lang w:val="es-ES_tradnl"/>
        </w:rPr>
      </w:pPr>
    </w:p>
    <w:p w:rsidR="00BF1C69" w:rsidRPr="00762B34" w:rsidRDefault="00BF1C69" w:rsidP="00BF1C69">
      <w:pPr>
        <w:tabs>
          <w:tab w:val="center" w:pos="4253"/>
        </w:tabs>
        <w:suppressAutoHyphens/>
        <w:spacing w:line="240" w:lineRule="auto"/>
        <w:jc w:val="center"/>
        <w:rPr>
          <w:rFonts w:cs="Arial"/>
          <w:b/>
          <w:lang w:val="es-ES_tradnl"/>
        </w:rPr>
      </w:pPr>
      <w:r w:rsidRPr="00762B34">
        <w:rPr>
          <w:rFonts w:cs="Arial"/>
          <w:b/>
          <w:lang w:val="es-ES_tradnl"/>
        </w:rPr>
        <w:t>TRIBUNAL DE CUENTAS</w:t>
      </w:r>
    </w:p>
    <w:p w:rsidR="00BF1C69" w:rsidRPr="00762B34" w:rsidRDefault="00BF1C69" w:rsidP="00BF1C69">
      <w:pPr>
        <w:tabs>
          <w:tab w:val="left" w:pos="-720"/>
        </w:tabs>
        <w:suppressAutoHyphens/>
        <w:spacing w:line="240" w:lineRule="auto"/>
        <w:jc w:val="center"/>
        <w:rPr>
          <w:rFonts w:cs="Arial"/>
          <w:b/>
          <w:lang w:val="es-ES_tradnl"/>
        </w:rPr>
      </w:pPr>
    </w:p>
    <w:p w:rsidR="00BF1C69" w:rsidRPr="00762B34" w:rsidRDefault="00BF1C69" w:rsidP="00BF1C69">
      <w:pPr>
        <w:tabs>
          <w:tab w:val="center" w:pos="4253"/>
        </w:tabs>
        <w:suppressAutoHyphens/>
        <w:spacing w:line="240" w:lineRule="auto"/>
        <w:jc w:val="center"/>
        <w:rPr>
          <w:rFonts w:cs="Arial"/>
          <w:b/>
          <w:lang w:val="es-ES_tradnl"/>
        </w:rPr>
      </w:pPr>
      <w:r w:rsidRPr="00762B34">
        <w:rPr>
          <w:rFonts w:cs="Arial"/>
          <w:b/>
          <w:lang w:val="es-ES_tradnl"/>
        </w:rPr>
        <w:t xml:space="preserve">EN SESION DE FECHA </w:t>
      </w:r>
      <w:r>
        <w:rPr>
          <w:rFonts w:cs="Arial"/>
          <w:b/>
          <w:lang w:val="es-ES_tradnl"/>
        </w:rPr>
        <w:t xml:space="preserve">10 DE JULIO </w:t>
      </w:r>
      <w:r>
        <w:rPr>
          <w:rFonts w:ascii="Helvetica" w:hAnsi="Helvetica"/>
          <w:b/>
          <w:lang w:val="es-ES_tradnl"/>
        </w:rPr>
        <w:t>DE 2019</w:t>
      </w:r>
    </w:p>
    <w:p w:rsidR="00BF1C69" w:rsidRPr="00762B34" w:rsidRDefault="00BF1C69" w:rsidP="00BF1C69">
      <w:pPr>
        <w:tabs>
          <w:tab w:val="center" w:pos="4253"/>
        </w:tabs>
        <w:suppressAutoHyphens/>
        <w:spacing w:line="240" w:lineRule="auto"/>
        <w:jc w:val="center"/>
        <w:rPr>
          <w:rFonts w:cs="Arial"/>
          <w:b/>
          <w:lang w:val="es-ES_tradnl"/>
        </w:rPr>
      </w:pPr>
    </w:p>
    <w:p w:rsidR="00BF1C69" w:rsidRPr="00C53762" w:rsidRDefault="00BF1C69" w:rsidP="00BF1C69">
      <w:pPr>
        <w:tabs>
          <w:tab w:val="center" w:pos="4253"/>
        </w:tabs>
        <w:suppressAutoHyphens/>
        <w:spacing w:line="240" w:lineRule="auto"/>
        <w:jc w:val="center"/>
        <w:rPr>
          <w:rFonts w:cs="Arial"/>
          <w:b/>
          <w:lang w:val="es-UY"/>
        </w:rPr>
      </w:pPr>
      <w:r w:rsidRPr="00C53762">
        <w:rPr>
          <w:rFonts w:cs="Arial"/>
          <w:b/>
          <w:lang w:val="es-UY"/>
        </w:rPr>
        <w:t xml:space="preserve">(E. E. Nº </w:t>
      </w:r>
      <w:r w:rsidRPr="00BF1C69">
        <w:rPr>
          <w:b/>
        </w:rPr>
        <w:t>2019-17-1-0002830</w:t>
      </w:r>
      <w:r w:rsidRPr="00C53762">
        <w:rPr>
          <w:rFonts w:cs="Arial"/>
          <w:b/>
          <w:lang w:val="es-UY"/>
        </w:rPr>
        <w:t xml:space="preserve">, </w:t>
      </w:r>
      <w:proofErr w:type="spellStart"/>
      <w:r w:rsidRPr="00C53762">
        <w:rPr>
          <w:rFonts w:cs="Arial"/>
          <w:b/>
          <w:lang w:val="es-UY"/>
        </w:rPr>
        <w:t>Ent</w:t>
      </w:r>
      <w:proofErr w:type="spellEnd"/>
      <w:r w:rsidRPr="00C53762">
        <w:rPr>
          <w:rFonts w:cs="Arial"/>
          <w:b/>
          <w:lang w:val="es-UY"/>
        </w:rPr>
        <w:t>. N° 2230/19)</w:t>
      </w:r>
    </w:p>
    <w:p w:rsidR="00BF1C69" w:rsidRPr="00C53762" w:rsidRDefault="00BF1C69">
      <w:pPr>
        <w:rPr>
          <w:lang w:val="es-UY"/>
        </w:rPr>
      </w:pPr>
    </w:p>
    <w:p w:rsidR="00496962" w:rsidRDefault="00496962" w:rsidP="00BF1C69">
      <w:pPr>
        <w:pStyle w:val="Sangradetextonormal"/>
        <w:ind w:firstLine="851"/>
        <w:jc w:val="both"/>
      </w:pPr>
      <w:r>
        <w:rPr>
          <w:b/>
          <w:bCs/>
        </w:rPr>
        <w:t xml:space="preserve">VISTO: </w:t>
      </w:r>
      <w:r>
        <w:rPr>
          <w:bCs/>
        </w:rPr>
        <w:t>estas actuaciones remitidas por el Ministerio de Economía y Finanzas (MEF), relacionadas con</w:t>
      </w:r>
      <w:r>
        <w:t xml:space="preserve"> el contrato de préstamo URU/20/2018 celebrado entre la Corporación Nacional para el Desarrollo (CND) y el Fondo Financiero para el Desarrollo de la Cuenca del Plata (FONPLATA) y el contrato de garantía  suscrito por </w:t>
      </w:r>
      <w:r w:rsidR="00C53762">
        <w:t>e</w:t>
      </w:r>
      <w:r>
        <w:t>sta última con la República Oriental del Uruguay (R.O.U.);</w:t>
      </w:r>
    </w:p>
    <w:p w:rsidR="00496962" w:rsidRDefault="00496962" w:rsidP="00BF1C69">
      <w:pPr>
        <w:pStyle w:val="Sangradetextonormal"/>
        <w:ind w:firstLine="851"/>
        <w:jc w:val="both"/>
      </w:pPr>
      <w:r>
        <w:rPr>
          <w:b/>
          <w:bCs/>
        </w:rPr>
        <w:t xml:space="preserve">RESULTANDO:  1) </w:t>
      </w:r>
      <w:r>
        <w:t>que con fecha 6 de junio de 2019, se suscribió el contrato de préstamo URU-20/2018 entre la CND y FONPLATA, destinado a financiar el “Apoyo al Programa de Adecuación de la Infraestructura Vial a las Necesidades del Transporte Forestal”, siendo el prestatario la CND y el organismo ejecutor la Corporación Vial del Uruguay S.A. (C.V.U.);</w:t>
      </w:r>
    </w:p>
    <w:p w:rsidR="00BF1C69" w:rsidRDefault="00496962" w:rsidP="00BF1C69">
      <w:pPr>
        <w:pStyle w:val="Sangradetextonormal"/>
        <w:ind w:firstLine="2694"/>
        <w:jc w:val="both"/>
      </w:pPr>
      <w:r>
        <w:rPr>
          <w:b/>
        </w:rPr>
        <w:t xml:space="preserve">2) </w:t>
      </w:r>
      <w:r>
        <w:t>que en tal sentido, por el contrato mencionado, FONPLATA se compromete a otorgar al prestatario  un financiamiento por la suma de hasta U$S 60.535.000, y el prestatario se compromete a  contribuir con recursos propios para la completa e ininterrumpida ejecución del programa cuando se exceda el monto estimado en el Presupuesto del Anexo Único que se adjunta;</w:t>
      </w:r>
    </w:p>
    <w:p w:rsidR="00BF1C69" w:rsidRDefault="00496962" w:rsidP="00BF1C69">
      <w:pPr>
        <w:pStyle w:val="Sangradetextonormal"/>
        <w:ind w:firstLine="2694"/>
        <w:jc w:val="both"/>
      </w:pPr>
      <w:r>
        <w:rPr>
          <w:b/>
          <w:bCs/>
        </w:rPr>
        <w:t xml:space="preserve">3) </w:t>
      </w:r>
      <w:r>
        <w:t>que el prestatario pagará totalmente el préstamo dentro del plazo improrrogable de quince años a partir de la vigencia del contrato, en cuotas semestrales, consecutivas y en lo posible iguales, con una tasa de interés variable;</w:t>
      </w:r>
    </w:p>
    <w:p w:rsidR="00BF1C69" w:rsidRDefault="00496962" w:rsidP="00BF1C69">
      <w:pPr>
        <w:pStyle w:val="Sangradetextonormal"/>
        <w:ind w:firstLine="2694"/>
        <w:jc w:val="both"/>
      </w:pPr>
      <w:r>
        <w:rPr>
          <w:b/>
        </w:rPr>
        <w:t xml:space="preserve">4) </w:t>
      </w:r>
      <w:r>
        <w:t>que según se establece en el contrato, el mismo quedó sujeto a la condición de que la R</w:t>
      </w:r>
      <w:r w:rsidR="00876432">
        <w:t>OU</w:t>
      </w:r>
      <w:r>
        <w:t xml:space="preserve">, garantice solidariamente y entera </w:t>
      </w:r>
      <w:r>
        <w:lastRenderedPageBreak/>
        <w:t>satisfacción de FONPLATA, las obligaciones de pago que contrae el prestatario, y asuma directamente las que le corresponden de conformidad con el contrato de garantía;</w:t>
      </w:r>
    </w:p>
    <w:p w:rsidR="00BF1C69" w:rsidRDefault="00496962" w:rsidP="00BF1C69">
      <w:pPr>
        <w:pStyle w:val="Sangradetextonormal"/>
        <w:ind w:firstLine="2694"/>
        <w:jc w:val="both"/>
      </w:pPr>
      <w:r w:rsidRPr="008A22F9">
        <w:rPr>
          <w:b/>
        </w:rPr>
        <w:t>5)</w:t>
      </w:r>
      <w:r>
        <w:t xml:space="preserve"> que en tal sentido, el mismo 6 de junio de 2019, se celebró entre la R</w:t>
      </w:r>
      <w:r w:rsidR="00876432">
        <w:t>OU</w:t>
      </w:r>
      <w:r>
        <w:t xml:space="preserve"> y FONPLATA, un contr</w:t>
      </w:r>
      <w:r w:rsidR="00876432">
        <w:t>ato de garantía, según el cual nuestro país se constituye</w:t>
      </w:r>
      <w:r>
        <w:t xml:space="preserve"> en fiador solidario de todas las obligaciones de naturaleza financiera contraídas por el prestatario en el contrato de préstamo</w:t>
      </w:r>
      <w:r w:rsidRPr="008A22F9">
        <w:t xml:space="preserve"> </w:t>
      </w:r>
      <w:r>
        <w:t>URU/20/2018;</w:t>
      </w:r>
    </w:p>
    <w:p w:rsidR="00BF1C69" w:rsidRDefault="00496962" w:rsidP="00BF1C69">
      <w:pPr>
        <w:pStyle w:val="Sangradetextonormal"/>
        <w:ind w:firstLine="2694"/>
        <w:jc w:val="both"/>
      </w:pPr>
      <w:r>
        <w:rPr>
          <w:b/>
        </w:rPr>
        <w:t>6</w:t>
      </w:r>
      <w:r w:rsidRPr="00BF055F">
        <w:rPr>
          <w:b/>
        </w:rPr>
        <w:t>)</w:t>
      </w:r>
      <w:r>
        <w:t xml:space="preserve"> que según lo estipulado en dicho contrato de garantía, por intermedio del mismo: </w:t>
      </w:r>
      <w:r w:rsidRPr="00C53762">
        <w:rPr>
          <w:b/>
        </w:rPr>
        <w:t>a)</w:t>
      </w:r>
      <w:r w:rsidRPr="00170D6F">
        <w:t xml:space="preserve"> </w:t>
      </w:r>
      <w:r>
        <w:t xml:space="preserve"> el garante se compromete a no adoptar ninguna medida, ni decisión que dificulte o impida la ejecución del programa, o que obste el cumplimiento de cualquier obligación del prestatario establecido en el contrato de prés</w:t>
      </w:r>
      <w:r w:rsidR="00876432">
        <w:t>tamo;</w:t>
      </w:r>
      <w:r>
        <w:t xml:space="preserve"> </w:t>
      </w:r>
      <w:r w:rsidRPr="00C53762">
        <w:rPr>
          <w:b/>
        </w:rPr>
        <w:t>b)</w:t>
      </w:r>
      <w:r>
        <w:t xml:space="preserve"> si el garante contrajera obligaciones que afectarán en todo o en parte sus bienes o rentas fiscales como garantía de una deuda externa, FONPLATA podrá requerir que se le constituyan las mismas garantías en su beneficio y en proporción al préstamo que se ha efectuado</w:t>
      </w:r>
      <w:r w:rsidR="00876432">
        <w:t>;</w:t>
      </w:r>
      <w:r>
        <w:t xml:space="preserve"> </w:t>
      </w:r>
      <w:r w:rsidR="00C53762">
        <w:t xml:space="preserve">   </w:t>
      </w:r>
      <w:r w:rsidRPr="00C53762">
        <w:rPr>
          <w:b/>
        </w:rPr>
        <w:t>c)</w:t>
      </w:r>
      <w:r>
        <w:t xml:space="preserve"> el garante deberá  informar a la brevedad posible a FONPLATA, en un plazo que no exceda a treinta días calendario, sobre cualquier hecho que dificulte o pudiere dificultar el logro de los fines del financiamiento objeto del contrato de préstamo o el cumplimiento de las obligaciones financieras del prestatario</w:t>
      </w:r>
      <w:r w:rsidR="00876432">
        <w:t>;</w:t>
      </w:r>
      <w:r>
        <w:t xml:space="preserve"> </w:t>
      </w:r>
      <w:r w:rsidRPr="00C53762">
        <w:rPr>
          <w:b/>
        </w:rPr>
        <w:t>d)</w:t>
      </w:r>
      <w:r>
        <w:t xml:space="preserve"> el garante se obliga a proporcionar a FONPLATA las informaciones que le fueren solicitadas con relación a la situación del prestatarios, en el ámbito de las obligaciones financieras contraídas mediante el contrato de préstamo</w:t>
      </w:r>
      <w:r w:rsidR="00876432">
        <w:t>;</w:t>
      </w:r>
      <w:r>
        <w:t xml:space="preserve"> </w:t>
      </w:r>
      <w:r w:rsidRPr="00C53762">
        <w:rPr>
          <w:b/>
        </w:rPr>
        <w:t>e)</w:t>
      </w:r>
      <w:r>
        <w:t xml:space="preserve"> el garante deberá facilitar, en el ámbito de su competencia, a los representantes de FONPLATA el ejercicio de sus funciones relacionadas con el contrato de préstamo y con la ejecución del Programa</w:t>
      </w:r>
      <w:r w:rsidR="00876432">
        <w:t>;</w:t>
      </w:r>
      <w:r>
        <w:t xml:space="preserve"> </w:t>
      </w:r>
      <w:bookmarkStart w:id="0" w:name="_GoBack"/>
      <w:r w:rsidRPr="00C53762">
        <w:rPr>
          <w:b/>
        </w:rPr>
        <w:t>f)</w:t>
      </w:r>
      <w:bookmarkEnd w:id="0"/>
      <w:r>
        <w:t xml:space="preserve">  asimismo</w:t>
      </w:r>
      <w:r w:rsidR="00876432">
        <w:t>,</w:t>
      </w:r>
      <w:r>
        <w:t xml:space="preserve"> el garante se obliga a informar a FONPLATA en un plazo que no exceda de 30 días, los casos en que, cumpliendo sus obligaciones de fiador solidario, estuviere realizando los pagos correspondientes al servicios préstamo;</w:t>
      </w:r>
    </w:p>
    <w:p w:rsidR="00BF1C69" w:rsidRDefault="00496962" w:rsidP="00BF1C69">
      <w:pPr>
        <w:pStyle w:val="Sangradetextonormal"/>
        <w:ind w:firstLine="2694"/>
        <w:jc w:val="both"/>
      </w:pPr>
      <w:r w:rsidRPr="00BF055F">
        <w:rPr>
          <w:b/>
        </w:rPr>
        <w:lastRenderedPageBreak/>
        <w:t>7)</w:t>
      </w:r>
      <w:r>
        <w:t xml:space="preserve"> que el garante se compromete a que</w:t>
      </w:r>
      <w:r w:rsidR="00876432">
        <w:t>,</w:t>
      </w:r>
      <w:r>
        <w:t xml:space="preserve"> tanto el capital como los intereses y demás cargos financieros del préstamo, se pagarán sin deducción ni restricción alguna, libres de todo tributo, impuesto, tasa, derecho o recargo que resulte o pudieran resultar de las leyes de la R</w:t>
      </w:r>
      <w:r w:rsidR="00876432">
        <w:t>OU,</w:t>
      </w:r>
      <w:r>
        <w:t xml:space="preserve"> y que tanto el contrato de garantía como el contrato de préstamo, estarán exentos de todo impuesto, tasa, contribución o derechos aplicables a la celebrado, inscripción y ejecución de los mismos. La responsabilidad del garante solo cesará con la extinción total de las obligaciones financieras contraídas por el prestatario; </w:t>
      </w:r>
    </w:p>
    <w:p w:rsidR="00BF1C69" w:rsidRDefault="00496962" w:rsidP="00BF1C69">
      <w:pPr>
        <w:pStyle w:val="Sangradetextonormal"/>
        <w:ind w:firstLine="2694"/>
        <w:jc w:val="both"/>
      </w:pPr>
      <w:r>
        <w:rPr>
          <w:b/>
        </w:rPr>
        <w:t xml:space="preserve">8) </w:t>
      </w:r>
      <w:r>
        <w:t xml:space="preserve">que el Poder Ejecutivo, por Resolución de fecha 20 de mayo  de 2019, </w:t>
      </w:r>
      <w:r w:rsidR="00876432">
        <w:t>había aprobado</w:t>
      </w:r>
      <w:r>
        <w:t xml:space="preserve"> el proyecto de contrato de préstamo URU/20/2018 por un monto de U$S 60:535.000</w:t>
      </w:r>
      <w:r w:rsidR="00876432">
        <w:t>, así como también</w:t>
      </w:r>
      <w:r>
        <w:t xml:space="preserve"> el proyecto de contrato de garantía del referido contrato, estableciéndose  se deberá dar cuenta a la Asamblea General dentro de los 30 días de aprobados;   </w:t>
      </w:r>
    </w:p>
    <w:p w:rsidR="00496962" w:rsidRDefault="00496962" w:rsidP="00BF1C69">
      <w:pPr>
        <w:pStyle w:val="Sangradetextonormal"/>
        <w:ind w:firstLine="2694"/>
        <w:jc w:val="both"/>
      </w:pPr>
      <w:r>
        <w:rPr>
          <w:b/>
        </w:rPr>
        <w:t>9</w:t>
      </w:r>
      <w:r w:rsidRPr="008A22F9">
        <w:rPr>
          <w:b/>
        </w:rPr>
        <w:t>)</w:t>
      </w:r>
      <w:r>
        <w:t xml:space="preserve"> que se agrega informe del MEF elaborado  con fecha 12 de junio de 2019, en el cual se señala que el FONPLATA es un organismo internacional del que la R</w:t>
      </w:r>
      <w:r w:rsidR="00876432">
        <w:t xml:space="preserve">OU </w:t>
      </w:r>
      <w:r>
        <w:t>forma parte, cuyo convenio constitutivo fue suscrito en la VI Reunión Ordinaria de Cancilleres de los países de la Cuenca del Plata, celebrado en Buenos Aires, República Argentina, el 12 de julio de 1974, habiendo nuestro país depositado el respectivo instrumento de ratificación con fecha 23 de mayo de 1975. En virtud de ello, se concluye que el Poder Ejecutivo, se encuentra habilitado a prescindir de la ratificación parlamentaria, dando cuenta a la Asamblea General del Poder Legislativo;</w:t>
      </w:r>
    </w:p>
    <w:p w:rsidR="00496962" w:rsidRDefault="00496962" w:rsidP="00BF1C69">
      <w:pPr>
        <w:pStyle w:val="Sangradetextonormal"/>
        <w:ind w:firstLine="851"/>
        <w:jc w:val="both"/>
        <w:rPr>
          <w:i/>
          <w:iCs/>
        </w:rPr>
      </w:pPr>
      <w:r>
        <w:rPr>
          <w:b/>
          <w:bCs/>
        </w:rPr>
        <w:t xml:space="preserve">CONSIDERANDO: 1) </w:t>
      </w:r>
      <w:r>
        <w:t>que la Ley 15.851 de fecha 24 de diciembre de 1986, en su artículo 145 inciso 2, preceptúa que “</w:t>
      </w:r>
      <w:r>
        <w:rPr>
          <w:i/>
          <w:iCs/>
        </w:rPr>
        <w:t>no requieren ratificación legislativa los convenios o contratos que el Poder Ejecutivo, los Entes Autónomos y Servicios Descentralizados celebren con organismos internacionales de los que el país forme parte”.;</w:t>
      </w:r>
    </w:p>
    <w:p w:rsidR="00BF1C69" w:rsidRDefault="00496962" w:rsidP="00BF1C69">
      <w:pPr>
        <w:pStyle w:val="Sangradetextonormal"/>
        <w:ind w:firstLine="2835"/>
        <w:jc w:val="both"/>
        <w:rPr>
          <w:bCs/>
          <w:i/>
          <w:iCs/>
        </w:rPr>
      </w:pPr>
      <w:r>
        <w:rPr>
          <w:b/>
          <w:iCs/>
        </w:rPr>
        <w:t>2</w:t>
      </w:r>
      <w:r w:rsidRPr="000D74F6">
        <w:rPr>
          <w:b/>
          <w:iCs/>
        </w:rPr>
        <w:t xml:space="preserve">) </w:t>
      </w:r>
      <w:r>
        <w:rPr>
          <w:bCs/>
        </w:rPr>
        <w:t xml:space="preserve">que por su parte, el otorgamiento del contrato de garantía encuadra en  las facultades atribuidas al Poder Ejecutivo por el </w:t>
      </w:r>
      <w:r>
        <w:rPr>
          <w:bCs/>
        </w:rPr>
        <w:lastRenderedPageBreak/>
        <w:t xml:space="preserve">artículo 607 de la Ley 17.296 del 21 de febrero de 2001, que establece  </w:t>
      </w:r>
      <w:r>
        <w:rPr>
          <w:bCs/>
          <w:i/>
          <w:iCs/>
        </w:rPr>
        <w:t>“compete exclusivamente al Poder Ejecutivo, en acuerdo con el Ministerio de Economía y Finanzas y el Ministro del ramo en su caso, autorizar todo planteo oficial tendiente a la obtención de préstamos de organismos internacionales, instituciones o gobiernos extranjeros, en los que la</w:t>
      </w:r>
      <w:r>
        <w:rPr>
          <w:bCs/>
        </w:rPr>
        <w:t xml:space="preserve"> </w:t>
      </w:r>
      <w:r>
        <w:rPr>
          <w:bCs/>
          <w:i/>
          <w:iCs/>
        </w:rPr>
        <w:t>República deba asumir la responsabilidad directa del prestatario o las obligaciones del garante, al suscribir los convenios respectivos…”;</w:t>
      </w:r>
    </w:p>
    <w:p w:rsidR="00BF1C69" w:rsidRDefault="00496962" w:rsidP="00BF1C69">
      <w:pPr>
        <w:pStyle w:val="Sangradetextonormal"/>
        <w:ind w:firstLine="2835"/>
        <w:jc w:val="both"/>
        <w:rPr>
          <w:bCs/>
        </w:rPr>
      </w:pPr>
      <w:r>
        <w:rPr>
          <w:b/>
        </w:rPr>
        <w:t>3</w:t>
      </w:r>
      <w:r w:rsidRPr="00BF055F">
        <w:rPr>
          <w:b/>
          <w:bCs/>
        </w:rPr>
        <w:t>)</w:t>
      </w:r>
      <w:r>
        <w:rPr>
          <w:b/>
          <w:bCs/>
        </w:rPr>
        <w:t xml:space="preserve"> </w:t>
      </w:r>
      <w:r>
        <w:rPr>
          <w:bCs/>
        </w:rPr>
        <w:t xml:space="preserve">que  </w:t>
      </w:r>
      <w:r w:rsidRPr="00F478FB">
        <w:rPr>
          <w:bCs/>
        </w:rPr>
        <w:t xml:space="preserve">el artículo 33 de la </w:t>
      </w:r>
      <w:r>
        <w:rPr>
          <w:bCs/>
        </w:rPr>
        <w:t>L</w:t>
      </w:r>
      <w:r w:rsidRPr="00F478FB">
        <w:rPr>
          <w:bCs/>
        </w:rPr>
        <w:t xml:space="preserve">ey </w:t>
      </w:r>
      <w:r>
        <w:rPr>
          <w:bCs/>
        </w:rPr>
        <w:t xml:space="preserve"> </w:t>
      </w:r>
      <w:r w:rsidRPr="00F478FB">
        <w:rPr>
          <w:bCs/>
        </w:rPr>
        <w:t>19.149</w:t>
      </w:r>
      <w:r>
        <w:rPr>
          <w:bCs/>
        </w:rPr>
        <w:t>,</w:t>
      </w:r>
      <w:r w:rsidRPr="00F478FB">
        <w:rPr>
          <w:bCs/>
        </w:rPr>
        <w:t xml:space="preserve"> de 24</w:t>
      </w:r>
      <w:r>
        <w:rPr>
          <w:bCs/>
        </w:rPr>
        <w:t xml:space="preserve"> de octubre de </w:t>
      </w:r>
      <w:r w:rsidRPr="00F478FB">
        <w:rPr>
          <w:bCs/>
        </w:rPr>
        <w:t>2013, dispone que “</w:t>
      </w:r>
      <w:r w:rsidRPr="00F478FB">
        <w:rPr>
          <w:bCs/>
          <w:i/>
        </w:rPr>
        <w:t>los convenios y contratos suscritos al amparo del artículo 145 de la Ley Nº 15.851 de 24 de diciembre de 1986, deberán remitirse al Tribunal de Cuentas, a los efectos de contar con los antecedentes para la intervención establecida en el artículo 211 literal B) de la Constitución de la República, dentro de los diez días de suscritos</w:t>
      </w:r>
      <w:r>
        <w:rPr>
          <w:bCs/>
          <w:i/>
        </w:rPr>
        <w:t>”</w:t>
      </w:r>
      <w:r w:rsidRPr="00F478FB">
        <w:rPr>
          <w:bCs/>
        </w:rPr>
        <w:t>;</w:t>
      </w:r>
    </w:p>
    <w:p w:rsidR="00496962" w:rsidRPr="00BF1C69" w:rsidRDefault="00496962" w:rsidP="00BF1C69">
      <w:pPr>
        <w:pStyle w:val="Sangradetextonormal"/>
        <w:ind w:firstLine="2835"/>
        <w:jc w:val="both"/>
        <w:rPr>
          <w:bCs/>
          <w:i/>
          <w:iCs/>
        </w:rPr>
      </w:pPr>
      <w:r>
        <w:rPr>
          <w:b/>
          <w:bCs/>
        </w:rPr>
        <w:t>4</w:t>
      </w:r>
      <w:r w:rsidRPr="00C260CD">
        <w:rPr>
          <w:b/>
        </w:rPr>
        <w:t>)</w:t>
      </w:r>
      <w:r>
        <w:t xml:space="preserve"> que en consecuencia, la suscripción del contrato de garantía se ajustó a los requerimientos de la  normativa vigente,  habiendo ingresado </w:t>
      </w:r>
      <w:r w:rsidR="00876432">
        <w:t>las</w:t>
      </w:r>
      <w:r>
        <w:t xml:space="preserve"> actuaciones a</w:t>
      </w:r>
      <w:r w:rsidR="00876432">
        <w:t xml:space="preserve"> este</w:t>
      </w:r>
      <w:r>
        <w:t xml:space="preserve"> Tribunal </w:t>
      </w:r>
      <w:r w:rsidR="00876432">
        <w:t>con fecha</w:t>
      </w:r>
      <w:r>
        <w:t xml:space="preserve"> 13 de junio de 2019</w:t>
      </w:r>
      <w:r w:rsidRPr="00F478FB">
        <w:rPr>
          <w:bCs/>
        </w:rPr>
        <w:t>,</w:t>
      </w:r>
      <w:r>
        <w:t xml:space="preserve"> esto es, dentro del plazo establecido por la  norma citada</w:t>
      </w:r>
      <w:r w:rsidR="00876432">
        <w:t xml:space="preserve"> en el numeral anterior</w:t>
      </w:r>
      <w:r>
        <w:t>;</w:t>
      </w:r>
    </w:p>
    <w:p w:rsidR="00876432" w:rsidRPr="00BF1C69" w:rsidRDefault="00496962" w:rsidP="00BF1C69">
      <w:pPr>
        <w:autoSpaceDE w:val="0"/>
        <w:autoSpaceDN w:val="0"/>
        <w:adjustRightInd w:val="0"/>
        <w:ind w:firstLine="851"/>
        <w:rPr>
          <w:rFonts w:cs="Arial"/>
          <w:color w:val="000000"/>
          <w:szCs w:val="19"/>
        </w:rPr>
      </w:pPr>
      <w:r>
        <w:rPr>
          <w:rFonts w:cs="Arial"/>
          <w:b/>
          <w:bCs/>
          <w:color w:val="000000"/>
          <w:szCs w:val="19"/>
        </w:rPr>
        <w:t>ATENTO</w:t>
      </w:r>
      <w:r w:rsidR="00876432">
        <w:rPr>
          <w:rFonts w:cs="Arial"/>
          <w:b/>
          <w:bCs/>
          <w:color w:val="000000"/>
          <w:szCs w:val="19"/>
        </w:rPr>
        <w:t>:</w:t>
      </w:r>
      <w:r>
        <w:rPr>
          <w:rFonts w:cs="Arial"/>
          <w:b/>
          <w:bCs/>
          <w:color w:val="000000"/>
          <w:szCs w:val="19"/>
        </w:rPr>
        <w:t xml:space="preserve"> </w:t>
      </w:r>
      <w:r>
        <w:rPr>
          <w:rFonts w:cs="Arial"/>
          <w:color w:val="000000"/>
          <w:szCs w:val="19"/>
        </w:rPr>
        <w:t>lo precedentemente expuesto;</w:t>
      </w:r>
    </w:p>
    <w:p w:rsidR="00496962" w:rsidRDefault="00496962" w:rsidP="00496962">
      <w:pPr>
        <w:pStyle w:val="Ttulo3"/>
      </w:pPr>
      <w:r>
        <w:t>EL TRIBUNAL ACUERDA</w:t>
      </w:r>
    </w:p>
    <w:p w:rsidR="00496962" w:rsidRPr="008C3CEE" w:rsidRDefault="00496962" w:rsidP="00496962">
      <w:pPr>
        <w:numPr>
          <w:ilvl w:val="0"/>
          <w:numId w:val="1"/>
        </w:numPr>
        <w:autoSpaceDE w:val="0"/>
        <w:autoSpaceDN w:val="0"/>
        <w:adjustRightInd w:val="0"/>
        <w:jc w:val="both"/>
        <w:rPr>
          <w:rFonts w:cs="Arial"/>
          <w:color w:val="000000"/>
          <w:szCs w:val="19"/>
        </w:rPr>
      </w:pPr>
      <w:r>
        <w:rPr>
          <w:bCs/>
        </w:rPr>
        <w:t xml:space="preserve">No formular observaciones </w:t>
      </w:r>
      <w:r>
        <w:t>al contrato de garantía suscrito por  la República Oriental del Uruguay con el Fondo Financiero para el Desarrollo de la Cuenca del Plata;</w:t>
      </w:r>
    </w:p>
    <w:p w:rsidR="00496962" w:rsidRPr="00876432" w:rsidRDefault="00496962" w:rsidP="00876432">
      <w:pPr>
        <w:pStyle w:val="Prrafodelista"/>
        <w:numPr>
          <w:ilvl w:val="0"/>
          <w:numId w:val="1"/>
        </w:numPr>
        <w:jc w:val="both"/>
        <w:rPr>
          <w:b/>
          <w:bCs/>
        </w:rPr>
      </w:pPr>
      <w:r>
        <w:t>Señalar que los eventuales gastos y pagos emergentes de dicho contrato, deberán ser sometidos a la intervención de este Tribunal o del Contador Auditor destacado, según corresponda en atención a su naturaleza y/o monto;</w:t>
      </w:r>
    </w:p>
    <w:p w:rsidR="00496962" w:rsidRPr="00F478FB" w:rsidRDefault="00496962" w:rsidP="00876432">
      <w:pPr>
        <w:numPr>
          <w:ilvl w:val="0"/>
          <w:numId w:val="1"/>
        </w:numPr>
        <w:jc w:val="both"/>
        <w:rPr>
          <w:b/>
          <w:bCs/>
        </w:rPr>
      </w:pPr>
      <w:r>
        <w:t>Comunicar al organismo actuante.</w:t>
      </w:r>
      <w:r w:rsidRPr="00F478FB">
        <w:rPr>
          <w:b/>
          <w:bCs/>
        </w:rPr>
        <w:t xml:space="preserve">                    </w:t>
      </w:r>
    </w:p>
    <w:p w:rsidR="00496962" w:rsidRPr="00BF1C69" w:rsidRDefault="00BF1C69" w:rsidP="00496962">
      <w:pPr>
        <w:jc w:val="both"/>
        <w:rPr>
          <w:sz w:val="20"/>
          <w:szCs w:val="20"/>
        </w:rPr>
      </w:pPr>
      <w:r>
        <w:rPr>
          <w:sz w:val="20"/>
          <w:szCs w:val="20"/>
        </w:rPr>
        <w:t>CLC</w:t>
      </w:r>
    </w:p>
    <w:p w:rsidR="00496962" w:rsidRDefault="00496962" w:rsidP="00496962">
      <w:pPr>
        <w:jc w:val="both"/>
      </w:pPr>
    </w:p>
    <w:sectPr w:rsidR="00496962" w:rsidSect="00BF1C6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2E83"/>
    <w:multiLevelType w:val="hybridMultilevel"/>
    <w:tmpl w:val="D0A28642"/>
    <w:lvl w:ilvl="0" w:tplc="01046C4A">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1263020E"/>
    <w:multiLevelType w:val="hybridMultilevel"/>
    <w:tmpl w:val="C444EEE8"/>
    <w:lvl w:ilvl="0" w:tplc="61EAC0D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62"/>
    <w:rsid w:val="001B2E12"/>
    <w:rsid w:val="00496962"/>
    <w:rsid w:val="005D7E19"/>
    <w:rsid w:val="00876432"/>
    <w:rsid w:val="009505A9"/>
    <w:rsid w:val="00BF1C69"/>
    <w:rsid w:val="00C5376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62"/>
    <w:pPr>
      <w:spacing w:after="0" w:line="36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qFormat/>
    <w:rsid w:val="00496962"/>
    <w:pPr>
      <w:keepNext/>
      <w:jc w:val="center"/>
      <w:outlineLvl w:val="1"/>
    </w:pPr>
    <w:rPr>
      <w:b/>
      <w:bCs/>
    </w:rPr>
  </w:style>
  <w:style w:type="paragraph" w:styleId="Ttulo3">
    <w:name w:val="heading 3"/>
    <w:basedOn w:val="Normal"/>
    <w:next w:val="Normal"/>
    <w:link w:val="Ttulo3Car"/>
    <w:qFormat/>
    <w:rsid w:val="00496962"/>
    <w:pPr>
      <w:keepNext/>
      <w:autoSpaceDE w:val="0"/>
      <w:autoSpaceDN w:val="0"/>
      <w:adjustRightInd w:val="0"/>
      <w:jc w:val="center"/>
      <w:outlineLvl w:val="2"/>
    </w:pPr>
    <w:rPr>
      <w:rFonts w:cs="Arial"/>
      <w:b/>
      <w:bCs/>
      <w:color w:val="000000"/>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96962"/>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496962"/>
    <w:rPr>
      <w:rFonts w:ascii="Arial" w:eastAsia="Times New Roman" w:hAnsi="Arial" w:cs="Arial"/>
      <w:b/>
      <w:bCs/>
      <w:color w:val="000000"/>
      <w:sz w:val="24"/>
      <w:szCs w:val="19"/>
      <w:lang w:val="es-ES" w:eastAsia="es-ES"/>
    </w:rPr>
  </w:style>
  <w:style w:type="paragraph" w:styleId="Sangradetextonormal">
    <w:name w:val="Body Text Indent"/>
    <w:basedOn w:val="Normal"/>
    <w:link w:val="SangradetextonormalCar"/>
    <w:semiHidden/>
    <w:rsid w:val="00496962"/>
    <w:pPr>
      <w:ind w:firstLine="708"/>
    </w:pPr>
  </w:style>
  <w:style w:type="character" w:customStyle="1" w:styleId="SangradetextonormalCar">
    <w:name w:val="Sangría de texto normal Car"/>
    <w:basedOn w:val="Fuentedeprrafopredeter"/>
    <w:link w:val="Sangradetextonormal"/>
    <w:semiHidden/>
    <w:rsid w:val="00496962"/>
    <w:rPr>
      <w:rFonts w:ascii="Arial" w:eastAsia="Times New Roman" w:hAnsi="Arial" w:cs="Times New Roman"/>
      <w:sz w:val="24"/>
      <w:szCs w:val="24"/>
      <w:lang w:val="es-ES" w:eastAsia="es-ES"/>
    </w:rPr>
  </w:style>
  <w:style w:type="paragraph" w:styleId="Prrafodelista">
    <w:name w:val="List Paragraph"/>
    <w:basedOn w:val="Normal"/>
    <w:uiPriority w:val="34"/>
    <w:qFormat/>
    <w:rsid w:val="008764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62"/>
    <w:pPr>
      <w:spacing w:after="0" w:line="36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qFormat/>
    <w:rsid w:val="00496962"/>
    <w:pPr>
      <w:keepNext/>
      <w:jc w:val="center"/>
      <w:outlineLvl w:val="1"/>
    </w:pPr>
    <w:rPr>
      <w:b/>
      <w:bCs/>
    </w:rPr>
  </w:style>
  <w:style w:type="paragraph" w:styleId="Ttulo3">
    <w:name w:val="heading 3"/>
    <w:basedOn w:val="Normal"/>
    <w:next w:val="Normal"/>
    <w:link w:val="Ttulo3Car"/>
    <w:qFormat/>
    <w:rsid w:val="00496962"/>
    <w:pPr>
      <w:keepNext/>
      <w:autoSpaceDE w:val="0"/>
      <w:autoSpaceDN w:val="0"/>
      <w:adjustRightInd w:val="0"/>
      <w:jc w:val="center"/>
      <w:outlineLvl w:val="2"/>
    </w:pPr>
    <w:rPr>
      <w:rFonts w:cs="Arial"/>
      <w:b/>
      <w:bCs/>
      <w:color w:val="000000"/>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96962"/>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496962"/>
    <w:rPr>
      <w:rFonts w:ascii="Arial" w:eastAsia="Times New Roman" w:hAnsi="Arial" w:cs="Arial"/>
      <w:b/>
      <w:bCs/>
      <w:color w:val="000000"/>
      <w:sz w:val="24"/>
      <w:szCs w:val="19"/>
      <w:lang w:val="es-ES" w:eastAsia="es-ES"/>
    </w:rPr>
  </w:style>
  <w:style w:type="paragraph" w:styleId="Sangradetextonormal">
    <w:name w:val="Body Text Indent"/>
    <w:basedOn w:val="Normal"/>
    <w:link w:val="SangradetextonormalCar"/>
    <w:semiHidden/>
    <w:rsid w:val="00496962"/>
    <w:pPr>
      <w:ind w:firstLine="708"/>
    </w:pPr>
  </w:style>
  <w:style w:type="character" w:customStyle="1" w:styleId="SangradetextonormalCar">
    <w:name w:val="Sangría de texto normal Car"/>
    <w:basedOn w:val="Fuentedeprrafopredeter"/>
    <w:link w:val="Sangradetextonormal"/>
    <w:semiHidden/>
    <w:rsid w:val="00496962"/>
    <w:rPr>
      <w:rFonts w:ascii="Arial" w:eastAsia="Times New Roman" w:hAnsi="Arial" w:cs="Times New Roman"/>
      <w:sz w:val="24"/>
      <w:szCs w:val="24"/>
      <w:lang w:val="es-ES" w:eastAsia="es-ES"/>
    </w:rPr>
  </w:style>
  <w:style w:type="paragraph" w:styleId="Prrafodelista">
    <w:name w:val="List Paragraph"/>
    <w:basedOn w:val="Normal"/>
    <w:uiPriority w:val="34"/>
    <w:qFormat/>
    <w:rsid w:val="00876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427A1-F1B4-4592-BF46-36E4B561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1134</Words>
  <Characters>6240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Nuevo</dc:creator>
  <cp:lastModifiedBy>Tribunal1</cp:lastModifiedBy>
  <cp:revision>4</cp:revision>
  <dcterms:created xsi:type="dcterms:W3CDTF">2019-07-12T17:49:00Z</dcterms:created>
  <dcterms:modified xsi:type="dcterms:W3CDTF">2019-07-15T17:02:00Z</dcterms:modified>
</cp:coreProperties>
</file>