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C4" w:rsidRPr="00786EEB" w:rsidRDefault="000D01C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B93146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1685/19</w:t>
      </w:r>
    </w:p>
    <w:p w:rsidR="000D01C4" w:rsidRDefault="000D01C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D01C4" w:rsidRPr="000D01C4" w:rsidRDefault="000D01C4" w:rsidP="000D01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D01C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D01C4" w:rsidRPr="000D01C4" w:rsidRDefault="000D01C4" w:rsidP="000D01C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D01C4" w:rsidRPr="000D01C4" w:rsidRDefault="000D01C4" w:rsidP="000D01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D01C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D01C4" w:rsidRPr="000D01C4" w:rsidRDefault="000D01C4" w:rsidP="000D01C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D01C4" w:rsidRPr="000D01C4" w:rsidRDefault="000D01C4" w:rsidP="000D01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D01C4">
        <w:rPr>
          <w:rFonts w:ascii="Arial" w:hAnsi="Arial" w:cs="Arial"/>
          <w:b/>
          <w:sz w:val="24"/>
          <w:szCs w:val="24"/>
          <w:lang w:val="es-ES_tradnl"/>
        </w:rPr>
        <w:t>EN SESION DE FECHA 17 DE JULIO DE 2019</w:t>
      </w:r>
    </w:p>
    <w:p w:rsidR="000D01C4" w:rsidRPr="000D01C4" w:rsidRDefault="000D01C4" w:rsidP="000D01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60A1B" w:rsidRPr="00B93146" w:rsidRDefault="000D01C4" w:rsidP="000D01C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B93146">
        <w:rPr>
          <w:rFonts w:ascii="Arial" w:hAnsi="Arial" w:cs="Arial"/>
          <w:b/>
          <w:sz w:val="24"/>
          <w:szCs w:val="24"/>
          <w:lang w:val="es-UY"/>
        </w:rPr>
        <w:t>(E. E. Nº</w:t>
      </w:r>
      <w:r w:rsidR="00B93146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860A1B"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2013-17-1-0001862</w:t>
      </w:r>
      <w:r w:rsidRPr="00B93146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B9314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B93146">
        <w:rPr>
          <w:rFonts w:ascii="Arial" w:hAnsi="Arial" w:cs="Arial"/>
          <w:b/>
          <w:sz w:val="24"/>
          <w:szCs w:val="24"/>
          <w:lang w:val="es-UY"/>
        </w:rPr>
        <w:t>. N°</w:t>
      </w:r>
      <w:r w:rsidR="00B93146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B93146">
        <w:rPr>
          <w:rFonts w:ascii="Arial" w:hAnsi="Arial" w:cs="Arial"/>
          <w:b/>
          <w:sz w:val="24"/>
          <w:szCs w:val="24"/>
          <w:lang w:val="es-UY"/>
        </w:rPr>
        <w:t>2337/19)</w:t>
      </w:r>
    </w:p>
    <w:p w:rsidR="00733A2D" w:rsidRDefault="00733A2D" w:rsidP="000D01C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60A1B" w:rsidRPr="00860A1B" w:rsidRDefault="00860A1B" w:rsidP="000D01C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860A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VISTO:</w:t>
      </w:r>
      <w:r w:rsidRPr="00860A1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el expediente remitido por el Ministerio de Relaciones Exteriores relativo a </w:t>
      </w:r>
      <w:r w:rsidR="003F3401">
        <w:rPr>
          <w:rFonts w:ascii="Arial" w:eastAsia="Times New Roman" w:hAnsi="Arial" w:cs="Arial"/>
          <w:sz w:val="24"/>
          <w:szCs w:val="24"/>
          <w:lang w:val="es-ES_tradnl" w:eastAsia="es-ES"/>
        </w:rPr>
        <w:t>l</w:t>
      </w:r>
      <w:r w:rsidRPr="00860A1B">
        <w:rPr>
          <w:rFonts w:ascii="Arial" w:eastAsia="Times New Roman" w:hAnsi="Arial" w:cs="Arial"/>
          <w:sz w:val="24"/>
          <w:szCs w:val="24"/>
          <w:lang w:val="es-ES_tradnl" w:eastAsia="es-ES"/>
        </w:rPr>
        <w:t>os compromisos asumidos para el ejercicio 2019 por la</w:t>
      </w:r>
      <w:r w:rsidRPr="00860A1B">
        <w:rPr>
          <w:rFonts w:ascii="Arial" w:eastAsia="Times New Roman" w:hAnsi="Arial" w:cs="Times New Roman"/>
          <w:sz w:val="24"/>
          <w:szCs w:val="24"/>
          <w:lang w:eastAsia="es-ES"/>
        </w:rPr>
        <w:t xml:space="preserve"> Comisión Administradora del Río de la Plata, por concepto de los gastos emergentes de las Obras de Dragado del Canal Martin García en el ejercicio 2019;</w:t>
      </w:r>
    </w:p>
    <w:p w:rsidR="00860A1B" w:rsidRPr="00860A1B" w:rsidRDefault="00860A1B" w:rsidP="000D01C4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860A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RESULTANDO: 1) </w:t>
      </w:r>
      <w:r w:rsidRPr="00860A1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el importe de la mencionada transferencia asciende a </w:t>
      </w:r>
      <w:r w:rsidRPr="00860A1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$ </w:t>
      </w:r>
      <w:r w:rsidR="003F3401">
        <w:rPr>
          <w:rFonts w:ascii="Arial" w:eastAsia="Times New Roman" w:hAnsi="Arial" w:cs="Times New Roman"/>
          <w:sz w:val="24"/>
          <w:szCs w:val="24"/>
          <w:lang w:val="es-ES_tradnl" w:eastAsia="es-ES"/>
        </w:rPr>
        <w:t>158:741.899</w:t>
      </w:r>
      <w:r w:rsidRPr="00860A1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Pr="00860A1B">
        <w:rPr>
          <w:rFonts w:ascii="Arial" w:eastAsia="Times New Roman" w:hAnsi="Arial" w:cs="Times New Roman"/>
          <w:sz w:val="24"/>
          <w:szCs w:val="24"/>
          <w:lang w:val="es-ES_tradnl" w:eastAsia="es-ES"/>
        </w:rPr>
        <w:t>documentado en la</w:t>
      </w:r>
      <w:r w:rsidR="00F32812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s </w:t>
      </w:r>
      <w:r w:rsidRPr="00860A1B">
        <w:rPr>
          <w:rFonts w:ascii="Arial" w:eastAsia="Times New Roman" w:hAnsi="Arial" w:cs="Times New Roman"/>
          <w:sz w:val="24"/>
          <w:szCs w:val="24"/>
          <w:lang w:val="es-ES_tradnl" w:eastAsia="es-ES"/>
        </w:rPr>
        <w:t>Afectación N° 0</w:t>
      </w:r>
      <w:r w:rsidR="003F3401">
        <w:rPr>
          <w:rFonts w:ascii="Arial" w:eastAsia="Times New Roman" w:hAnsi="Arial" w:cs="Times New Roman"/>
          <w:sz w:val="24"/>
          <w:szCs w:val="24"/>
          <w:lang w:val="es-ES_tradnl" w:eastAsia="es-ES"/>
        </w:rPr>
        <w:t>84</w:t>
      </w:r>
      <w:r w:rsidR="00F32812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por </w:t>
      </w:r>
      <w:r w:rsidR="00B93146">
        <w:rPr>
          <w:rFonts w:ascii="Arial" w:eastAsia="Times New Roman" w:hAnsi="Arial" w:cs="Times New Roman"/>
          <w:sz w:val="24"/>
          <w:szCs w:val="24"/>
          <w:lang w:val="es-ES_tradnl" w:eastAsia="es-ES"/>
        </w:rPr>
        <w:t>$</w:t>
      </w:r>
      <w:r w:rsidR="00F32812">
        <w:rPr>
          <w:rFonts w:ascii="Arial" w:eastAsia="Times New Roman" w:hAnsi="Arial" w:cs="Times New Roman"/>
          <w:sz w:val="24"/>
          <w:szCs w:val="24"/>
          <w:lang w:val="es-ES_tradnl" w:eastAsia="es-ES"/>
        </w:rPr>
        <w:t>142.687.428 y Afectación N° 086 por $ 16.054.471</w:t>
      </w:r>
      <w:r w:rsidRPr="00860A1B">
        <w:rPr>
          <w:rFonts w:ascii="Arial" w:eastAsia="Times New Roman" w:hAnsi="Arial" w:cs="Times New Roman"/>
          <w:sz w:val="24"/>
          <w:szCs w:val="24"/>
          <w:lang w:val="es-ES_tradnl" w:eastAsia="es-ES"/>
        </w:rPr>
        <w:t>;</w:t>
      </w:r>
    </w:p>
    <w:p w:rsidR="00860A1B" w:rsidRPr="00860A1B" w:rsidRDefault="00B93146" w:rsidP="00B93146">
      <w:pPr>
        <w:tabs>
          <w:tab w:val="left" w:pos="-720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 xml:space="preserve"> </w:t>
      </w:r>
      <w:r w:rsidR="00860A1B" w:rsidRPr="000D01C4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2)</w:t>
      </w:r>
      <w:r w:rsidR="00860A1B" w:rsidRPr="00860A1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 la erogación se atenderá  con cargo al Inciso 24 ”Diversos Créditos”, Unidad Ejecutora 00</w:t>
      </w:r>
      <w:r w:rsidR="003F3401">
        <w:rPr>
          <w:rFonts w:ascii="Arial" w:eastAsia="Times New Roman" w:hAnsi="Arial" w:cs="Times New Roman"/>
          <w:sz w:val="24"/>
          <w:szCs w:val="24"/>
          <w:lang w:val="es-ES_tradnl" w:eastAsia="es-ES"/>
        </w:rPr>
        <w:t>6</w:t>
      </w:r>
      <w:r w:rsidR="00860A1B" w:rsidRPr="00860A1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“Ministerio de Relaciones Exteriores”, Programa 363, Proyecto 961, Objeto del Gasto 799, en la Financiación 1.1 “Rentas Generales”;</w:t>
      </w:r>
    </w:p>
    <w:p w:rsidR="00860A1B" w:rsidRPr="00860A1B" w:rsidRDefault="00860A1B" w:rsidP="000D01C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860A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CONSIDERANDO: 1) </w:t>
      </w:r>
      <w:r w:rsidRPr="00860A1B">
        <w:rPr>
          <w:rFonts w:ascii="Arial" w:eastAsia="Times New Roman" w:hAnsi="Arial" w:cs="Arial"/>
          <w:sz w:val="24"/>
          <w:szCs w:val="24"/>
          <w:lang w:val="es-ES_tradnl" w:eastAsia="es-ES"/>
        </w:rPr>
        <w:t>que las actuaciones se ajustan a lo establecido en la Ley de Presupuesto Nº 19.355 de 19 de diciembre de 2</w:t>
      </w:r>
      <w:r w:rsidR="00B93146">
        <w:rPr>
          <w:rFonts w:ascii="Arial" w:eastAsia="Times New Roman" w:hAnsi="Arial" w:cs="Arial"/>
          <w:sz w:val="24"/>
          <w:szCs w:val="24"/>
          <w:lang w:val="es-ES_tradnl" w:eastAsia="es-ES"/>
        </w:rPr>
        <w:t>015;</w:t>
      </w:r>
    </w:p>
    <w:p w:rsidR="00860A1B" w:rsidRPr="00860A1B" w:rsidRDefault="00860A1B" w:rsidP="000D01C4">
      <w:pPr>
        <w:tabs>
          <w:tab w:val="right" w:pos="8436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860A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 w:rsidR="00B9314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860A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2) </w:t>
      </w:r>
      <w:r w:rsidRPr="00860A1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deberá rendirse cuenta documentada de la partida, de acuerdo con lo dispuesto por el Decreto </w:t>
      </w:r>
      <w:r w:rsidRPr="00860A1B">
        <w:rPr>
          <w:rFonts w:ascii="Arial" w:eastAsia="Times New Roman" w:hAnsi="Arial" w:cs="Arial"/>
          <w:sz w:val="24"/>
          <w:szCs w:val="20"/>
          <w:lang w:val="es-ES_tradnl" w:eastAsia="es-ES"/>
        </w:rPr>
        <w:t>Nº 173 de fecha 27 de marzo de 1981;</w:t>
      </w:r>
    </w:p>
    <w:p w:rsidR="00860A1B" w:rsidRPr="000D01C4" w:rsidRDefault="00B93146" w:rsidP="000D01C4">
      <w:pPr>
        <w:tabs>
          <w:tab w:val="right" w:pos="8436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860A1B" w:rsidRPr="00860A1B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="00860A1B" w:rsidRPr="00860A1B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que, como resultado de las verificaciones efectuadas no existen observaciones que formular;</w:t>
      </w:r>
    </w:p>
    <w:p w:rsidR="00860A1B" w:rsidRDefault="00860A1B" w:rsidP="000D01C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860A1B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ATENTO:</w:t>
      </w:r>
      <w:r w:rsidRPr="00860A1B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a lo precedentemente expuesto;</w:t>
      </w:r>
    </w:p>
    <w:p w:rsidR="000D01C4" w:rsidRDefault="000D01C4" w:rsidP="000D01C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860A1B" w:rsidRPr="00860A1B" w:rsidRDefault="00860A1B" w:rsidP="000D01C4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60A1B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860A1B" w:rsidRPr="00860A1B" w:rsidRDefault="00860A1B" w:rsidP="000D01C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0A1B">
        <w:rPr>
          <w:rFonts w:ascii="Arial" w:eastAsia="Times New Roman" w:hAnsi="Arial" w:cs="Arial"/>
          <w:sz w:val="24"/>
          <w:szCs w:val="24"/>
          <w:lang w:eastAsia="es-ES"/>
        </w:rPr>
        <w:t xml:space="preserve">Cometer al Contador Auditor Destacado ante </w:t>
      </w:r>
      <w:r w:rsidRPr="00860A1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</w:t>
      </w:r>
      <w:r w:rsidRPr="00860A1B">
        <w:rPr>
          <w:rFonts w:ascii="Arial" w:eastAsia="Times New Roman" w:hAnsi="Arial" w:cs="Times New Roman"/>
          <w:sz w:val="24"/>
          <w:szCs w:val="24"/>
          <w:lang w:eastAsia="es-ES"/>
        </w:rPr>
        <w:t xml:space="preserve">Ministerio de Relaciones Exteriores la intervención del </w:t>
      </w:r>
      <w:r w:rsidRPr="00860A1B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gasto por </w:t>
      </w:r>
      <w:r w:rsidRPr="00860A1B">
        <w:rPr>
          <w:rFonts w:ascii="Arial" w:eastAsia="Times New Roman" w:hAnsi="Arial" w:cs="Times New Roman"/>
          <w:sz w:val="24"/>
          <w:szCs w:val="24"/>
          <w:lang w:eastAsia="es-ES"/>
        </w:rPr>
        <w:t>$</w:t>
      </w:r>
      <w:r w:rsidR="003F3401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3F3401">
        <w:rPr>
          <w:rFonts w:ascii="Arial" w:eastAsia="Times New Roman" w:hAnsi="Arial" w:cs="Times New Roman"/>
          <w:sz w:val="24"/>
          <w:szCs w:val="24"/>
          <w:lang w:val="es-ES_tradnl" w:eastAsia="es-ES"/>
        </w:rPr>
        <w:t>158:741.899</w:t>
      </w:r>
      <w:r w:rsidRPr="00860A1B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, una vez verificado que la resolución definitiva del Ordenador competente </w:t>
      </w:r>
      <w:r w:rsidRPr="00860A1B">
        <w:rPr>
          <w:rFonts w:ascii="Arial" w:eastAsia="Times New Roman" w:hAnsi="Arial" w:cs="Arial"/>
          <w:sz w:val="24"/>
          <w:szCs w:val="24"/>
          <w:lang w:eastAsia="es-ES"/>
        </w:rPr>
        <w:t>concuerde con las actuaciones sometidas a control de este Tribunal y que no permanezcan pa</w:t>
      </w:r>
      <w:r w:rsidR="00B93146">
        <w:rPr>
          <w:rFonts w:ascii="Arial" w:eastAsia="Times New Roman" w:hAnsi="Arial" w:cs="Arial"/>
          <w:sz w:val="24"/>
          <w:szCs w:val="24"/>
          <w:lang w:eastAsia="es-ES"/>
        </w:rPr>
        <w:t>rtidas pendientes de rendición;</w:t>
      </w:r>
    </w:p>
    <w:p w:rsidR="00860A1B" w:rsidRPr="00860A1B" w:rsidRDefault="00860A1B" w:rsidP="000D01C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0A1B">
        <w:rPr>
          <w:rFonts w:ascii="Arial" w:eastAsia="Times New Roman" w:hAnsi="Arial" w:cs="Arial"/>
          <w:sz w:val="24"/>
          <w:szCs w:val="24"/>
          <w:lang w:eastAsia="es-ES"/>
        </w:rPr>
        <w:t xml:space="preserve"> Téngase presente lo expresado en el Considerando 2);</w:t>
      </w:r>
    </w:p>
    <w:p w:rsidR="00860A1B" w:rsidRPr="00860A1B" w:rsidRDefault="00860A1B" w:rsidP="000D01C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0A1B">
        <w:rPr>
          <w:rFonts w:ascii="Arial" w:eastAsia="Times New Roman" w:hAnsi="Arial" w:cs="Arial"/>
          <w:sz w:val="24"/>
          <w:szCs w:val="24"/>
          <w:lang w:eastAsia="es-ES"/>
        </w:rPr>
        <w:t>Comuníquese al Ministerio de Relaciones Exteriores, al Contador Auditor Destacado ante el Inciso</w:t>
      </w:r>
      <w:r w:rsidRPr="00860A1B">
        <w:rPr>
          <w:rFonts w:ascii="Arial" w:eastAsia="Times New Roman" w:hAnsi="Arial" w:cs="Times New Roman"/>
          <w:sz w:val="24"/>
          <w:szCs w:val="24"/>
          <w:lang w:eastAsia="es-ES"/>
        </w:rPr>
        <w:t>; y</w:t>
      </w:r>
    </w:p>
    <w:p w:rsidR="00860A1B" w:rsidRPr="00860A1B" w:rsidRDefault="00860A1B" w:rsidP="000D01C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60A1B">
        <w:rPr>
          <w:rFonts w:ascii="Arial" w:eastAsia="Times New Roman" w:hAnsi="Arial" w:cs="Arial"/>
          <w:sz w:val="24"/>
          <w:szCs w:val="24"/>
          <w:lang w:eastAsia="es-ES"/>
        </w:rPr>
        <w:t>Devuélvase.</w:t>
      </w:r>
    </w:p>
    <w:p w:rsidR="005B0D3F" w:rsidRPr="008A435E" w:rsidRDefault="000D01C4" w:rsidP="000D0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A435E">
        <w:rPr>
          <w:rFonts w:ascii="Arial" w:hAnsi="Arial" w:cs="Arial"/>
          <w:sz w:val="20"/>
          <w:szCs w:val="20"/>
        </w:rPr>
        <w:t>CLC</w:t>
      </w:r>
    </w:p>
    <w:sectPr w:rsidR="005B0D3F" w:rsidRPr="008A435E" w:rsidSect="000D01C4"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DD" w:rsidRDefault="003F3401">
      <w:pPr>
        <w:spacing w:after="0" w:line="240" w:lineRule="auto"/>
      </w:pPr>
      <w:r>
        <w:separator/>
      </w:r>
    </w:p>
  </w:endnote>
  <w:endnote w:type="continuationSeparator" w:id="0">
    <w:p w:rsidR="00155FDD" w:rsidRDefault="003F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DD" w:rsidRDefault="003F3401">
      <w:pPr>
        <w:spacing w:after="0" w:line="240" w:lineRule="auto"/>
      </w:pPr>
      <w:r>
        <w:separator/>
      </w:r>
    </w:p>
  </w:footnote>
  <w:footnote w:type="continuationSeparator" w:id="0">
    <w:p w:rsidR="00155FDD" w:rsidRDefault="003F3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1B"/>
    <w:rsid w:val="000D01C4"/>
    <w:rsid w:val="00155FDD"/>
    <w:rsid w:val="003F3401"/>
    <w:rsid w:val="005B0D3F"/>
    <w:rsid w:val="00733A2D"/>
    <w:rsid w:val="00860A1B"/>
    <w:rsid w:val="008A435E"/>
    <w:rsid w:val="00A8545F"/>
    <w:rsid w:val="00B93146"/>
    <w:rsid w:val="00D27BA5"/>
    <w:rsid w:val="00EE60C3"/>
    <w:rsid w:val="00F3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6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A1B"/>
  </w:style>
  <w:style w:type="paragraph" w:styleId="Encabezado">
    <w:name w:val="header"/>
    <w:basedOn w:val="Normal"/>
    <w:link w:val="EncabezadoCar"/>
    <w:uiPriority w:val="99"/>
    <w:unhideWhenUsed/>
    <w:rsid w:val="000D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6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A1B"/>
  </w:style>
  <w:style w:type="paragraph" w:styleId="Encabezado">
    <w:name w:val="header"/>
    <w:basedOn w:val="Normal"/>
    <w:link w:val="EncabezadoCar"/>
    <w:uiPriority w:val="99"/>
    <w:unhideWhenUsed/>
    <w:rsid w:val="000D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Tribunal1</cp:lastModifiedBy>
  <cp:revision>6</cp:revision>
  <cp:lastPrinted>2019-07-22T15:31:00Z</cp:lastPrinted>
  <dcterms:created xsi:type="dcterms:W3CDTF">2019-07-22T15:32:00Z</dcterms:created>
  <dcterms:modified xsi:type="dcterms:W3CDTF">2019-07-30T20:10:00Z</dcterms:modified>
</cp:coreProperties>
</file>