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741" w:rsidRPr="001B1741" w:rsidRDefault="001B1741" w:rsidP="00786EEB">
      <w:pPr>
        <w:tabs>
          <w:tab w:val="center" w:pos="4253"/>
        </w:tabs>
        <w:suppressAutoHyphens/>
        <w:jc w:val="right"/>
        <w:rPr>
          <w:rFonts w:ascii="Arial" w:hAnsi="Arial" w:cs="Arial"/>
          <w:sz w:val="28"/>
          <w:szCs w:val="28"/>
          <w:lang w:val="es-ES_tradnl"/>
        </w:rPr>
      </w:pPr>
      <w:r w:rsidRPr="001B1741">
        <w:rPr>
          <w:rFonts w:ascii="Arial" w:hAnsi="Arial" w:cs="Arial"/>
          <w:sz w:val="28"/>
          <w:szCs w:val="28"/>
          <w:lang w:val="es-ES_tradnl"/>
        </w:rPr>
        <w:t xml:space="preserve">RES. </w:t>
      </w:r>
      <w:r>
        <w:rPr>
          <w:rFonts w:ascii="Arial" w:hAnsi="Arial" w:cs="Arial"/>
          <w:sz w:val="28"/>
          <w:szCs w:val="28"/>
          <w:lang w:val="es-ES_tradnl"/>
        </w:rPr>
        <w:t>1633</w:t>
      </w:r>
      <w:r w:rsidRPr="001B1741">
        <w:rPr>
          <w:rFonts w:ascii="Arial" w:hAnsi="Arial" w:cs="Arial"/>
          <w:sz w:val="28"/>
          <w:szCs w:val="28"/>
          <w:lang w:val="es-ES_tradnl"/>
        </w:rPr>
        <w:t>/19</w:t>
      </w:r>
    </w:p>
    <w:p w:rsidR="001B1741" w:rsidRPr="001B1741" w:rsidRDefault="001B1741" w:rsidP="00786EEB">
      <w:pPr>
        <w:tabs>
          <w:tab w:val="center" w:pos="4253"/>
        </w:tabs>
        <w:suppressAutoHyphens/>
        <w:jc w:val="right"/>
        <w:rPr>
          <w:rFonts w:ascii="Arial" w:hAnsi="Arial" w:cs="Arial"/>
          <w:lang w:val="es-ES_tradnl"/>
        </w:rPr>
      </w:pPr>
    </w:p>
    <w:p w:rsidR="001B1741" w:rsidRPr="001B1741" w:rsidRDefault="001B1741">
      <w:pPr>
        <w:tabs>
          <w:tab w:val="center" w:pos="4253"/>
        </w:tabs>
        <w:suppressAutoHyphens/>
        <w:jc w:val="center"/>
        <w:rPr>
          <w:rFonts w:ascii="Arial" w:hAnsi="Arial" w:cs="Arial"/>
          <w:lang w:val="es-ES_tradnl"/>
        </w:rPr>
      </w:pPr>
      <w:r w:rsidRPr="001B1741">
        <w:rPr>
          <w:rFonts w:ascii="Arial" w:hAnsi="Arial" w:cs="Arial"/>
          <w:lang w:val="es-ES_tradnl"/>
        </w:rPr>
        <w:t>RESOLUCION ADOPTADA POR EL</w:t>
      </w:r>
    </w:p>
    <w:p w:rsidR="001B1741" w:rsidRPr="001B1741" w:rsidRDefault="001B1741">
      <w:pPr>
        <w:tabs>
          <w:tab w:val="left" w:pos="-720"/>
        </w:tabs>
        <w:suppressAutoHyphens/>
        <w:jc w:val="center"/>
        <w:rPr>
          <w:rFonts w:ascii="Arial" w:hAnsi="Arial" w:cs="Arial"/>
          <w:lang w:val="es-ES_tradnl"/>
        </w:rPr>
      </w:pPr>
    </w:p>
    <w:p w:rsidR="001B1741" w:rsidRPr="001B1741" w:rsidRDefault="001B1741">
      <w:pPr>
        <w:tabs>
          <w:tab w:val="center" w:pos="4253"/>
        </w:tabs>
        <w:suppressAutoHyphens/>
        <w:jc w:val="center"/>
        <w:rPr>
          <w:rFonts w:ascii="Arial" w:hAnsi="Arial" w:cs="Arial"/>
          <w:lang w:val="es-ES_tradnl"/>
        </w:rPr>
      </w:pPr>
      <w:r w:rsidRPr="001B1741">
        <w:rPr>
          <w:rFonts w:ascii="Arial" w:hAnsi="Arial" w:cs="Arial"/>
          <w:lang w:val="es-ES_tradnl"/>
        </w:rPr>
        <w:t>TRIBUNAL DE CUENTAS</w:t>
      </w:r>
    </w:p>
    <w:p w:rsidR="001B1741" w:rsidRPr="001B1741" w:rsidRDefault="001B1741">
      <w:pPr>
        <w:tabs>
          <w:tab w:val="left" w:pos="-720"/>
        </w:tabs>
        <w:suppressAutoHyphens/>
        <w:jc w:val="center"/>
        <w:rPr>
          <w:rFonts w:ascii="Arial" w:hAnsi="Arial" w:cs="Arial"/>
          <w:lang w:val="es-ES_tradnl"/>
        </w:rPr>
      </w:pPr>
    </w:p>
    <w:p w:rsidR="001B1741" w:rsidRPr="001B1741" w:rsidRDefault="001B1741">
      <w:pPr>
        <w:tabs>
          <w:tab w:val="center" w:pos="4253"/>
        </w:tabs>
        <w:suppressAutoHyphens/>
        <w:jc w:val="center"/>
        <w:rPr>
          <w:rFonts w:ascii="Arial" w:hAnsi="Arial" w:cs="Arial"/>
          <w:lang w:val="es-ES_tradnl"/>
        </w:rPr>
      </w:pPr>
      <w:r w:rsidRPr="001B1741">
        <w:rPr>
          <w:rFonts w:ascii="Arial" w:hAnsi="Arial" w:cs="Arial"/>
          <w:lang w:val="es-ES_tradnl"/>
        </w:rPr>
        <w:t>EN SESION DE FECHA 10 DE JULIO DE 2019</w:t>
      </w:r>
    </w:p>
    <w:p w:rsidR="001B1741" w:rsidRPr="001B1741" w:rsidRDefault="001B1741">
      <w:pPr>
        <w:tabs>
          <w:tab w:val="center" w:pos="4253"/>
        </w:tabs>
        <w:suppressAutoHyphens/>
        <w:jc w:val="center"/>
        <w:rPr>
          <w:rFonts w:ascii="Arial" w:hAnsi="Arial" w:cs="Arial"/>
          <w:lang w:val="es-ES_tradnl"/>
        </w:rPr>
      </w:pPr>
    </w:p>
    <w:p w:rsidR="001B1741" w:rsidRPr="005364FC" w:rsidRDefault="001B1741">
      <w:pPr>
        <w:tabs>
          <w:tab w:val="center" w:pos="4253"/>
        </w:tabs>
        <w:suppressAutoHyphens/>
        <w:jc w:val="center"/>
        <w:rPr>
          <w:rFonts w:ascii="Arial" w:hAnsi="Arial" w:cs="Arial"/>
          <w:lang w:val="es-UY"/>
        </w:rPr>
      </w:pPr>
      <w:r w:rsidRPr="005364FC">
        <w:rPr>
          <w:rFonts w:ascii="Arial" w:hAnsi="Arial" w:cs="Arial"/>
          <w:lang w:val="es-UY"/>
        </w:rPr>
        <w:t xml:space="preserve">(E. E. Nº 2019-17-1-0002825, </w:t>
      </w:r>
      <w:proofErr w:type="spellStart"/>
      <w:r w:rsidRPr="005364FC">
        <w:rPr>
          <w:rFonts w:ascii="Arial" w:hAnsi="Arial" w:cs="Arial"/>
          <w:lang w:val="es-UY"/>
        </w:rPr>
        <w:t>Ent</w:t>
      </w:r>
      <w:proofErr w:type="spellEnd"/>
      <w:r w:rsidRPr="005364FC">
        <w:rPr>
          <w:rFonts w:ascii="Arial" w:hAnsi="Arial" w:cs="Arial"/>
          <w:lang w:val="es-UY"/>
        </w:rPr>
        <w:t>. N° 2220/19)</w:t>
      </w:r>
    </w:p>
    <w:p w:rsidR="001B1741" w:rsidRPr="005364FC" w:rsidRDefault="001B1741">
      <w:pPr>
        <w:tabs>
          <w:tab w:val="center" w:pos="4253"/>
        </w:tabs>
        <w:suppressAutoHyphens/>
        <w:jc w:val="center"/>
        <w:rPr>
          <w:rFonts w:ascii="Arial" w:hAnsi="Arial" w:cs="Arial"/>
          <w:lang w:val="es-UY"/>
        </w:rPr>
      </w:pPr>
    </w:p>
    <w:p w:rsidR="001B1741" w:rsidRDefault="00FB297D" w:rsidP="001B1741">
      <w:pPr>
        <w:pStyle w:val="Ttulo"/>
        <w:ind w:firstLine="851"/>
        <w:jc w:val="both"/>
        <w:rPr>
          <w:b w:val="0"/>
          <w:u w:val="none"/>
        </w:rPr>
      </w:pPr>
      <w:r>
        <w:rPr>
          <w:u w:val="none"/>
        </w:rPr>
        <w:t xml:space="preserve">VISTO: </w:t>
      </w:r>
      <w:r>
        <w:rPr>
          <w:b w:val="0"/>
          <w:u w:val="none"/>
        </w:rPr>
        <w:t>las actuaciones remitidas por la Intendencia de Montevideo, relacionadas con la Licitación Pública 346961/1, para rehabilitaciones hidráulicas y estructurales de colectores del tipo “Red Arteaga” por sistemas de colocación de manga de materiales tipo  resinas plásticas o resinas de fibra de vidrio, sin remociones de pavimentos;</w:t>
      </w:r>
    </w:p>
    <w:p w:rsidR="001B1741" w:rsidRDefault="00FB297D" w:rsidP="001B1741">
      <w:pPr>
        <w:pStyle w:val="Ttulo"/>
        <w:ind w:firstLine="851"/>
        <w:jc w:val="both"/>
        <w:rPr>
          <w:b w:val="0"/>
          <w:u w:val="none"/>
        </w:rPr>
      </w:pPr>
      <w:r>
        <w:rPr>
          <w:u w:val="none"/>
        </w:rPr>
        <w:t xml:space="preserve">RESULTANDO: 1) </w:t>
      </w:r>
      <w:r>
        <w:rPr>
          <w:b w:val="0"/>
          <w:u w:val="none"/>
        </w:rPr>
        <w:t xml:space="preserve">que por Resolución Nº 384 de fecha 9.07.18,  </w:t>
      </w:r>
      <w:r>
        <w:rPr>
          <w:b w:val="0"/>
          <w:u w:val="none"/>
          <w:lang w:val="es-ES"/>
        </w:rPr>
        <w:t xml:space="preserve">el Gerente de Compras </w:t>
      </w:r>
      <w:r>
        <w:rPr>
          <w:b w:val="0"/>
          <w:u w:val="none"/>
        </w:rPr>
        <w:t>dispuso  autorizar el presente llamado y aprobar el Pliego Particular de Condiciones;</w:t>
      </w:r>
    </w:p>
    <w:p w:rsidR="001B1741" w:rsidRDefault="00FB297D" w:rsidP="001B1741">
      <w:pPr>
        <w:pStyle w:val="Ttulo"/>
        <w:ind w:firstLine="2835"/>
        <w:jc w:val="both"/>
        <w:rPr>
          <w:b w:val="0"/>
          <w:u w:val="none"/>
        </w:rPr>
      </w:pPr>
      <w:r>
        <w:rPr>
          <w:u w:val="none"/>
        </w:rPr>
        <w:t xml:space="preserve">2) </w:t>
      </w:r>
      <w:r>
        <w:rPr>
          <w:b w:val="0"/>
          <w:u w:val="none"/>
        </w:rPr>
        <w:t xml:space="preserve"> que se realizaron</w:t>
      </w:r>
      <w:r w:rsidR="001B1741">
        <w:rPr>
          <w:b w:val="0"/>
          <w:u w:val="none"/>
        </w:rPr>
        <w:t xml:space="preserve"> las publicaciones, de acuerdo con lo previsto por el A</w:t>
      </w:r>
      <w:r>
        <w:rPr>
          <w:b w:val="0"/>
          <w:u w:val="none"/>
        </w:rPr>
        <w:t>rt</w:t>
      </w:r>
      <w:r w:rsidR="001B1741">
        <w:rPr>
          <w:b w:val="0"/>
          <w:u w:val="none"/>
        </w:rPr>
        <w:t>ículo</w:t>
      </w:r>
      <w:r>
        <w:rPr>
          <w:b w:val="0"/>
          <w:u w:val="none"/>
        </w:rPr>
        <w:t xml:space="preserve"> 51 del T.O.C.A.F.;</w:t>
      </w:r>
    </w:p>
    <w:p w:rsidR="001B1741" w:rsidRDefault="00FB297D" w:rsidP="001B1741">
      <w:pPr>
        <w:pStyle w:val="Ttulo"/>
        <w:ind w:firstLine="2835"/>
        <w:jc w:val="both"/>
        <w:rPr>
          <w:b w:val="0"/>
          <w:u w:val="none"/>
        </w:rPr>
      </w:pPr>
      <w:r>
        <w:rPr>
          <w:u w:val="none"/>
        </w:rPr>
        <w:t xml:space="preserve">3) </w:t>
      </w:r>
      <w:r>
        <w:rPr>
          <w:b w:val="0"/>
          <w:u w:val="none"/>
        </w:rPr>
        <w:t>que con fecha 20.09.18, se realizó el acto de apertura de las ofertas, al que se presentaron las siguientes firmas: CIEMSA, TEYMA URUGUAY S.A</w:t>
      </w:r>
      <w:r w:rsidR="001B1741">
        <w:rPr>
          <w:b w:val="0"/>
          <w:u w:val="none"/>
        </w:rPr>
        <w:t>.</w:t>
      </w:r>
      <w:r>
        <w:rPr>
          <w:b w:val="0"/>
          <w:u w:val="none"/>
        </w:rPr>
        <w:t>, IMPACTO CONSTRUCCIONES S.A., ESPINA OBRAS HIDRAULICAS S.A</w:t>
      </w:r>
      <w:r w:rsidR="001B1741">
        <w:rPr>
          <w:b w:val="0"/>
          <w:u w:val="none"/>
        </w:rPr>
        <w:t>.</w:t>
      </w:r>
      <w:r>
        <w:rPr>
          <w:b w:val="0"/>
          <w:u w:val="none"/>
        </w:rPr>
        <w:t xml:space="preserve"> y RECONSTRUCCIÓN CAÑOS S.A</w:t>
      </w:r>
      <w:r w:rsidR="001B1741">
        <w:rPr>
          <w:b w:val="0"/>
          <w:u w:val="none"/>
        </w:rPr>
        <w:t>.</w:t>
      </w:r>
      <w:r>
        <w:rPr>
          <w:b w:val="0"/>
          <w:u w:val="none"/>
        </w:rPr>
        <w:t>;</w:t>
      </w:r>
    </w:p>
    <w:p w:rsidR="001B1741" w:rsidRDefault="00FB297D" w:rsidP="001B1741">
      <w:pPr>
        <w:pStyle w:val="Ttulo"/>
        <w:ind w:firstLine="2835"/>
        <w:jc w:val="both"/>
        <w:rPr>
          <w:b w:val="0"/>
          <w:u w:val="none"/>
        </w:rPr>
      </w:pPr>
      <w:r>
        <w:rPr>
          <w:u w:val="none"/>
        </w:rPr>
        <w:t xml:space="preserve">4) </w:t>
      </w:r>
      <w:r>
        <w:rPr>
          <w:b w:val="0"/>
          <w:u w:val="none"/>
        </w:rPr>
        <w:t xml:space="preserve">que se solicitó información al Registro </w:t>
      </w:r>
      <w:proofErr w:type="spellStart"/>
      <w:r>
        <w:rPr>
          <w:b w:val="0"/>
          <w:u w:val="none"/>
        </w:rPr>
        <w:t>Nal</w:t>
      </w:r>
      <w:proofErr w:type="spellEnd"/>
      <w:r>
        <w:rPr>
          <w:b w:val="0"/>
          <w:u w:val="none"/>
        </w:rPr>
        <w:t xml:space="preserve">. </w:t>
      </w:r>
      <w:proofErr w:type="gramStart"/>
      <w:r>
        <w:rPr>
          <w:b w:val="0"/>
          <w:u w:val="none"/>
        </w:rPr>
        <w:t>de</w:t>
      </w:r>
      <w:proofErr w:type="gramEnd"/>
      <w:r>
        <w:rPr>
          <w:b w:val="0"/>
          <w:u w:val="none"/>
        </w:rPr>
        <w:t xml:space="preserve"> Empresas sobre el incumplimiento registrado en el certificado RNEOP de la firma Reconstrucción Caños S</w:t>
      </w:r>
      <w:r w:rsidR="001B1741">
        <w:rPr>
          <w:b w:val="0"/>
          <w:u w:val="none"/>
        </w:rPr>
        <w:t>.</w:t>
      </w:r>
      <w:r>
        <w:rPr>
          <w:b w:val="0"/>
          <w:u w:val="none"/>
        </w:rPr>
        <w:t>A.</w:t>
      </w:r>
      <w:r w:rsidR="001B1741">
        <w:rPr>
          <w:b w:val="0"/>
          <w:u w:val="none"/>
        </w:rPr>
        <w:t>.</w:t>
      </w:r>
      <w:r>
        <w:rPr>
          <w:b w:val="0"/>
          <w:u w:val="none"/>
        </w:rPr>
        <w:t xml:space="preserve"> El referido Registro informo que el incumplimiento es respecto al plazo de ejecución de una obra no terminada. El Área Técnica considero que el atraso de obra no amerita el descarte de la oferta de esa firma;</w:t>
      </w:r>
    </w:p>
    <w:p w:rsidR="00C9639B" w:rsidRDefault="00FB297D" w:rsidP="00C9639B">
      <w:pPr>
        <w:pStyle w:val="Ttulo"/>
        <w:ind w:firstLine="2835"/>
        <w:jc w:val="both"/>
        <w:rPr>
          <w:b w:val="0"/>
          <w:u w:val="none"/>
        </w:rPr>
      </w:pPr>
      <w:r w:rsidRPr="001B1741">
        <w:rPr>
          <w:u w:val="none"/>
        </w:rPr>
        <w:t>5)</w:t>
      </w:r>
      <w:r w:rsidR="001B1741">
        <w:rPr>
          <w:u w:val="none"/>
        </w:rPr>
        <w:t xml:space="preserve"> </w:t>
      </w:r>
      <w:r>
        <w:rPr>
          <w:b w:val="0"/>
          <w:u w:val="none"/>
        </w:rPr>
        <w:t>que la Comisión Asesora de Adjudicacion</w:t>
      </w:r>
      <w:r w:rsidR="001B1741">
        <w:rPr>
          <w:b w:val="0"/>
          <w:u w:val="none"/>
        </w:rPr>
        <w:t>es,  con  fecha 3.01.19, informó</w:t>
      </w:r>
      <w:r>
        <w:rPr>
          <w:b w:val="0"/>
          <w:u w:val="none"/>
        </w:rPr>
        <w:t xml:space="preserve"> que las empresas que cumplen con los requisitos de </w:t>
      </w:r>
      <w:r>
        <w:rPr>
          <w:b w:val="0"/>
          <w:u w:val="none"/>
        </w:rPr>
        <w:lastRenderedPageBreak/>
        <w:t>admisibilidad previstos en las bases del llamado, fueron CIEMSA y RECONSTRUCCIÓN</w:t>
      </w:r>
      <w:r w:rsidR="001B1741">
        <w:rPr>
          <w:b w:val="0"/>
          <w:u w:val="none"/>
        </w:rPr>
        <w:t xml:space="preserve"> CAÑOS</w:t>
      </w:r>
      <w:r>
        <w:rPr>
          <w:b w:val="0"/>
          <w:u w:val="none"/>
        </w:rPr>
        <w:t xml:space="preserve"> S.A, sugiriendo una mejora de ofertas entre las mismas, por encontrarse en la hipótesis de</w:t>
      </w:r>
      <w:r w:rsidR="001B1741">
        <w:rPr>
          <w:b w:val="0"/>
          <w:u w:val="none"/>
        </w:rPr>
        <w:t xml:space="preserve"> precio similar prevista en el A</w:t>
      </w:r>
      <w:r>
        <w:rPr>
          <w:b w:val="0"/>
          <w:u w:val="none"/>
        </w:rPr>
        <w:t>rt</w:t>
      </w:r>
      <w:r w:rsidR="001B1741">
        <w:rPr>
          <w:b w:val="0"/>
          <w:u w:val="none"/>
        </w:rPr>
        <w:t>ículo</w:t>
      </w:r>
      <w:r>
        <w:rPr>
          <w:b w:val="0"/>
          <w:u w:val="none"/>
        </w:rPr>
        <w:t xml:space="preserve"> 66 del TOCAF;</w:t>
      </w:r>
    </w:p>
    <w:p w:rsidR="00C9639B" w:rsidRDefault="00C9639B" w:rsidP="00C9639B">
      <w:pPr>
        <w:pStyle w:val="Ttulo"/>
        <w:ind w:firstLine="2835"/>
        <w:jc w:val="both"/>
        <w:rPr>
          <w:b w:val="0"/>
          <w:u w:val="none"/>
        </w:rPr>
      </w:pPr>
      <w:r>
        <w:rPr>
          <w:u w:val="none"/>
        </w:rPr>
        <w:t>6</w:t>
      </w:r>
      <w:r w:rsidR="00FB297D">
        <w:rPr>
          <w:u w:val="none"/>
        </w:rPr>
        <w:t>)</w:t>
      </w:r>
      <w:r w:rsidR="00FB297D">
        <w:rPr>
          <w:b w:val="0"/>
          <w:u w:val="none"/>
        </w:rPr>
        <w:t xml:space="preserve"> que  con fecha 11.02.19, la Comisión Supervisora de Contrataciones procedió a solicitar mejora de ofertas entre las empresas CIEMSA y RECONSTRUCCIÓN CAÑOS S.A</w:t>
      </w:r>
      <w:r>
        <w:rPr>
          <w:b w:val="0"/>
          <w:u w:val="none"/>
        </w:rPr>
        <w:t>.</w:t>
      </w:r>
      <w:r w:rsidR="00FB297D">
        <w:rPr>
          <w:b w:val="0"/>
          <w:u w:val="none"/>
        </w:rPr>
        <w:t>;</w:t>
      </w:r>
    </w:p>
    <w:p w:rsidR="00C9639B" w:rsidRDefault="00C9639B" w:rsidP="00C9639B">
      <w:pPr>
        <w:pStyle w:val="Ttulo"/>
        <w:ind w:firstLine="2835"/>
        <w:jc w:val="both"/>
        <w:rPr>
          <w:b w:val="0"/>
          <w:u w:val="none"/>
        </w:rPr>
      </w:pPr>
      <w:r>
        <w:rPr>
          <w:u w:val="none"/>
        </w:rPr>
        <w:t>7</w:t>
      </w:r>
      <w:r w:rsidR="00FB297D">
        <w:rPr>
          <w:u w:val="none"/>
        </w:rPr>
        <w:t xml:space="preserve">) </w:t>
      </w:r>
      <w:r>
        <w:rPr>
          <w:b w:val="0"/>
          <w:u w:val="none"/>
        </w:rPr>
        <w:t>que habiéndose dado cumplimiento con</w:t>
      </w:r>
      <w:r w:rsidR="00FB297D">
        <w:rPr>
          <w:b w:val="0"/>
          <w:u w:val="none"/>
        </w:rPr>
        <w:t xml:space="preserve"> la mejora solicitada,  la Comisión Asesora, en informe de fecha 24.05.19, aconsejó aceptar la oferta presentada por la empresa RECONSTRUCCIÓN CAÑOS S.A., por ajustarse a lo solicitado y ser la de menor precio com</w:t>
      </w:r>
      <w:r>
        <w:rPr>
          <w:b w:val="0"/>
          <w:u w:val="none"/>
        </w:rPr>
        <w:t>parativo, por un total de $ 104:019.196,24 (</w:t>
      </w:r>
      <w:r w:rsidR="00FB297D">
        <w:rPr>
          <w:b w:val="0"/>
          <w:u w:val="none"/>
        </w:rPr>
        <w:t>impuestos y Leyes Sociales incluidos);</w:t>
      </w:r>
    </w:p>
    <w:p w:rsidR="00C9639B" w:rsidRDefault="00C9639B" w:rsidP="00C9639B">
      <w:pPr>
        <w:pStyle w:val="Ttulo"/>
        <w:ind w:firstLine="2835"/>
        <w:jc w:val="both"/>
        <w:rPr>
          <w:b w:val="0"/>
          <w:u w:val="none"/>
        </w:rPr>
      </w:pPr>
      <w:r>
        <w:rPr>
          <w:u w:val="none"/>
        </w:rPr>
        <w:t>8</w:t>
      </w:r>
      <w:r w:rsidR="00FB297D">
        <w:rPr>
          <w:u w:val="none"/>
        </w:rPr>
        <w:t xml:space="preserve">) </w:t>
      </w:r>
      <w:r w:rsidR="00FB297D">
        <w:rPr>
          <w:b w:val="0"/>
          <w:u w:val="none"/>
        </w:rPr>
        <w:t>qu</w:t>
      </w:r>
      <w:r>
        <w:rPr>
          <w:b w:val="0"/>
          <w:u w:val="none"/>
        </w:rPr>
        <w:t>e habiéndose dado cumplimiento con lo dispuesto por el A</w:t>
      </w:r>
      <w:r w:rsidR="00FB297D">
        <w:rPr>
          <w:b w:val="0"/>
          <w:u w:val="none"/>
        </w:rPr>
        <w:t>rt</w:t>
      </w:r>
      <w:r>
        <w:rPr>
          <w:b w:val="0"/>
          <w:u w:val="none"/>
        </w:rPr>
        <w:t>ículo</w:t>
      </w:r>
      <w:r w:rsidR="00FB297D">
        <w:rPr>
          <w:b w:val="0"/>
          <w:u w:val="none"/>
        </w:rPr>
        <w:t xml:space="preserve"> 67 del TOCAF, no se presentaron impugnaciones por parte de los oferentes;</w:t>
      </w:r>
    </w:p>
    <w:p w:rsidR="00C9639B" w:rsidRDefault="00C9639B" w:rsidP="00C9639B">
      <w:pPr>
        <w:pStyle w:val="Ttulo"/>
        <w:ind w:firstLine="2835"/>
        <w:jc w:val="both"/>
        <w:rPr>
          <w:b w:val="0"/>
          <w:u w:val="none"/>
        </w:rPr>
      </w:pPr>
      <w:r>
        <w:rPr>
          <w:u w:val="none"/>
        </w:rPr>
        <w:t>9</w:t>
      </w:r>
      <w:r w:rsidR="00FB297D">
        <w:rPr>
          <w:u w:val="none"/>
        </w:rPr>
        <w:t xml:space="preserve">) </w:t>
      </w:r>
      <w:r w:rsidR="00FB297D">
        <w:rPr>
          <w:b w:val="0"/>
          <w:u w:val="none"/>
        </w:rPr>
        <w:t>que por Resolución Nº 2736, de fecha 7.06.19, el Ejecutivo Depart</w:t>
      </w:r>
      <w:r>
        <w:rPr>
          <w:b w:val="0"/>
          <w:u w:val="none"/>
        </w:rPr>
        <w:t>amental dispuso  adjudicar la L</w:t>
      </w:r>
      <w:r w:rsidR="00FB297D">
        <w:rPr>
          <w:b w:val="0"/>
          <w:u w:val="none"/>
        </w:rPr>
        <w:t>icitación, de acuerdo con lo aco</w:t>
      </w:r>
      <w:r>
        <w:rPr>
          <w:b w:val="0"/>
          <w:u w:val="none"/>
        </w:rPr>
        <w:t>nsejado por la Comisión Asesora;</w:t>
      </w:r>
    </w:p>
    <w:p w:rsidR="00FB297D" w:rsidRDefault="00C9639B" w:rsidP="00C9639B">
      <w:pPr>
        <w:pStyle w:val="Ttulo"/>
        <w:ind w:firstLine="2835"/>
        <w:jc w:val="both"/>
        <w:rPr>
          <w:b w:val="0"/>
          <w:u w:val="none"/>
        </w:rPr>
      </w:pPr>
      <w:r>
        <w:rPr>
          <w:u w:val="none"/>
        </w:rPr>
        <w:t>10</w:t>
      </w:r>
      <w:r w:rsidR="00FB297D">
        <w:rPr>
          <w:u w:val="none"/>
        </w:rPr>
        <w:t xml:space="preserve">) </w:t>
      </w:r>
      <w:r w:rsidR="00FB297D">
        <w:rPr>
          <w:b w:val="0"/>
          <w:u w:val="none"/>
        </w:rPr>
        <w:t>que con fecha 12.06.19, se realizó la</w:t>
      </w:r>
      <w:r>
        <w:rPr>
          <w:b w:val="0"/>
          <w:u w:val="none"/>
        </w:rPr>
        <w:t xml:space="preserve"> imputación de las sumas de $ 3:476.556,25 y $ 100:</w:t>
      </w:r>
      <w:r w:rsidR="00FB297D">
        <w:rPr>
          <w:b w:val="0"/>
          <w:u w:val="none"/>
        </w:rPr>
        <w:t>542.639,99, con cargo a la Actividad 508002301, Derivado 271000, sin disponibilidad;</w:t>
      </w:r>
    </w:p>
    <w:p w:rsidR="00C9639B" w:rsidRDefault="00FB297D" w:rsidP="00C9639B">
      <w:pPr>
        <w:pStyle w:val="Ttulo"/>
        <w:tabs>
          <w:tab w:val="left" w:pos="1843"/>
        </w:tabs>
        <w:ind w:firstLine="851"/>
        <w:jc w:val="both"/>
        <w:rPr>
          <w:b w:val="0"/>
          <w:bCs/>
          <w:u w:val="none"/>
        </w:rPr>
      </w:pPr>
      <w:r>
        <w:rPr>
          <w:bCs/>
          <w:u w:val="none"/>
        </w:rPr>
        <w:t xml:space="preserve">CONSIDERANDO: 1) </w:t>
      </w:r>
      <w:r>
        <w:rPr>
          <w:b w:val="0"/>
          <w:bCs/>
          <w:u w:val="none"/>
        </w:rPr>
        <w:t>que el procedimiento remitido se</w:t>
      </w:r>
      <w:r w:rsidR="00C9639B">
        <w:rPr>
          <w:b w:val="0"/>
          <w:bCs/>
          <w:u w:val="none"/>
        </w:rPr>
        <w:t xml:space="preserve"> ajusta a lo dispuesto por los A</w:t>
      </w:r>
      <w:r>
        <w:rPr>
          <w:b w:val="0"/>
          <w:bCs/>
          <w:u w:val="none"/>
        </w:rPr>
        <w:t>rt</w:t>
      </w:r>
      <w:r w:rsidR="00C9639B">
        <w:rPr>
          <w:b w:val="0"/>
          <w:bCs/>
          <w:u w:val="none"/>
        </w:rPr>
        <w:t>ículo</w:t>
      </w:r>
      <w:r>
        <w:rPr>
          <w:b w:val="0"/>
          <w:bCs/>
          <w:u w:val="none"/>
        </w:rPr>
        <w:t>s 33 y siguientes del T.O.C.A.F.;</w:t>
      </w:r>
    </w:p>
    <w:p w:rsidR="00FB297D" w:rsidRDefault="00FB297D" w:rsidP="00C9639B">
      <w:pPr>
        <w:pStyle w:val="Ttulo"/>
        <w:tabs>
          <w:tab w:val="left" w:pos="1843"/>
        </w:tabs>
        <w:ind w:firstLine="3119"/>
        <w:jc w:val="both"/>
        <w:rPr>
          <w:b w:val="0"/>
          <w:bCs/>
          <w:u w:val="none"/>
        </w:rPr>
      </w:pPr>
      <w:r>
        <w:rPr>
          <w:bCs/>
          <w:u w:val="none"/>
        </w:rPr>
        <w:t xml:space="preserve">2) </w:t>
      </w:r>
      <w:r>
        <w:rPr>
          <w:b w:val="0"/>
          <w:bCs/>
          <w:u w:val="none"/>
        </w:rPr>
        <w:t>que no obstante, se comprometió  un gasto sin disponibilidad suficiente en el rubro de imputación contable, en contravención a lo dispue</w:t>
      </w:r>
      <w:r w:rsidR="00C9639B">
        <w:rPr>
          <w:b w:val="0"/>
          <w:bCs/>
          <w:u w:val="none"/>
        </w:rPr>
        <w:t>sto por el A</w:t>
      </w:r>
      <w:r>
        <w:rPr>
          <w:b w:val="0"/>
          <w:bCs/>
          <w:u w:val="none"/>
        </w:rPr>
        <w:t>rt</w:t>
      </w:r>
      <w:r w:rsidR="00C9639B">
        <w:rPr>
          <w:b w:val="0"/>
          <w:bCs/>
          <w:u w:val="none"/>
        </w:rPr>
        <w:t>ículo</w:t>
      </w:r>
      <w:r>
        <w:rPr>
          <w:b w:val="0"/>
          <w:bCs/>
          <w:u w:val="none"/>
        </w:rPr>
        <w:t xml:space="preserve"> 15 del TOCAF;</w:t>
      </w:r>
    </w:p>
    <w:p w:rsidR="00FB297D" w:rsidRDefault="00FB297D" w:rsidP="00C9639B">
      <w:pPr>
        <w:pStyle w:val="Ttulo"/>
        <w:ind w:firstLine="851"/>
        <w:jc w:val="both"/>
        <w:rPr>
          <w:b w:val="0"/>
          <w:bCs/>
          <w:u w:val="none"/>
        </w:rPr>
      </w:pPr>
      <w:r>
        <w:rPr>
          <w:u w:val="none"/>
        </w:rPr>
        <w:t xml:space="preserve">ATENTO: </w:t>
      </w:r>
      <w:r>
        <w:rPr>
          <w:b w:val="0"/>
          <w:bCs/>
          <w:u w:val="none"/>
        </w:rPr>
        <w:t>a lo precedentemente exp</w:t>
      </w:r>
      <w:r w:rsidR="00C9639B">
        <w:rPr>
          <w:b w:val="0"/>
          <w:bCs/>
          <w:u w:val="none"/>
        </w:rPr>
        <w:t>uesto y a lo establecido en el A</w:t>
      </w:r>
      <w:r>
        <w:rPr>
          <w:b w:val="0"/>
          <w:bCs/>
          <w:u w:val="none"/>
        </w:rPr>
        <w:t>rt</w:t>
      </w:r>
      <w:r w:rsidR="00C9639B">
        <w:rPr>
          <w:b w:val="0"/>
          <w:bCs/>
          <w:u w:val="none"/>
        </w:rPr>
        <w:t>ículo  211 Literal</w:t>
      </w:r>
      <w:r>
        <w:rPr>
          <w:b w:val="0"/>
          <w:bCs/>
          <w:u w:val="none"/>
        </w:rPr>
        <w:t xml:space="preserve"> B) de la Constitución de la República;</w:t>
      </w:r>
    </w:p>
    <w:p w:rsidR="00FB297D" w:rsidRDefault="00FB297D" w:rsidP="00FB297D">
      <w:pPr>
        <w:spacing w:line="360" w:lineRule="auto"/>
        <w:jc w:val="both"/>
        <w:rPr>
          <w:b w:val="0"/>
          <w:bCs/>
          <w:lang w:val="es-UY"/>
        </w:rPr>
      </w:pPr>
    </w:p>
    <w:p w:rsidR="00FB297D" w:rsidRDefault="00FB297D" w:rsidP="00FB297D">
      <w:pPr>
        <w:pStyle w:val="Ttulo2"/>
        <w:spacing w:line="360" w:lineRule="auto"/>
        <w:rPr>
          <w:lang w:val="es-UY"/>
        </w:rPr>
      </w:pPr>
      <w:r>
        <w:rPr>
          <w:lang w:val="es-UY"/>
        </w:rPr>
        <w:lastRenderedPageBreak/>
        <w:t>EL TRIBUNAL ACUERDA</w:t>
      </w:r>
    </w:p>
    <w:p w:rsidR="00FB297D" w:rsidRDefault="00FB297D" w:rsidP="00C9639B">
      <w:pPr>
        <w:numPr>
          <w:ilvl w:val="0"/>
          <w:numId w:val="1"/>
        </w:numPr>
        <w:tabs>
          <w:tab w:val="clear" w:pos="720"/>
          <w:tab w:val="num" w:pos="284"/>
        </w:tabs>
        <w:spacing w:line="360" w:lineRule="auto"/>
        <w:ind w:hanging="720"/>
        <w:jc w:val="both"/>
        <w:rPr>
          <w:rFonts w:ascii="Arial" w:hAnsi="Arial" w:cs="Arial"/>
          <w:b w:val="0"/>
          <w:bCs/>
        </w:rPr>
      </w:pPr>
      <w:r>
        <w:rPr>
          <w:rFonts w:ascii="Arial" w:hAnsi="Arial" w:cs="Arial"/>
          <w:b w:val="0"/>
          <w:bCs/>
        </w:rPr>
        <w:t>Observar el gasto;</w:t>
      </w:r>
    </w:p>
    <w:p w:rsidR="005364FC" w:rsidRDefault="005364FC" w:rsidP="00C9639B">
      <w:pPr>
        <w:numPr>
          <w:ilvl w:val="0"/>
          <w:numId w:val="1"/>
        </w:numPr>
        <w:tabs>
          <w:tab w:val="clear" w:pos="720"/>
          <w:tab w:val="num" w:pos="284"/>
        </w:tabs>
        <w:spacing w:line="360" w:lineRule="auto"/>
        <w:ind w:hanging="720"/>
        <w:jc w:val="both"/>
        <w:rPr>
          <w:rFonts w:ascii="Arial" w:hAnsi="Arial" w:cs="Arial"/>
          <w:b w:val="0"/>
          <w:bCs/>
        </w:rPr>
      </w:pPr>
      <w:r>
        <w:rPr>
          <w:rFonts w:ascii="Arial" w:hAnsi="Arial" w:cs="Arial"/>
          <w:b w:val="0"/>
          <w:bCs/>
        </w:rPr>
        <w:t>Comunicar al Contador Delegado;</w:t>
      </w:r>
      <w:bookmarkStart w:id="0" w:name="_GoBack"/>
      <w:bookmarkEnd w:id="0"/>
    </w:p>
    <w:p w:rsidR="0019785F" w:rsidRDefault="00FB297D" w:rsidP="0019785F">
      <w:pPr>
        <w:numPr>
          <w:ilvl w:val="0"/>
          <w:numId w:val="1"/>
        </w:numPr>
        <w:tabs>
          <w:tab w:val="clear" w:pos="720"/>
          <w:tab w:val="num" w:pos="284"/>
        </w:tabs>
        <w:spacing w:line="360" w:lineRule="auto"/>
        <w:ind w:hanging="720"/>
        <w:jc w:val="both"/>
      </w:pPr>
      <w:r>
        <w:rPr>
          <w:rFonts w:ascii="Arial" w:hAnsi="Arial" w:cs="Arial"/>
          <w:b w:val="0"/>
          <w:bCs/>
        </w:rPr>
        <w:t>Devolver las actuaciones.</w:t>
      </w:r>
      <w:r w:rsidR="00C9639B">
        <w:t xml:space="preserve"> </w:t>
      </w:r>
    </w:p>
    <w:p w:rsidR="00C9639B" w:rsidRDefault="00C9639B" w:rsidP="00C9639B">
      <w:pPr>
        <w:spacing w:line="360" w:lineRule="auto"/>
        <w:jc w:val="both"/>
      </w:pPr>
    </w:p>
    <w:p w:rsidR="00C9639B" w:rsidRDefault="00C9639B" w:rsidP="00C9639B">
      <w:pPr>
        <w:spacing w:line="360" w:lineRule="auto"/>
        <w:jc w:val="both"/>
      </w:pPr>
    </w:p>
    <w:p w:rsidR="00C9639B" w:rsidRDefault="00C9639B" w:rsidP="00C9639B">
      <w:pPr>
        <w:spacing w:line="360" w:lineRule="auto"/>
        <w:jc w:val="both"/>
      </w:pPr>
    </w:p>
    <w:p w:rsidR="00C9639B" w:rsidRDefault="00C9639B" w:rsidP="00C9639B">
      <w:pPr>
        <w:spacing w:line="360" w:lineRule="auto"/>
        <w:jc w:val="both"/>
      </w:pPr>
    </w:p>
    <w:p w:rsidR="00C9639B" w:rsidRPr="00C9639B" w:rsidRDefault="00C9639B" w:rsidP="00C9639B">
      <w:pPr>
        <w:spacing w:line="360" w:lineRule="auto"/>
        <w:ind w:hanging="426"/>
        <w:jc w:val="both"/>
        <w:rPr>
          <w:rFonts w:ascii="Arial" w:hAnsi="Arial" w:cs="Arial"/>
          <w:b w:val="0"/>
        </w:rPr>
      </w:pPr>
      <w:proofErr w:type="gramStart"/>
      <w:r>
        <w:rPr>
          <w:rFonts w:ascii="Arial" w:hAnsi="Arial" w:cs="Arial"/>
          <w:b w:val="0"/>
        </w:rPr>
        <w:t>dc</w:t>
      </w:r>
      <w:proofErr w:type="gramEnd"/>
    </w:p>
    <w:sectPr w:rsidR="00C9639B" w:rsidRPr="00C9639B" w:rsidSect="0019785F">
      <w:footerReference w:type="default" r:id="rId8"/>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85F" w:rsidRDefault="0019785F" w:rsidP="0019785F">
      <w:r>
        <w:separator/>
      </w:r>
    </w:p>
  </w:endnote>
  <w:endnote w:type="continuationSeparator" w:id="0">
    <w:p w:rsidR="0019785F" w:rsidRDefault="0019785F" w:rsidP="0019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892199"/>
      <w:docPartObj>
        <w:docPartGallery w:val="Page Numbers (Bottom of Page)"/>
        <w:docPartUnique/>
      </w:docPartObj>
    </w:sdtPr>
    <w:sdtEndPr/>
    <w:sdtContent>
      <w:p w:rsidR="0019785F" w:rsidRDefault="0019785F">
        <w:pPr>
          <w:pStyle w:val="Piedepgina"/>
          <w:jc w:val="center"/>
        </w:pPr>
        <w:r>
          <w:fldChar w:fldCharType="begin"/>
        </w:r>
        <w:r>
          <w:instrText>PAGE   \* MERGEFORMAT</w:instrText>
        </w:r>
        <w:r>
          <w:fldChar w:fldCharType="separate"/>
        </w:r>
        <w:r w:rsidR="005364FC">
          <w:rPr>
            <w:noProof/>
          </w:rPr>
          <w:t>3</w:t>
        </w:r>
        <w:r>
          <w:fldChar w:fldCharType="end"/>
        </w:r>
      </w:p>
    </w:sdtContent>
  </w:sdt>
  <w:p w:rsidR="0019785F" w:rsidRDefault="001978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85F" w:rsidRDefault="0019785F" w:rsidP="0019785F">
      <w:r>
        <w:separator/>
      </w:r>
    </w:p>
  </w:footnote>
  <w:footnote w:type="continuationSeparator" w:id="0">
    <w:p w:rsidR="0019785F" w:rsidRDefault="0019785F" w:rsidP="00197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6EE26A3C"/>
    <w:lvl w:ilvl="0" w:tplc="030AEEB8">
      <w:start w:val="1"/>
      <w:numFmt w:val="decimal"/>
      <w:lvlText w:val="%1)"/>
      <w:lvlJc w:val="left"/>
      <w:pPr>
        <w:tabs>
          <w:tab w:val="num" w:pos="720"/>
        </w:tabs>
        <w:ind w:left="720" w:hanging="360"/>
      </w:pPr>
      <w:rPr>
        <w:rFonts w:ascii="Arial" w:hAnsi="Arial" w:cs="Arial" w:hint="default"/>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97D"/>
    <w:rsid w:val="00035D78"/>
    <w:rsid w:val="0019785F"/>
    <w:rsid w:val="001B1741"/>
    <w:rsid w:val="005364FC"/>
    <w:rsid w:val="008376A5"/>
    <w:rsid w:val="00C9639B"/>
    <w:rsid w:val="00E51BF0"/>
    <w:rsid w:val="00FB297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97D"/>
    <w:pPr>
      <w:spacing w:after="0" w:line="240" w:lineRule="auto"/>
    </w:pPr>
    <w:rPr>
      <w:rFonts w:ascii="GothicPS" w:eastAsia="Times New Roman" w:hAnsi="GothicPS" w:cs="Times New Roman"/>
      <w:b/>
      <w:color w:val="000000"/>
      <w:sz w:val="24"/>
      <w:szCs w:val="20"/>
      <w:lang w:val="es-ES" w:eastAsia="es-ES"/>
    </w:rPr>
  </w:style>
  <w:style w:type="paragraph" w:styleId="Ttulo2">
    <w:name w:val="heading 2"/>
    <w:basedOn w:val="Normal"/>
    <w:next w:val="Normal"/>
    <w:link w:val="Ttulo2Car"/>
    <w:semiHidden/>
    <w:unhideWhenUsed/>
    <w:qFormat/>
    <w:rsid w:val="00FB297D"/>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FB297D"/>
    <w:rPr>
      <w:rFonts w:ascii="Arial" w:eastAsia="Times New Roman" w:hAnsi="Arial" w:cs="Arial"/>
      <w:b/>
      <w:color w:val="000000"/>
      <w:sz w:val="24"/>
      <w:szCs w:val="20"/>
      <w:lang w:val="es-ES_tradnl" w:eastAsia="es-ES"/>
    </w:rPr>
  </w:style>
  <w:style w:type="paragraph" w:styleId="Ttulo">
    <w:name w:val="Title"/>
    <w:basedOn w:val="Normal"/>
    <w:link w:val="TtuloCar"/>
    <w:qFormat/>
    <w:rsid w:val="00FB297D"/>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FB297D"/>
    <w:rPr>
      <w:rFonts w:ascii="Arial" w:eastAsia="Times New Roman" w:hAnsi="Arial" w:cs="Times New Roman"/>
      <w:b/>
      <w:sz w:val="24"/>
      <w:szCs w:val="24"/>
      <w:u w:val="single"/>
      <w:lang w:eastAsia="es-ES"/>
    </w:rPr>
  </w:style>
  <w:style w:type="paragraph" w:styleId="Subttulo">
    <w:name w:val="Subtitle"/>
    <w:basedOn w:val="Normal"/>
    <w:link w:val="SubttuloCar"/>
    <w:qFormat/>
    <w:rsid w:val="00FB297D"/>
    <w:pPr>
      <w:spacing w:line="360" w:lineRule="auto"/>
      <w:jc w:val="center"/>
    </w:pPr>
    <w:rPr>
      <w:rFonts w:ascii="Arial" w:hAnsi="Arial" w:cs="Arial"/>
    </w:rPr>
  </w:style>
  <w:style w:type="character" w:customStyle="1" w:styleId="SubttuloCar">
    <w:name w:val="Subtítulo Car"/>
    <w:basedOn w:val="Fuentedeprrafopredeter"/>
    <w:link w:val="Subttulo"/>
    <w:rsid w:val="00FB297D"/>
    <w:rPr>
      <w:rFonts w:ascii="Arial" w:eastAsia="Times New Roman" w:hAnsi="Arial" w:cs="Arial"/>
      <w:b/>
      <w:color w:val="000000"/>
      <w:sz w:val="24"/>
      <w:szCs w:val="20"/>
      <w:lang w:val="es-ES" w:eastAsia="es-ES"/>
    </w:rPr>
  </w:style>
  <w:style w:type="paragraph" w:styleId="Encabezado">
    <w:name w:val="header"/>
    <w:basedOn w:val="Normal"/>
    <w:link w:val="EncabezadoCar"/>
    <w:uiPriority w:val="99"/>
    <w:unhideWhenUsed/>
    <w:rsid w:val="0019785F"/>
    <w:pPr>
      <w:tabs>
        <w:tab w:val="center" w:pos="4252"/>
        <w:tab w:val="right" w:pos="8504"/>
      </w:tabs>
    </w:pPr>
  </w:style>
  <w:style w:type="character" w:customStyle="1" w:styleId="EncabezadoCar">
    <w:name w:val="Encabezado Car"/>
    <w:basedOn w:val="Fuentedeprrafopredeter"/>
    <w:link w:val="Encabezado"/>
    <w:uiPriority w:val="99"/>
    <w:rsid w:val="0019785F"/>
    <w:rPr>
      <w:rFonts w:ascii="GothicPS" w:eastAsia="Times New Roman" w:hAnsi="GothicPS" w:cs="Times New Roman"/>
      <w:b/>
      <w:color w:val="000000"/>
      <w:sz w:val="24"/>
      <w:szCs w:val="20"/>
      <w:lang w:val="es-ES" w:eastAsia="es-ES"/>
    </w:rPr>
  </w:style>
  <w:style w:type="paragraph" w:styleId="Piedepgina">
    <w:name w:val="footer"/>
    <w:basedOn w:val="Normal"/>
    <w:link w:val="PiedepginaCar"/>
    <w:uiPriority w:val="99"/>
    <w:unhideWhenUsed/>
    <w:rsid w:val="0019785F"/>
    <w:pPr>
      <w:tabs>
        <w:tab w:val="center" w:pos="4252"/>
        <w:tab w:val="right" w:pos="8504"/>
      </w:tabs>
    </w:pPr>
  </w:style>
  <w:style w:type="character" w:customStyle="1" w:styleId="PiedepginaCar">
    <w:name w:val="Pie de página Car"/>
    <w:basedOn w:val="Fuentedeprrafopredeter"/>
    <w:link w:val="Piedepgina"/>
    <w:uiPriority w:val="99"/>
    <w:rsid w:val="0019785F"/>
    <w:rPr>
      <w:rFonts w:ascii="GothicPS" w:eastAsia="Times New Roman" w:hAnsi="GothicPS" w:cs="Times New Roman"/>
      <w:b/>
      <w:color w:val="000000"/>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97D"/>
    <w:pPr>
      <w:spacing w:after="0" w:line="240" w:lineRule="auto"/>
    </w:pPr>
    <w:rPr>
      <w:rFonts w:ascii="GothicPS" w:eastAsia="Times New Roman" w:hAnsi="GothicPS" w:cs="Times New Roman"/>
      <w:b/>
      <w:color w:val="000000"/>
      <w:sz w:val="24"/>
      <w:szCs w:val="20"/>
      <w:lang w:val="es-ES" w:eastAsia="es-ES"/>
    </w:rPr>
  </w:style>
  <w:style w:type="paragraph" w:styleId="Ttulo2">
    <w:name w:val="heading 2"/>
    <w:basedOn w:val="Normal"/>
    <w:next w:val="Normal"/>
    <w:link w:val="Ttulo2Car"/>
    <w:semiHidden/>
    <w:unhideWhenUsed/>
    <w:qFormat/>
    <w:rsid w:val="00FB297D"/>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FB297D"/>
    <w:rPr>
      <w:rFonts w:ascii="Arial" w:eastAsia="Times New Roman" w:hAnsi="Arial" w:cs="Arial"/>
      <w:b/>
      <w:color w:val="000000"/>
      <w:sz w:val="24"/>
      <w:szCs w:val="20"/>
      <w:lang w:val="es-ES_tradnl" w:eastAsia="es-ES"/>
    </w:rPr>
  </w:style>
  <w:style w:type="paragraph" w:styleId="Ttulo">
    <w:name w:val="Title"/>
    <w:basedOn w:val="Normal"/>
    <w:link w:val="TtuloCar"/>
    <w:qFormat/>
    <w:rsid w:val="00FB297D"/>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FB297D"/>
    <w:rPr>
      <w:rFonts w:ascii="Arial" w:eastAsia="Times New Roman" w:hAnsi="Arial" w:cs="Times New Roman"/>
      <w:b/>
      <w:sz w:val="24"/>
      <w:szCs w:val="24"/>
      <w:u w:val="single"/>
      <w:lang w:eastAsia="es-ES"/>
    </w:rPr>
  </w:style>
  <w:style w:type="paragraph" w:styleId="Subttulo">
    <w:name w:val="Subtitle"/>
    <w:basedOn w:val="Normal"/>
    <w:link w:val="SubttuloCar"/>
    <w:qFormat/>
    <w:rsid w:val="00FB297D"/>
    <w:pPr>
      <w:spacing w:line="360" w:lineRule="auto"/>
      <w:jc w:val="center"/>
    </w:pPr>
    <w:rPr>
      <w:rFonts w:ascii="Arial" w:hAnsi="Arial" w:cs="Arial"/>
    </w:rPr>
  </w:style>
  <w:style w:type="character" w:customStyle="1" w:styleId="SubttuloCar">
    <w:name w:val="Subtítulo Car"/>
    <w:basedOn w:val="Fuentedeprrafopredeter"/>
    <w:link w:val="Subttulo"/>
    <w:rsid w:val="00FB297D"/>
    <w:rPr>
      <w:rFonts w:ascii="Arial" w:eastAsia="Times New Roman" w:hAnsi="Arial" w:cs="Arial"/>
      <w:b/>
      <w:color w:val="000000"/>
      <w:sz w:val="24"/>
      <w:szCs w:val="20"/>
      <w:lang w:val="es-ES" w:eastAsia="es-ES"/>
    </w:rPr>
  </w:style>
  <w:style w:type="paragraph" w:styleId="Encabezado">
    <w:name w:val="header"/>
    <w:basedOn w:val="Normal"/>
    <w:link w:val="EncabezadoCar"/>
    <w:uiPriority w:val="99"/>
    <w:unhideWhenUsed/>
    <w:rsid w:val="0019785F"/>
    <w:pPr>
      <w:tabs>
        <w:tab w:val="center" w:pos="4252"/>
        <w:tab w:val="right" w:pos="8504"/>
      </w:tabs>
    </w:pPr>
  </w:style>
  <w:style w:type="character" w:customStyle="1" w:styleId="EncabezadoCar">
    <w:name w:val="Encabezado Car"/>
    <w:basedOn w:val="Fuentedeprrafopredeter"/>
    <w:link w:val="Encabezado"/>
    <w:uiPriority w:val="99"/>
    <w:rsid w:val="0019785F"/>
    <w:rPr>
      <w:rFonts w:ascii="GothicPS" w:eastAsia="Times New Roman" w:hAnsi="GothicPS" w:cs="Times New Roman"/>
      <w:b/>
      <w:color w:val="000000"/>
      <w:sz w:val="24"/>
      <w:szCs w:val="20"/>
      <w:lang w:val="es-ES" w:eastAsia="es-ES"/>
    </w:rPr>
  </w:style>
  <w:style w:type="paragraph" w:styleId="Piedepgina">
    <w:name w:val="footer"/>
    <w:basedOn w:val="Normal"/>
    <w:link w:val="PiedepginaCar"/>
    <w:uiPriority w:val="99"/>
    <w:unhideWhenUsed/>
    <w:rsid w:val="0019785F"/>
    <w:pPr>
      <w:tabs>
        <w:tab w:val="center" w:pos="4252"/>
        <w:tab w:val="right" w:pos="8504"/>
      </w:tabs>
    </w:pPr>
  </w:style>
  <w:style w:type="character" w:customStyle="1" w:styleId="PiedepginaCar">
    <w:name w:val="Pie de página Car"/>
    <w:basedOn w:val="Fuentedeprrafopredeter"/>
    <w:link w:val="Piedepgina"/>
    <w:uiPriority w:val="99"/>
    <w:rsid w:val="0019785F"/>
    <w:rPr>
      <w:rFonts w:ascii="GothicPS" w:eastAsia="Times New Roman" w:hAnsi="GothicPS" w:cs="Times New Roman"/>
      <w:b/>
      <w:color w:val="00000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35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496</Words>
  <Characters>2729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BEATRIZ RACHETTI VISCONTI</dc:creator>
  <cp:lastModifiedBy>Tribunal1</cp:lastModifiedBy>
  <cp:revision>4</cp:revision>
  <cp:lastPrinted>2019-07-11T19:00:00Z</cp:lastPrinted>
  <dcterms:created xsi:type="dcterms:W3CDTF">2019-07-11T19:01:00Z</dcterms:created>
  <dcterms:modified xsi:type="dcterms:W3CDTF">2019-07-12T16:14:00Z</dcterms:modified>
</cp:coreProperties>
</file>