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58" w:rsidRPr="00B17458" w:rsidRDefault="00B17458" w:rsidP="00B17458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RES.1607/19</w:t>
      </w:r>
    </w:p>
    <w:p w:rsidR="00B17458" w:rsidRPr="00B17458" w:rsidRDefault="00B17458" w:rsidP="00B1745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1745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17458" w:rsidRPr="00B17458" w:rsidRDefault="00B17458" w:rsidP="00B1745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17458" w:rsidRPr="00B17458" w:rsidRDefault="00B17458" w:rsidP="00B1745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1745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17458" w:rsidRPr="00B17458" w:rsidRDefault="00B17458" w:rsidP="00B1745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17458" w:rsidRPr="00B17458" w:rsidRDefault="00B17458" w:rsidP="00B1745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17458">
        <w:rPr>
          <w:rFonts w:ascii="Arial" w:hAnsi="Arial" w:cs="Arial"/>
          <w:b/>
          <w:sz w:val="24"/>
          <w:szCs w:val="24"/>
          <w:lang w:val="es-ES_tradnl"/>
        </w:rPr>
        <w:t>EN SESION DE FECHA 3 DE JULIO DE 2019</w:t>
      </w:r>
    </w:p>
    <w:p w:rsidR="00B17458" w:rsidRPr="00B17458" w:rsidRDefault="00B17458" w:rsidP="00B1745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17458" w:rsidRPr="00B17458" w:rsidRDefault="00B17458" w:rsidP="00B1745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7458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B17458">
        <w:rPr>
          <w:rFonts w:ascii="Arial" w:hAnsi="Arial" w:cs="Arial"/>
          <w:b/>
          <w:sz w:val="24"/>
          <w:szCs w:val="24"/>
        </w:rPr>
        <w:t>2016-17-1-0007185</w:t>
      </w:r>
      <w:r w:rsidRPr="00B1745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B17458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B17458">
        <w:rPr>
          <w:rFonts w:ascii="Arial" w:hAnsi="Arial" w:cs="Arial"/>
          <w:b/>
          <w:sz w:val="24"/>
          <w:szCs w:val="24"/>
          <w:lang w:val="en-US"/>
        </w:rPr>
        <w:t>. N°2169/19)</w:t>
      </w:r>
    </w:p>
    <w:p w:rsidR="009E4AE4" w:rsidRDefault="009E4AE4" w:rsidP="00B1745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D0BFD" w:rsidRDefault="00E270B6" w:rsidP="00B1745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nuevas actuaciones remitidas por </w:t>
      </w:r>
      <w:r w:rsidR="003D0BFD">
        <w:rPr>
          <w:rFonts w:ascii="Arial" w:hAnsi="Arial" w:cs="Arial"/>
          <w:sz w:val="24"/>
          <w:szCs w:val="24"/>
        </w:rPr>
        <w:t>l</w:t>
      </w:r>
      <w:r w:rsidR="003D0BFD">
        <w:rPr>
          <w:rFonts w:ascii="Arial" w:eastAsia="Times New Roman" w:hAnsi="Arial" w:cs="Arial"/>
          <w:bCs/>
          <w:sz w:val="24"/>
          <w:szCs w:val="20"/>
          <w:lang w:val="es-ES" w:eastAsia="es-ES"/>
        </w:rPr>
        <w:t>a</w:t>
      </w:r>
      <w:r w:rsidR="003D0BFD">
        <w:rPr>
          <w:rFonts w:ascii="Arial" w:hAnsi="Arial" w:cs="Arial"/>
          <w:sz w:val="24"/>
          <w:szCs w:val="24"/>
        </w:rPr>
        <w:t xml:space="preserve"> Administración Nacional de Puertos relacionadas con la ampliación de la Licitación Pública </w:t>
      </w:r>
      <w:r w:rsidR="00B17458">
        <w:rPr>
          <w:rFonts w:ascii="Arial" w:hAnsi="Arial" w:cs="Arial"/>
          <w:sz w:val="24"/>
          <w:szCs w:val="24"/>
        </w:rPr>
        <w:t xml:space="preserve">    </w:t>
      </w:r>
      <w:r w:rsidR="003D0BFD">
        <w:rPr>
          <w:rFonts w:ascii="Arial" w:hAnsi="Arial" w:cs="Arial"/>
          <w:sz w:val="24"/>
          <w:szCs w:val="24"/>
        </w:rPr>
        <w:t xml:space="preserve">N° 18.346 convocada para la contratación del servicio de administración de la infraestructura, operación, mantenimiento y desarrollo de los sistemas informáticos del </w:t>
      </w:r>
      <w:r w:rsidR="00A006CB">
        <w:rPr>
          <w:rFonts w:ascii="Arial" w:hAnsi="Arial" w:cs="Arial"/>
          <w:sz w:val="24"/>
          <w:szCs w:val="24"/>
        </w:rPr>
        <w:t>o</w:t>
      </w:r>
      <w:r w:rsidR="003D0BFD">
        <w:rPr>
          <w:rFonts w:ascii="Arial" w:hAnsi="Arial" w:cs="Arial"/>
          <w:sz w:val="24"/>
          <w:szCs w:val="24"/>
        </w:rPr>
        <w:t>r</w:t>
      </w:r>
      <w:r w:rsidR="00A006CB">
        <w:rPr>
          <w:rFonts w:ascii="Arial" w:hAnsi="Arial" w:cs="Arial"/>
          <w:sz w:val="24"/>
          <w:szCs w:val="24"/>
        </w:rPr>
        <w:t>ganismo;</w:t>
      </w:r>
    </w:p>
    <w:p w:rsidR="009444D2" w:rsidRDefault="00E270B6" w:rsidP="00B1745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70B6">
        <w:rPr>
          <w:rFonts w:ascii="Arial" w:hAnsi="Arial" w:cs="Arial"/>
          <w:b/>
          <w:sz w:val="24"/>
          <w:szCs w:val="24"/>
        </w:rPr>
        <w:t>RESULTANDO:</w:t>
      </w:r>
      <w:r w:rsidR="009444D2">
        <w:rPr>
          <w:rFonts w:ascii="Arial" w:hAnsi="Arial" w:cs="Arial"/>
          <w:b/>
          <w:sz w:val="24"/>
          <w:szCs w:val="24"/>
        </w:rPr>
        <w:tab/>
        <w:t xml:space="preserve">1) </w:t>
      </w:r>
      <w:r w:rsidR="00A41083">
        <w:rPr>
          <w:rFonts w:ascii="Arial" w:hAnsi="Arial" w:cs="Arial"/>
          <w:sz w:val="24"/>
          <w:szCs w:val="24"/>
        </w:rPr>
        <w:t>que p</w:t>
      </w:r>
      <w:proofErr w:type="spellStart"/>
      <w:r w:rsidR="00A41083" w:rsidRPr="000D6338">
        <w:rPr>
          <w:rFonts w:ascii="Arial" w:eastAsia="Times New Roman" w:hAnsi="Arial" w:cs="Times New Roman"/>
          <w:sz w:val="24"/>
          <w:szCs w:val="24"/>
          <w:lang w:val="es-ES" w:eastAsia="es-ES"/>
        </w:rPr>
        <w:t>or</w:t>
      </w:r>
      <w:proofErr w:type="spellEnd"/>
      <w:r w:rsidR="00A41083" w:rsidRPr="000D633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Resolución </w:t>
      </w:r>
      <w:r w:rsidR="00A41083">
        <w:rPr>
          <w:rFonts w:ascii="Arial" w:eastAsia="Times New Roman" w:hAnsi="Arial" w:cs="Times New Roman"/>
          <w:sz w:val="24"/>
          <w:szCs w:val="24"/>
          <w:lang w:val="es-ES" w:eastAsia="es-ES"/>
        </w:rPr>
        <w:t>Nº 600/3.843</w:t>
      </w:r>
      <w:r w:rsidR="00A41083">
        <w:rPr>
          <w:rFonts w:ascii="Arial" w:hAnsi="Arial" w:cs="Arial"/>
          <w:sz w:val="24"/>
          <w:szCs w:val="24"/>
        </w:rPr>
        <w:t>, el Directorio dispuso la adjudicación a IBM del Urugu</w:t>
      </w:r>
      <w:r w:rsidR="00EE6993">
        <w:rPr>
          <w:rFonts w:ascii="Arial" w:hAnsi="Arial" w:cs="Arial"/>
          <w:sz w:val="24"/>
          <w:szCs w:val="24"/>
        </w:rPr>
        <w:t xml:space="preserve">ay, por un monto total de </w:t>
      </w:r>
      <w:r w:rsidR="00B17458">
        <w:rPr>
          <w:rFonts w:ascii="Arial" w:hAnsi="Arial" w:cs="Arial"/>
          <w:sz w:val="24"/>
          <w:szCs w:val="24"/>
        </w:rPr>
        <w:t xml:space="preserve">                     </w:t>
      </w:r>
      <w:r w:rsidR="00EE6993">
        <w:rPr>
          <w:rFonts w:ascii="Arial" w:hAnsi="Arial" w:cs="Arial"/>
          <w:sz w:val="24"/>
          <w:szCs w:val="24"/>
        </w:rPr>
        <w:t>$ 195:</w:t>
      </w:r>
      <w:r w:rsidR="00A41083">
        <w:rPr>
          <w:rFonts w:ascii="Arial" w:hAnsi="Arial" w:cs="Arial"/>
          <w:sz w:val="24"/>
          <w:szCs w:val="24"/>
        </w:rPr>
        <w:t>797.788,80 (sin IVA)</w:t>
      </w:r>
      <w:r w:rsidR="007B2AA4">
        <w:rPr>
          <w:rFonts w:ascii="Arial" w:hAnsi="Arial" w:cs="Arial"/>
          <w:sz w:val="24"/>
          <w:szCs w:val="24"/>
        </w:rPr>
        <w:t>;</w:t>
      </w:r>
    </w:p>
    <w:p w:rsidR="00C9481E" w:rsidRDefault="00B906F2" w:rsidP="00B17458">
      <w:pPr>
        <w:spacing w:before="10" w:after="1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615274">
        <w:rPr>
          <w:rFonts w:ascii="Arial" w:hAnsi="Arial" w:cs="Arial"/>
          <w:sz w:val="24"/>
          <w:szCs w:val="24"/>
        </w:rPr>
        <w:t xml:space="preserve">que este Tribunal, por Resolución </w:t>
      </w:r>
      <w:r w:rsidR="00C9481E">
        <w:rPr>
          <w:rFonts w:ascii="Arial" w:hAnsi="Arial" w:cs="Arial"/>
          <w:sz w:val="24"/>
          <w:szCs w:val="24"/>
        </w:rPr>
        <w:t>N° 3920/16, adoptada en Sesión de fecha 09.11.16,  acordó observar el gasto en razón de que:</w:t>
      </w:r>
    </w:p>
    <w:p w:rsidR="00C9481E" w:rsidRDefault="00C9481E" w:rsidP="00C9481E">
      <w:pPr>
        <w:spacing w:before="10" w:after="1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2.1)</w:t>
      </w:r>
      <w:r w:rsidR="00EE6993">
        <w:rPr>
          <w:rFonts w:ascii="Arial" w:hAnsi="Arial" w:cs="Arial"/>
          <w:b/>
          <w:sz w:val="24"/>
          <w:szCs w:val="24"/>
        </w:rPr>
        <w:t xml:space="preserve"> </w:t>
      </w:r>
      <w:r w:rsidR="00177E7E" w:rsidRPr="00EE6993">
        <w:rPr>
          <w:rFonts w:ascii="Arial" w:hAnsi="Arial" w:cs="Arial"/>
          <w:sz w:val="24"/>
          <w:szCs w:val="24"/>
        </w:rPr>
        <w:t>se</w:t>
      </w:r>
      <w:r w:rsidR="00177E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EE6993">
        <w:rPr>
          <w:rFonts w:ascii="Arial" w:hAnsi="Arial" w:cs="Arial"/>
          <w:sz w:val="24"/>
          <w:szCs w:val="24"/>
        </w:rPr>
        <w:t>había vulnerado</w:t>
      </w:r>
      <w:r>
        <w:rPr>
          <w:rFonts w:ascii="Arial" w:hAnsi="Arial" w:cs="Arial"/>
          <w:sz w:val="24"/>
          <w:szCs w:val="24"/>
        </w:rPr>
        <w:t xml:space="preserve"> lo dispuesto por el </w:t>
      </w:r>
      <w:r w:rsidR="00177E7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48 del TOCAF, en tanto dicha norma impide exigir </w:t>
      </w:r>
      <w:r w:rsidR="00EE6993">
        <w:rPr>
          <w:rFonts w:ascii="Arial" w:hAnsi="Arial" w:cs="Arial"/>
          <w:sz w:val="24"/>
          <w:szCs w:val="24"/>
        </w:rPr>
        <w:t xml:space="preserve">a los oferentes </w:t>
      </w:r>
      <w:r>
        <w:rPr>
          <w:rFonts w:ascii="Arial" w:hAnsi="Arial" w:cs="Arial"/>
          <w:sz w:val="24"/>
          <w:szCs w:val="24"/>
        </w:rPr>
        <w:t xml:space="preserve">requisitos formales </w:t>
      </w:r>
      <w:r w:rsidR="00177E7E">
        <w:rPr>
          <w:rFonts w:ascii="Arial" w:hAnsi="Arial" w:cs="Arial"/>
          <w:sz w:val="24"/>
          <w:szCs w:val="24"/>
        </w:rPr>
        <w:t>de contratar y asimismo lo dispuesto por el a</w:t>
      </w:r>
      <w:r>
        <w:rPr>
          <w:rFonts w:ascii="Arial" w:hAnsi="Arial" w:cs="Arial"/>
          <w:sz w:val="24"/>
          <w:szCs w:val="24"/>
        </w:rPr>
        <w:t>rtículo 9 del Decreto 131/014</w:t>
      </w:r>
      <w:r w:rsidR="00177E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cuanto a que el Pliego</w:t>
      </w:r>
      <w:r w:rsidR="00177E7E">
        <w:rPr>
          <w:rFonts w:ascii="Arial" w:hAnsi="Arial" w:cs="Arial"/>
          <w:sz w:val="24"/>
          <w:szCs w:val="24"/>
        </w:rPr>
        <w:t xml:space="preserve"> (art. 29)</w:t>
      </w:r>
      <w:r>
        <w:rPr>
          <w:rFonts w:ascii="Arial" w:hAnsi="Arial" w:cs="Arial"/>
          <w:sz w:val="24"/>
          <w:szCs w:val="24"/>
        </w:rPr>
        <w:t xml:space="preserve"> no puede exigir documentación a la que se pueda acceder a través del RUPE;</w:t>
      </w:r>
    </w:p>
    <w:p w:rsidR="00C9481E" w:rsidRDefault="00C9481E" w:rsidP="00C9481E">
      <w:pPr>
        <w:spacing w:before="10" w:after="1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2.2)</w:t>
      </w:r>
      <w:r>
        <w:rPr>
          <w:rFonts w:ascii="Arial" w:hAnsi="Arial" w:cs="Arial"/>
          <w:sz w:val="24"/>
          <w:szCs w:val="24"/>
        </w:rPr>
        <w:t xml:space="preserve"> la Comisión Asesora en la etapa posterior de comparación de las ofertas,  incluyó la cotización de la totalidad de las empresas, </w:t>
      </w:r>
      <w:r w:rsidR="00EE6993">
        <w:rPr>
          <w:rFonts w:ascii="Arial" w:hAnsi="Arial" w:cs="Arial"/>
          <w:sz w:val="24"/>
          <w:szCs w:val="24"/>
        </w:rPr>
        <w:t>aún</w:t>
      </w:r>
      <w:r>
        <w:rPr>
          <w:rFonts w:ascii="Arial" w:hAnsi="Arial" w:cs="Arial"/>
          <w:sz w:val="24"/>
          <w:szCs w:val="24"/>
        </w:rPr>
        <w:t xml:space="preserve"> las de aquéllas cuyas ofertas resultaron inadmisibles, </w:t>
      </w:r>
      <w:r w:rsidR="00EE6993">
        <w:rPr>
          <w:rFonts w:ascii="Arial" w:hAnsi="Arial" w:cs="Arial"/>
          <w:sz w:val="24"/>
          <w:szCs w:val="24"/>
        </w:rPr>
        <w:t>lo que</w:t>
      </w:r>
      <w:r>
        <w:rPr>
          <w:rFonts w:ascii="Arial" w:hAnsi="Arial" w:cs="Arial"/>
          <w:sz w:val="24"/>
          <w:szCs w:val="24"/>
        </w:rPr>
        <w:t xml:space="preserve">  implicó no dar cumplimiento al orden de las instancias que le competen: admisibilidad y comparación, </w:t>
      </w:r>
      <w:r w:rsidR="00177E7E">
        <w:rPr>
          <w:rFonts w:ascii="Arial" w:hAnsi="Arial" w:cs="Arial"/>
          <w:sz w:val="24"/>
          <w:szCs w:val="24"/>
        </w:rPr>
        <w:t>contraviniéndose</w:t>
      </w:r>
      <w:r>
        <w:rPr>
          <w:rFonts w:ascii="Arial" w:hAnsi="Arial" w:cs="Arial"/>
          <w:sz w:val="24"/>
          <w:szCs w:val="24"/>
        </w:rPr>
        <w:t xml:space="preserve"> lo dispuesto por el artículo 66 del TOCAF; y</w:t>
      </w:r>
    </w:p>
    <w:p w:rsidR="00B17458" w:rsidRDefault="00C9481E" w:rsidP="00177E7E">
      <w:pPr>
        <w:spacing w:before="10" w:after="10" w:line="360" w:lineRule="auto"/>
        <w:jc w:val="both"/>
        <w:rPr>
          <w:rFonts w:ascii="Arial" w:hAnsi="Arial" w:cs="Arial"/>
          <w:sz w:val="24"/>
          <w:szCs w:val="24"/>
        </w:rPr>
      </w:pPr>
      <w:r w:rsidRPr="00C9481E">
        <w:rPr>
          <w:rFonts w:ascii="Arial" w:hAnsi="Arial" w:cs="Arial"/>
          <w:b/>
          <w:sz w:val="24"/>
          <w:szCs w:val="24"/>
        </w:rPr>
        <w:t>2.3)</w:t>
      </w:r>
      <w:r>
        <w:rPr>
          <w:rFonts w:ascii="Arial" w:hAnsi="Arial" w:cs="Arial"/>
          <w:sz w:val="24"/>
          <w:szCs w:val="24"/>
        </w:rPr>
        <w:t xml:space="preserve"> la oferta del IBM no estaba firmada, por lo que debió haber sido considerada inadmisible por incumplir con una </w:t>
      </w:r>
      <w:r w:rsidR="00943D44">
        <w:rPr>
          <w:rFonts w:ascii="Arial" w:hAnsi="Arial" w:cs="Arial"/>
          <w:sz w:val="24"/>
          <w:szCs w:val="24"/>
        </w:rPr>
        <w:t>exigencia</w:t>
      </w:r>
      <w:r>
        <w:rPr>
          <w:rFonts w:ascii="Arial" w:hAnsi="Arial" w:cs="Arial"/>
          <w:sz w:val="24"/>
          <w:szCs w:val="24"/>
        </w:rPr>
        <w:t xml:space="preserve"> sustancial. El Organismo al considerar dicha oferta, vulneró el artículo 28.2 inciso 2º del Pliego de Condiciones Particulares </w:t>
      </w:r>
      <w:r w:rsidR="00177E7E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el artículo 63 del TOCAF y el principio de estricto ajuste a los Pliegos de Condiciones derivado del de igualdad de oferentes</w:t>
      </w:r>
      <w:r w:rsidR="00177E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consagrado en el artículo 149 literal B) del TOCAF;</w:t>
      </w:r>
      <w:r w:rsidR="00F0363D">
        <w:rPr>
          <w:rFonts w:ascii="Arial" w:hAnsi="Arial" w:cs="Arial"/>
          <w:sz w:val="24"/>
          <w:szCs w:val="24"/>
        </w:rPr>
        <w:tab/>
      </w:r>
      <w:r w:rsidR="00F0363D">
        <w:rPr>
          <w:rFonts w:ascii="Arial" w:hAnsi="Arial" w:cs="Arial"/>
          <w:sz w:val="24"/>
          <w:szCs w:val="24"/>
        </w:rPr>
        <w:tab/>
      </w:r>
    </w:p>
    <w:p w:rsidR="00B17458" w:rsidRDefault="00F0363D" w:rsidP="00B17458">
      <w:pPr>
        <w:spacing w:before="10" w:after="1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383E63">
        <w:rPr>
          <w:rFonts w:ascii="Arial" w:hAnsi="Arial" w:cs="Arial"/>
          <w:sz w:val="24"/>
          <w:szCs w:val="24"/>
        </w:rPr>
        <w:t xml:space="preserve">que </w:t>
      </w:r>
      <w:r w:rsidR="00F20FED">
        <w:rPr>
          <w:rFonts w:ascii="Arial" w:hAnsi="Arial" w:cs="Arial"/>
          <w:sz w:val="24"/>
          <w:szCs w:val="24"/>
        </w:rPr>
        <w:t xml:space="preserve">por Resolución Nº 784/3.851 de fecha 25.11.16, el Directorio reiteró el gasto </w:t>
      </w:r>
      <w:r w:rsidR="00177E7E">
        <w:rPr>
          <w:rFonts w:ascii="Arial" w:hAnsi="Arial" w:cs="Arial"/>
          <w:sz w:val="24"/>
          <w:szCs w:val="24"/>
        </w:rPr>
        <w:t xml:space="preserve"> y </w:t>
      </w:r>
      <w:r w:rsidR="00EB0E64">
        <w:rPr>
          <w:rFonts w:ascii="Arial" w:hAnsi="Arial" w:cs="Arial"/>
          <w:sz w:val="24"/>
          <w:szCs w:val="24"/>
        </w:rPr>
        <w:t>este Tribunal</w:t>
      </w:r>
      <w:r w:rsidR="00177E7E">
        <w:rPr>
          <w:rFonts w:ascii="Arial" w:hAnsi="Arial" w:cs="Arial"/>
          <w:sz w:val="24"/>
          <w:szCs w:val="24"/>
        </w:rPr>
        <w:t>,</w:t>
      </w:r>
      <w:r w:rsidR="00EB0E64">
        <w:rPr>
          <w:rFonts w:ascii="Arial" w:hAnsi="Arial" w:cs="Arial"/>
          <w:sz w:val="24"/>
          <w:szCs w:val="24"/>
        </w:rPr>
        <w:t xml:space="preserve"> por Resolución </w:t>
      </w:r>
      <w:r w:rsidR="00B17458">
        <w:rPr>
          <w:rFonts w:ascii="Arial" w:hAnsi="Arial" w:cs="Arial"/>
          <w:sz w:val="24"/>
          <w:szCs w:val="24"/>
        </w:rPr>
        <w:t xml:space="preserve">           </w:t>
      </w:r>
      <w:r w:rsidR="00EB0E64">
        <w:rPr>
          <w:rFonts w:ascii="Arial" w:hAnsi="Arial" w:cs="Arial"/>
          <w:sz w:val="24"/>
          <w:szCs w:val="24"/>
        </w:rPr>
        <w:t>Nº 4601/16 de fecha 28.12.16</w:t>
      </w:r>
      <w:r w:rsidR="00177E7E">
        <w:rPr>
          <w:rFonts w:ascii="Arial" w:hAnsi="Arial" w:cs="Arial"/>
          <w:sz w:val="24"/>
          <w:szCs w:val="24"/>
        </w:rPr>
        <w:t>,</w:t>
      </w:r>
      <w:r w:rsidR="00EB0E64">
        <w:rPr>
          <w:rFonts w:ascii="Arial" w:hAnsi="Arial" w:cs="Arial"/>
          <w:sz w:val="24"/>
          <w:szCs w:val="24"/>
        </w:rPr>
        <w:t xml:space="preserve"> acordó mantener la observación formulada por Resolución Nº 3920/16 del 09.11.16</w:t>
      </w:r>
      <w:r w:rsidR="00EB0E64">
        <w:rPr>
          <w:rFonts w:ascii="Arial" w:hAnsi="Arial" w:cs="Arial"/>
          <w:b/>
          <w:sz w:val="24"/>
          <w:szCs w:val="24"/>
        </w:rPr>
        <w:t>;</w:t>
      </w:r>
      <w:r w:rsidR="00296165">
        <w:rPr>
          <w:rFonts w:ascii="Arial" w:hAnsi="Arial" w:cs="Arial"/>
          <w:b/>
          <w:sz w:val="24"/>
          <w:szCs w:val="24"/>
        </w:rPr>
        <w:tab/>
      </w:r>
    </w:p>
    <w:p w:rsidR="00B17458" w:rsidRDefault="00177E7E" w:rsidP="00B17458">
      <w:pPr>
        <w:spacing w:before="10" w:after="1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462BCC" w:rsidRPr="00462BCC">
        <w:rPr>
          <w:rFonts w:ascii="Arial" w:hAnsi="Arial" w:cs="Arial"/>
          <w:b/>
          <w:sz w:val="24"/>
          <w:szCs w:val="24"/>
        </w:rPr>
        <w:t>)</w:t>
      </w:r>
      <w:r w:rsidR="0039054C" w:rsidRPr="0039054C">
        <w:rPr>
          <w:rFonts w:ascii="Arial" w:hAnsi="Arial" w:cs="Arial"/>
          <w:sz w:val="24"/>
          <w:szCs w:val="24"/>
        </w:rPr>
        <w:t xml:space="preserve"> </w:t>
      </w:r>
      <w:r w:rsidR="00C36E8D">
        <w:rPr>
          <w:rFonts w:ascii="Arial" w:hAnsi="Arial" w:cs="Arial"/>
          <w:sz w:val="24"/>
          <w:szCs w:val="24"/>
        </w:rPr>
        <w:t>que e</w:t>
      </w:r>
      <w:r w:rsidR="00C36E8D" w:rsidRPr="00C36E8D">
        <w:rPr>
          <w:rFonts w:ascii="Arial" w:hAnsi="Arial" w:cs="Arial"/>
          <w:sz w:val="24"/>
          <w:szCs w:val="24"/>
        </w:rPr>
        <w:t>n la oportunidad, se remiten actuaciones relacionadas con la ampliación</w:t>
      </w:r>
      <w:r w:rsidR="00C36E8D">
        <w:rPr>
          <w:rFonts w:ascii="Arial" w:hAnsi="Arial" w:cs="Arial"/>
          <w:sz w:val="24"/>
          <w:szCs w:val="24"/>
        </w:rPr>
        <w:t xml:space="preserve"> de la licitación de referencia;</w:t>
      </w:r>
    </w:p>
    <w:p w:rsidR="00B17458" w:rsidRDefault="00177E7E" w:rsidP="00B17458">
      <w:pPr>
        <w:spacing w:before="10" w:after="1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EE6993">
        <w:rPr>
          <w:rFonts w:ascii="Arial" w:hAnsi="Arial" w:cs="Arial"/>
          <w:b/>
          <w:sz w:val="24"/>
          <w:szCs w:val="24"/>
        </w:rPr>
        <w:t>5</w:t>
      </w:r>
      <w:r w:rsidR="002D548A" w:rsidRPr="00EE6993">
        <w:rPr>
          <w:rFonts w:ascii="Arial" w:hAnsi="Arial" w:cs="Arial"/>
          <w:b/>
          <w:sz w:val="24"/>
          <w:szCs w:val="24"/>
        </w:rPr>
        <w:t>)</w:t>
      </w:r>
      <w:r w:rsidR="002D548A">
        <w:rPr>
          <w:rFonts w:ascii="Arial" w:hAnsi="Arial" w:cs="Arial"/>
          <w:b/>
          <w:sz w:val="24"/>
          <w:szCs w:val="24"/>
        </w:rPr>
        <w:t xml:space="preserve"> </w:t>
      </w:r>
      <w:r w:rsidR="00DF4856">
        <w:rPr>
          <w:rFonts w:ascii="Arial" w:hAnsi="Arial" w:cs="Arial"/>
          <w:sz w:val="24"/>
          <w:szCs w:val="24"/>
        </w:rPr>
        <w:t xml:space="preserve">que </w:t>
      </w:r>
      <w:r w:rsidR="00C36E8D" w:rsidRPr="00C36E8D">
        <w:rPr>
          <w:rFonts w:ascii="Arial" w:hAnsi="Arial" w:cs="Arial"/>
          <w:sz w:val="24"/>
          <w:szCs w:val="24"/>
        </w:rPr>
        <w:t>la empresa IBM del Uruguay S.A.</w:t>
      </w:r>
      <w:r w:rsidR="000846DB">
        <w:rPr>
          <w:rFonts w:ascii="Arial" w:hAnsi="Arial" w:cs="Arial"/>
          <w:sz w:val="24"/>
          <w:szCs w:val="24"/>
        </w:rPr>
        <w:t xml:space="preserve">, </w:t>
      </w:r>
      <w:r w:rsidR="000846DB" w:rsidRPr="00C36E8D">
        <w:rPr>
          <w:rFonts w:ascii="Arial" w:hAnsi="Arial" w:cs="Arial"/>
          <w:sz w:val="24"/>
          <w:szCs w:val="24"/>
        </w:rPr>
        <w:t xml:space="preserve">con fecha 30.04.19, </w:t>
      </w:r>
      <w:r w:rsidR="00C36E8D" w:rsidRPr="00C36E8D">
        <w:rPr>
          <w:rFonts w:ascii="Arial" w:hAnsi="Arial" w:cs="Arial"/>
          <w:sz w:val="24"/>
          <w:szCs w:val="24"/>
        </w:rPr>
        <w:t>prestó su conformidad para ampliar el objeto de la compra referente al servicio de administración de la infraestructura, comunicación, operación, mantenimiento y desarrollo de los sistemas in</w:t>
      </w:r>
      <w:r w:rsidR="00DF4856">
        <w:rPr>
          <w:rFonts w:ascii="Arial" w:hAnsi="Arial" w:cs="Arial"/>
          <w:sz w:val="24"/>
          <w:szCs w:val="24"/>
        </w:rPr>
        <w:t xml:space="preserve">formáticos, en un 50% e </w:t>
      </w:r>
      <w:r w:rsidR="00C36E8D" w:rsidRPr="00C36E8D">
        <w:rPr>
          <w:rFonts w:ascii="Arial" w:hAnsi="Arial" w:cs="Arial"/>
          <w:sz w:val="24"/>
          <w:szCs w:val="24"/>
        </w:rPr>
        <w:t>indicó que los términos y condiciones de la contratación original permanecerán vigentes y regirán para la ampliación y que es responsabilidad exclusiva de la Administración el cumplimiento de todos los procedimientos y co</w:t>
      </w:r>
      <w:r w:rsidR="00EE6993">
        <w:rPr>
          <w:rFonts w:ascii="Arial" w:hAnsi="Arial" w:cs="Arial"/>
          <w:sz w:val="24"/>
          <w:szCs w:val="24"/>
        </w:rPr>
        <w:t>ntroles legales y administrativo</w:t>
      </w:r>
      <w:r w:rsidR="00C36E8D" w:rsidRPr="00C36E8D">
        <w:rPr>
          <w:rFonts w:ascii="Arial" w:hAnsi="Arial" w:cs="Arial"/>
          <w:sz w:val="24"/>
          <w:szCs w:val="24"/>
        </w:rPr>
        <w:t>s perti</w:t>
      </w:r>
      <w:r w:rsidR="00DF4856">
        <w:rPr>
          <w:rFonts w:ascii="Arial" w:hAnsi="Arial" w:cs="Arial"/>
          <w:sz w:val="24"/>
          <w:szCs w:val="24"/>
        </w:rPr>
        <w:t>nentes a esta ampliación;</w:t>
      </w:r>
    </w:p>
    <w:p w:rsidR="00B17458" w:rsidRDefault="00EE6993" w:rsidP="00B17458">
      <w:pPr>
        <w:spacing w:before="10" w:after="1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F4856">
        <w:rPr>
          <w:rFonts w:ascii="Arial" w:hAnsi="Arial" w:cs="Arial"/>
          <w:b/>
          <w:sz w:val="24"/>
          <w:szCs w:val="24"/>
        </w:rPr>
        <w:t xml:space="preserve">) </w:t>
      </w:r>
      <w:r w:rsidR="00DF4856" w:rsidRPr="00DF4856">
        <w:rPr>
          <w:rFonts w:ascii="Arial" w:hAnsi="Arial" w:cs="Arial"/>
          <w:sz w:val="24"/>
          <w:szCs w:val="24"/>
        </w:rPr>
        <w:t xml:space="preserve">que </w:t>
      </w:r>
      <w:r w:rsidR="00DF4856">
        <w:rPr>
          <w:rFonts w:ascii="Arial" w:hAnsi="Arial" w:cs="Arial"/>
          <w:sz w:val="24"/>
          <w:szCs w:val="24"/>
        </w:rPr>
        <w:t>c</w:t>
      </w:r>
      <w:r w:rsidR="00C36E8D" w:rsidRPr="00C36E8D">
        <w:rPr>
          <w:rFonts w:ascii="Arial" w:hAnsi="Arial" w:cs="Arial"/>
          <w:sz w:val="24"/>
          <w:szCs w:val="24"/>
        </w:rPr>
        <w:t>on fecha 10.05.19, el Departamento de Tecnología de la Información informó que</w:t>
      </w:r>
      <w:r w:rsidR="00DF4856">
        <w:rPr>
          <w:rFonts w:ascii="Arial" w:hAnsi="Arial" w:cs="Arial"/>
          <w:sz w:val="24"/>
          <w:szCs w:val="24"/>
        </w:rPr>
        <w:t xml:space="preserve"> e</w:t>
      </w:r>
      <w:r w:rsidR="00C36E8D" w:rsidRPr="00C36E8D">
        <w:rPr>
          <w:rFonts w:ascii="Arial" w:hAnsi="Arial" w:cs="Arial"/>
          <w:sz w:val="24"/>
          <w:szCs w:val="24"/>
        </w:rPr>
        <w:t>l 29.02.20 se extingue el plazo de vigencia</w:t>
      </w:r>
      <w:r w:rsidR="00DF4856">
        <w:rPr>
          <w:rFonts w:ascii="Arial" w:hAnsi="Arial" w:cs="Arial"/>
          <w:sz w:val="24"/>
          <w:szCs w:val="24"/>
        </w:rPr>
        <w:t xml:space="preserve"> para el servicio que </w:t>
      </w:r>
      <w:r w:rsidR="000846DB">
        <w:rPr>
          <w:rFonts w:ascii="Arial" w:hAnsi="Arial" w:cs="Arial"/>
          <w:sz w:val="24"/>
          <w:szCs w:val="24"/>
        </w:rPr>
        <w:t>se presta</w:t>
      </w:r>
      <w:r w:rsidR="00DF4856">
        <w:rPr>
          <w:rFonts w:ascii="Arial" w:hAnsi="Arial" w:cs="Arial"/>
          <w:sz w:val="24"/>
          <w:szCs w:val="24"/>
        </w:rPr>
        <w:t xml:space="preserve"> y que s</w:t>
      </w:r>
      <w:r w:rsidR="00C36E8D" w:rsidRPr="00C36E8D">
        <w:rPr>
          <w:rFonts w:ascii="Arial" w:hAnsi="Arial" w:cs="Arial"/>
          <w:sz w:val="24"/>
          <w:szCs w:val="24"/>
        </w:rPr>
        <w:t>i bien se encuentra en proceso de estudio, armado y redacción de las bases para un nuevo llamado a licitación pública, resulta conveniente y oportuno realizar una ampliación debido a que resta parte del desarrollo y puesta en producció</w:t>
      </w:r>
      <w:r w:rsidR="00DF4856">
        <w:rPr>
          <w:rFonts w:ascii="Arial" w:hAnsi="Arial" w:cs="Arial"/>
          <w:sz w:val="24"/>
          <w:szCs w:val="24"/>
        </w:rPr>
        <w:t xml:space="preserve">n del nuevo sistema </w:t>
      </w:r>
      <w:proofErr w:type="spellStart"/>
      <w:r w:rsidR="00DF4856">
        <w:rPr>
          <w:rFonts w:ascii="Arial" w:hAnsi="Arial" w:cs="Arial"/>
          <w:sz w:val="24"/>
          <w:szCs w:val="24"/>
        </w:rPr>
        <w:t>Multipuerto</w:t>
      </w:r>
      <w:proofErr w:type="spellEnd"/>
      <w:r w:rsidR="00DF4856">
        <w:rPr>
          <w:rFonts w:ascii="Arial" w:hAnsi="Arial" w:cs="Arial"/>
          <w:sz w:val="24"/>
          <w:szCs w:val="24"/>
        </w:rPr>
        <w:t>. También informó que</w:t>
      </w:r>
      <w:r>
        <w:rPr>
          <w:rFonts w:ascii="Arial" w:hAnsi="Arial" w:cs="Arial"/>
          <w:sz w:val="24"/>
          <w:szCs w:val="24"/>
        </w:rPr>
        <w:t>,</w:t>
      </w:r>
      <w:r w:rsidR="00DF4856">
        <w:rPr>
          <w:rFonts w:ascii="Arial" w:hAnsi="Arial" w:cs="Arial"/>
          <w:sz w:val="24"/>
          <w:szCs w:val="24"/>
        </w:rPr>
        <w:t xml:space="preserve"> dado que t</w:t>
      </w:r>
      <w:r w:rsidR="00C36E8D" w:rsidRPr="00C36E8D">
        <w:rPr>
          <w:rFonts w:ascii="Arial" w:hAnsi="Arial" w:cs="Arial"/>
          <w:sz w:val="24"/>
          <w:szCs w:val="24"/>
        </w:rPr>
        <w:t>al situación puede exceder el tiempo que resta para la finalizació</w:t>
      </w:r>
      <w:r w:rsidR="00DF4856">
        <w:rPr>
          <w:rFonts w:ascii="Arial" w:hAnsi="Arial" w:cs="Arial"/>
          <w:sz w:val="24"/>
          <w:szCs w:val="24"/>
        </w:rPr>
        <w:t xml:space="preserve">n de la mencionada contratación y </w:t>
      </w:r>
      <w:r w:rsidR="00E0358E">
        <w:rPr>
          <w:rFonts w:ascii="Arial" w:hAnsi="Arial" w:cs="Arial"/>
          <w:sz w:val="24"/>
          <w:szCs w:val="24"/>
        </w:rPr>
        <w:t xml:space="preserve">que </w:t>
      </w:r>
      <w:r w:rsidR="00DF4856">
        <w:rPr>
          <w:rFonts w:ascii="Arial" w:hAnsi="Arial" w:cs="Arial"/>
          <w:sz w:val="24"/>
          <w:szCs w:val="24"/>
        </w:rPr>
        <w:t>s</w:t>
      </w:r>
      <w:r w:rsidR="00C36E8D" w:rsidRPr="00C36E8D">
        <w:rPr>
          <w:rFonts w:ascii="Arial" w:hAnsi="Arial" w:cs="Arial"/>
          <w:sz w:val="24"/>
          <w:szCs w:val="24"/>
        </w:rPr>
        <w:t>e trata de un servicio crítico e imprescindible para garantizar la continuidad de las actividades de la Administración soportadas en el C</w:t>
      </w:r>
      <w:r w:rsidR="00DF4856">
        <w:rPr>
          <w:rFonts w:ascii="Arial" w:hAnsi="Arial" w:cs="Arial"/>
          <w:sz w:val="24"/>
          <w:szCs w:val="24"/>
        </w:rPr>
        <w:t>entro de Procesamiento de datos, s</w:t>
      </w:r>
      <w:r w:rsidR="00C36E8D" w:rsidRPr="00C36E8D">
        <w:rPr>
          <w:rFonts w:ascii="Arial" w:hAnsi="Arial" w:cs="Arial"/>
          <w:sz w:val="24"/>
          <w:szCs w:val="24"/>
        </w:rPr>
        <w:t>e requiere gestionar una ampliación del 50</w:t>
      </w:r>
      <w:r w:rsidR="000F735F">
        <w:rPr>
          <w:rFonts w:ascii="Arial" w:hAnsi="Arial" w:cs="Arial"/>
          <w:sz w:val="24"/>
          <w:szCs w:val="24"/>
        </w:rPr>
        <w:t>% del monto y plazo de vigencia, ascendiendo tal</w:t>
      </w:r>
      <w:r w:rsidR="00C36E8D" w:rsidRPr="00C36E8D">
        <w:rPr>
          <w:rFonts w:ascii="Arial" w:hAnsi="Arial" w:cs="Arial"/>
          <w:sz w:val="24"/>
          <w:szCs w:val="24"/>
        </w:rPr>
        <w:t xml:space="preserve"> erogación </w:t>
      </w:r>
      <w:r w:rsidR="000F735F">
        <w:rPr>
          <w:rFonts w:ascii="Arial" w:hAnsi="Arial" w:cs="Arial"/>
          <w:sz w:val="24"/>
          <w:szCs w:val="24"/>
        </w:rPr>
        <w:t>a</w:t>
      </w:r>
      <w:r w:rsidR="00C36E8D" w:rsidRPr="00C36E8D">
        <w:rPr>
          <w:rFonts w:ascii="Arial" w:hAnsi="Arial" w:cs="Arial"/>
          <w:sz w:val="24"/>
          <w:szCs w:val="24"/>
        </w:rPr>
        <w:t xml:space="preserve"> $ 98.898.894,40 más IVA, más los ajustes paramét</w:t>
      </w:r>
      <w:r w:rsidR="000F735F">
        <w:rPr>
          <w:rFonts w:ascii="Arial" w:hAnsi="Arial" w:cs="Arial"/>
          <w:sz w:val="24"/>
          <w:szCs w:val="24"/>
        </w:rPr>
        <w:t>ricos correspondientes;</w:t>
      </w:r>
    </w:p>
    <w:p w:rsidR="005A3192" w:rsidRPr="00B17458" w:rsidRDefault="00EE6993" w:rsidP="00B17458">
      <w:pPr>
        <w:spacing w:before="10" w:after="1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0F735F">
        <w:rPr>
          <w:rFonts w:ascii="Arial" w:hAnsi="Arial" w:cs="Arial"/>
          <w:b/>
          <w:sz w:val="24"/>
          <w:szCs w:val="24"/>
        </w:rPr>
        <w:t xml:space="preserve">) </w:t>
      </w:r>
      <w:r w:rsidR="000F735F">
        <w:rPr>
          <w:rFonts w:ascii="Arial" w:hAnsi="Arial" w:cs="Arial"/>
          <w:sz w:val="24"/>
          <w:szCs w:val="24"/>
        </w:rPr>
        <w:t>que</w:t>
      </w:r>
      <w:r w:rsidR="00C36E8D" w:rsidRPr="00C36E8D">
        <w:rPr>
          <w:rFonts w:ascii="Arial" w:hAnsi="Arial" w:cs="Arial"/>
          <w:sz w:val="24"/>
          <w:szCs w:val="24"/>
        </w:rPr>
        <w:t xml:space="preserve"> por Resolución de Directorio N° 334/3.982 de fecha 22.05.19 se dispuso ampliar, previa intervención de este Tribunal, por el plazo máximo de 18 meses a partir del 01.03.20 el Contrato N° 1929 suscrito entre la Administración y la firma IBM del Uruguay S.A. en las mismas condiciones y modalidades establecidas en el mismo, por un precio mensual de $ 4.318.285,80 más 17.250 horas de recursos extraordinarios para la totalidad de la vigencia de </w:t>
      </w:r>
      <w:r>
        <w:rPr>
          <w:rFonts w:ascii="Arial" w:hAnsi="Arial" w:cs="Arial"/>
          <w:sz w:val="24"/>
          <w:szCs w:val="24"/>
        </w:rPr>
        <w:t xml:space="preserve">la </w:t>
      </w:r>
      <w:r w:rsidR="00C36E8D" w:rsidRPr="00C36E8D">
        <w:rPr>
          <w:rFonts w:ascii="Arial" w:hAnsi="Arial" w:cs="Arial"/>
          <w:sz w:val="24"/>
          <w:szCs w:val="24"/>
        </w:rPr>
        <w:t>ampliación, de acuerdo con el siguiente detalle:</w:t>
      </w:r>
      <w:r w:rsidR="00991464">
        <w:rPr>
          <w:rFonts w:ascii="Arial" w:hAnsi="Arial" w:cs="Arial"/>
          <w:sz w:val="24"/>
          <w:szCs w:val="24"/>
        </w:rPr>
        <w:t xml:space="preserve"> </w:t>
      </w:r>
      <w:r w:rsidR="00C36E8D" w:rsidRPr="00C36E8D">
        <w:rPr>
          <w:rFonts w:ascii="Arial" w:hAnsi="Arial" w:cs="Arial"/>
          <w:sz w:val="24"/>
          <w:szCs w:val="24"/>
        </w:rPr>
        <w:t>a)</w:t>
      </w:r>
      <w:r w:rsidR="00991464">
        <w:rPr>
          <w:rFonts w:ascii="Arial" w:hAnsi="Arial" w:cs="Arial"/>
          <w:sz w:val="24"/>
          <w:szCs w:val="24"/>
        </w:rPr>
        <w:t xml:space="preserve"> </w:t>
      </w:r>
      <w:r w:rsidR="00C36E8D" w:rsidRPr="00C36E8D">
        <w:rPr>
          <w:rFonts w:ascii="Arial" w:hAnsi="Arial" w:cs="Arial"/>
          <w:sz w:val="24"/>
          <w:szCs w:val="24"/>
        </w:rPr>
        <w:t xml:space="preserve">1.500 </w:t>
      </w:r>
      <w:r w:rsidR="00C36E8D" w:rsidRPr="00C36E8D">
        <w:rPr>
          <w:rFonts w:ascii="Arial" w:hAnsi="Arial" w:cs="Arial"/>
          <w:sz w:val="24"/>
          <w:szCs w:val="24"/>
        </w:rPr>
        <w:lastRenderedPageBreak/>
        <w:t>horas de Operador a un valor hora de $ 965,00;</w:t>
      </w:r>
      <w:r w:rsidR="000F735F">
        <w:rPr>
          <w:rFonts w:ascii="Arial" w:hAnsi="Arial" w:cs="Arial"/>
          <w:sz w:val="24"/>
          <w:szCs w:val="24"/>
        </w:rPr>
        <w:t xml:space="preserve"> b</w:t>
      </w:r>
      <w:r w:rsidR="00C36E8D" w:rsidRPr="00C36E8D">
        <w:rPr>
          <w:rFonts w:ascii="Arial" w:hAnsi="Arial" w:cs="Arial"/>
          <w:sz w:val="24"/>
          <w:szCs w:val="24"/>
        </w:rPr>
        <w:t>) 9.000 horas de Analista Programador Junior a un valor hora de $ 1.338,00;</w:t>
      </w:r>
      <w:r w:rsidR="000F735F">
        <w:rPr>
          <w:rFonts w:ascii="Arial" w:hAnsi="Arial" w:cs="Arial"/>
          <w:sz w:val="24"/>
          <w:szCs w:val="24"/>
        </w:rPr>
        <w:t xml:space="preserve"> </w:t>
      </w:r>
      <w:r w:rsidR="00C36E8D" w:rsidRPr="00C36E8D">
        <w:rPr>
          <w:rFonts w:ascii="Arial" w:hAnsi="Arial" w:cs="Arial"/>
          <w:sz w:val="24"/>
          <w:szCs w:val="24"/>
        </w:rPr>
        <w:t>c) 3.750 horas de Programador Junior a un valor hora de $ 1.059;</w:t>
      </w:r>
      <w:r w:rsidR="000F735F">
        <w:rPr>
          <w:rFonts w:ascii="Arial" w:hAnsi="Arial" w:cs="Arial"/>
          <w:sz w:val="24"/>
          <w:szCs w:val="24"/>
        </w:rPr>
        <w:t xml:space="preserve"> </w:t>
      </w:r>
      <w:r w:rsidR="00C36E8D" w:rsidRPr="00C36E8D">
        <w:rPr>
          <w:rFonts w:ascii="Arial" w:hAnsi="Arial" w:cs="Arial"/>
          <w:sz w:val="24"/>
          <w:szCs w:val="24"/>
        </w:rPr>
        <w:t xml:space="preserve">d) 3.000 horas de </w:t>
      </w:r>
      <w:proofErr w:type="spellStart"/>
      <w:r w:rsidR="00C36E8D" w:rsidRPr="00C36E8D">
        <w:rPr>
          <w:rFonts w:ascii="Arial" w:hAnsi="Arial" w:cs="Arial"/>
          <w:sz w:val="24"/>
          <w:szCs w:val="24"/>
        </w:rPr>
        <w:t>Tester</w:t>
      </w:r>
      <w:proofErr w:type="spellEnd"/>
      <w:r w:rsidR="00C36E8D" w:rsidRPr="00C36E8D">
        <w:rPr>
          <w:rFonts w:ascii="Arial" w:hAnsi="Arial" w:cs="Arial"/>
          <w:sz w:val="24"/>
          <w:szCs w:val="24"/>
        </w:rPr>
        <w:t xml:space="preserve"> a un valor</w:t>
      </w:r>
      <w:r w:rsidR="000F735F">
        <w:rPr>
          <w:rFonts w:ascii="Arial" w:hAnsi="Arial" w:cs="Arial"/>
          <w:sz w:val="24"/>
          <w:szCs w:val="24"/>
        </w:rPr>
        <w:t xml:space="preserve"> hora de $ 903,00, todos con </w:t>
      </w:r>
      <w:r w:rsidR="00C36E8D" w:rsidRPr="00C36E8D">
        <w:rPr>
          <w:rFonts w:ascii="Arial" w:hAnsi="Arial" w:cs="Arial"/>
          <w:sz w:val="24"/>
          <w:szCs w:val="24"/>
        </w:rPr>
        <w:t xml:space="preserve">IVA así como </w:t>
      </w:r>
      <w:r w:rsidR="000F735F">
        <w:rPr>
          <w:rFonts w:ascii="Arial" w:hAnsi="Arial" w:cs="Arial"/>
          <w:sz w:val="24"/>
          <w:szCs w:val="24"/>
        </w:rPr>
        <w:t xml:space="preserve">con </w:t>
      </w:r>
      <w:r w:rsidR="00C36E8D" w:rsidRPr="00C36E8D">
        <w:rPr>
          <w:rFonts w:ascii="Arial" w:hAnsi="Arial" w:cs="Arial"/>
          <w:sz w:val="24"/>
          <w:szCs w:val="24"/>
        </w:rPr>
        <w:t>los corres</w:t>
      </w:r>
      <w:r w:rsidR="000F735F">
        <w:rPr>
          <w:rFonts w:ascii="Arial" w:hAnsi="Arial" w:cs="Arial"/>
          <w:sz w:val="24"/>
          <w:szCs w:val="24"/>
        </w:rPr>
        <w:t>pondientes ajustes paramétricos;</w:t>
      </w:r>
    </w:p>
    <w:p w:rsidR="006154B3" w:rsidRDefault="0081558E" w:rsidP="00B17458">
      <w:pPr>
        <w:suppressAutoHyphens/>
        <w:spacing w:before="10" w:after="10" w:line="360" w:lineRule="auto"/>
        <w:ind w:right="284"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15D4A">
        <w:rPr>
          <w:rFonts w:ascii="Arial" w:hAnsi="Arial" w:cs="Arial"/>
          <w:b/>
          <w:sz w:val="24"/>
          <w:szCs w:val="24"/>
        </w:rPr>
        <w:t>C</w:t>
      </w:r>
      <w:r w:rsidR="00020029" w:rsidRPr="00C15D4A">
        <w:rPr>
          <w:rFonts w:ascii="Arial" w:hAnsi="Arial" w:cs="Arial"/>
          <w:b/>
          <w:sz w:val="24"/>
          <w:szCs w:val="24"/>
        </w:rPr>
        <w:t>ONSIDERANDO</w:t>
      </w:r>
      <w:r w:rsidR="00BA130D">
        <w:rPr>
          <w:rFonts w:ascii="Arial" w:hAnsi="Arial" w:cs="Arial"/>
          <w:b/>
          <w:sz w:val="24"/>
          <w:szCs w:val="24"/>
        </w:rPr>
        <w:t>:</w:t>
      </w:r>
      <w:r w:rsidR="00FF01D3">
        <w:rPr>
          <w:rFonts w:ascii="Arial" w:hAnsi="Arial" w:cs="Arial"/>
          <w:b/>
          <w:sz w:val="24"/>
          <w:szCs w:val="24"/>
        </w:rPr>
        <w:t xml:space="preserve"> 1) </w:t>
      </w:r>
      <w:r w:rsidR="006154B3" w:rsidRPr="006154B3">
        <w:rPr>
          <w:rFonts w:ascii="Arial" w:hAnsi="Arial" w:cs="Arial"/>
          <w:sz w:val="24"/>
          <w:szCs w:val="24"/>
        </w:rPr>
        <w:t xml:space="preserve">que </w:t>
      </w:r>
      <w:r w:rsidR="006154B3">
        <w:rPr>
          <w:rFonts w:ascii="Arial" w:hAnsi="Arial" w:cs="Arial"/>
          <w:sz w:val="24"/>
          <w:szCs w:val="24"/>
        </w:rPr>
        <w:t xml:space="preserve">la presente ampliación encuadra en lo establecido por el artículo </w:t>
      </w:r>
      <w:r w:rsidR="006154B3" w:rsidRPr="00EC0A46">
        <w:rPr>
          <w:rFonts w:ascii="Arial" w:eastAsia="Times New Roman" w:hAnsi="Arial" w:cs="Arial"/>
          <w:sz w:val="24"/>
          <w:szCs w:val="24"/>
          <w:lang w:val="es-ES" w:eastAsia="es-ES"/>
        </w:rPr>
        <w:t>74 del T</w:t>
      </w:r>
      <w:r w:rsidR="006154B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OCAF </w:t>
      </w:r>
      <w:r w:rsidR="006154B3" w:rsidRPr="000D6338">
        <w:rPr>
          <w:rFonts w:ascii="Arial" w:eastAsia="Times New Roman" w:hAnsi="Arial" w:cs="Arial"/>
          <w:sz w:val="24"/>
          <w:szCs w:val="24"/>
          <w:lang w:val="es-ES" w:eastAsia="es-ES"/>
        </w:rPr>
        <w:t>siendo que las prestaciones se encuentran vigentes</w:t>
      </w:r>
      <w:r w:rsidR="00EE6993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6154B3" w:rsidRPr="000D633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</w:t>
      </w:r>
      <w:r w:rsidR="006154B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</w:t>
      </w:r>
      <w:r w:rsidR="006154B3" w:rsidRPr="000D6338">
        <w:rPr>
          <w:rFonts w:ascii="Arial" w:eastAsia="Times New Roman" w:hAnsi="Arial" w:cs="Arial"/>
          <w:sz w:val="24"/>
          <w:szCs w:val="24"/>
          <w:lang w:val="es-ES" w:eastAsia="es-ES"/>
        </w:rPr>
        <w:t>se recabó la conformidad de la contratista</w:t>
      </w:r>
      <w:r w:rsidR="00EE699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que se </w:t>
      </w:r>
      <w:r w:rsidR="00177E7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respet</w:t>
      </w:r>
      <w:r w:rsidR="00EE6993">
        <w:rPr>
          <w:rFonts w:ascii="Arial" w:eastAsia="Times New Roman" w:hAnsi="Arial" w:cs="Arial"/>
          <w:sz w:val="24"/>
          <w:szCs w:val="24"/>
          <w:lang w:val="es-ES" w:eastAsia="es-ES"/>
        </w:rPr>
        <w:t>ó</w:t>
      </w:r>
      <w:r w:rsidR="00177E7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tope máximo autorizado</w:t>
      </w:r>
      <w:r w:rsidR="006154B3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  <w:r w:rsidR="006154B3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="006154B3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="006154B3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="006154B3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A2009B" w:rsidRDefault="00FF01D3" w:rsidP="00B17458">
      <w:pPr>
        <w:suppressAutoHyphens/>
        <w:spacing w:before="10" w:after="10" w:line="360" w:lineRule="auto"/>
        <w:ind w:right="284" w:firstLine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2</w:t>
      </w:r>
      <w:r w:rsidR="00CD7DA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) </w:t>
      </w:r>
      <w:r w:rsidR="00CE4506" w:rsidRPr="00CE450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</w:t>
      </w:r>
      <w:r w:rsidR="006154B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no surge acreditado en obrados el correspondiente informe de disponibilidad presupuestal relacionado con el gasto dispuesto, </w:t>
      </w:r>
      <w:r w:rsidR="00177E7E">
        <w:rPr>
          <w:rFonts w:ascii="Arial" w:eastAsia="Times New Roman" w:hAnsi="Arial" w:cs="Arial"/>
          <w:sz w:val="24"/>
          <w:szCs w:val="24"/>
          <w:lang w:val="es-ES" w:eastAsia="es-ES"/>
        </w:rPr>
        <w:t>como lo requiere el</w:t>
      </w:r>
      <w:r w:rsidR="006154B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artículo 13, literal “D” de la Ordenanza N° 27 de fecha 22.05.58 de este Tribunal</w:t>
      </w:r>
      <w:r w:rsidR="00B17458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  <w:r w:rsidR="00E5197E">
        <w:rPr>
          <w:rFonts w:ascii="Arial" w:hAnsi="Arial" w:cs="Arial"/>
          <w:b/>
          <w:sz w:val="24"/>
          <w:szCs w:val="24"/>
        </w:rPr>
        <w:tab/>
      </w:r>
    </w:p>
    <w:p w:rsidR="00955D23" w:rsidRDefault="00955D23" w:rsidP="00B1745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 w:rsidRPr="004B61A8">
        <w:t xml:space="preserve"> </w:t>
      </w:r>
      <w:r w:rsidRPr="004B61A8">
        <w:rPr>
          <w:rFonts w:ascii="Arial" w:hAnsi="Arial" w:cs="Arial"/>
          <w:sz w:val="24"/>
          <w:szCs w:val="24"/>
        </w:rPr>
        <w:t xml:space="preserve">a lo expuesto y a lo dispuesto por el artículo 211 literal B) de </w:t>
      </w:r>
      <w:r w:rsidR="00B17458">
        <w:rPr>
          <w:rFonts w:ascii="Arial" w:hAnsi="Arial" w:cs="Arial"/>
          <w:sz w:val="24"/>
          <w:szCs w:val="24"/>
        </w:rPr>
        <w:t>la Constitución de la República;</w:t>
      </w:r>
    </w:p>
    <w:p w:rsidR="00955D23" w:rsidRPr="004B61A8" w:rsidRDefault="00955D23" w:rsidP="009E4A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17458" w:rsidRDefault="00B17458" w:rsidP="009E4AE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17458" w:rsidRDefault="00B17458" w:rsidP="009E4AE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55D23" w:rsidRPr="004B61A8" w:rsidRDefault="00955D23" w:rsidP="009E4AE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B61A8">
        <w:rPr>
          <w:rFonts w:ascii="Arial" w:hAnsi="Arial" w:cs="Arial"/>
          <w:b/>
          <w:sz w:val="24"/>
          <w:szCs w:val="24"/>
        </w:rPr>
        <w:t>EL TRIBUNAL ACUERDA</w:t>
      </w:r>
    </w:p>
    <w:p w:rsidR="00FF01D3" w:rsidRDefault="00FF01D3" w:rsidP="00B17458">
      <w:pPr>
        <w:pStyle w:val="Prrafodelista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F01D3">
        <w:rPr>
          <w:rFonts w:ascii="Arial" w:hAnsi="Arial" w:cs="Arial"/>
          <w:sz w:val="24"/>
          <w:szCs w:val="24"/>
        </w:rPr>
        <w:t>Cometer al Contador Delegado la intervención del  gasto de $</w:t>
      </w:r>
      <w:r w:rsidR="006C48AF" w:rsidRPr="00FF01D3">
        <w:rPr>
          <w:rFonts w:ascii="Arial" w:hAnsi="Arial" w:cs="Arial"/>
          <w:sz w:val="24"/>
          <w:szCs w:val="24"/>
        </w:rPr>
        <w:t xml:space="preserve">98.898.894,40 más IVA y los ajustes paramétricos correspondientes </w:t>
      </w:r>
      <w:r w:rsidR="00896549" w:rsidRPr="00FF01D3">
        <w:rPr>
          <w:rFonts w:ascii="Arial" w:hAnsi="Arial" w:cs="Arial"/>
          <w:sz w:val="24"/>
          <w:szCs w:val="24"/>
        </w:rPr>
        <w:t xml:space="preserve">derivado </w:t>
      </w:r>
      <w:r>
        <w:rPr>
          <w:rFonts w:ascii="Arial" w:hAnsi="Arial" w:cs="Arial"/>
          <w:sz w:val="24"/>
          <w:szCs w:val="24"/>
        </w:rPr>
        <w:t>de la ampliación de referencia</w:t>
      </w:r>
      <w:r w:rsidR="00697D2E">
        <w:rPr>
          <w:rFonts w:ascii="Arial" w:hAnsi="Arial" w:cs="Arial"/>
          <w:sz w:val="24"/>
          <w:szCs w:val="24"/>
        </w:rPr>
        <w:t xml:space="preserve">, previo control de que exista disponibilidad en rubro adecuado; </w:t>
      </w:r>
    </w:p>
    <w:p w:rsidR="00CE4506" w:rsidRDefault="00EB100A" w:rsidP="00B17458">
      <w:pPr>
        <w:pStyle w:val="Prrafodelista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F01D3">
        <w:rPr>
          <w:rFonts w:ascii="Arial" w:hAnsi="Arial" w:cs="Arial"/>
          <w:sz w:val="24"/>
          <w:szCs w:val="24"/>
        </w:rPr>
        <w:t xml:space="preserve">Téngase presente </w:t>
      </w:r>
      <w:r w:rsidR="00FF01D3" w:rsidRPr="00FF01D3">
        <w:rPr>
          <w:rFonts w:ascii="Arial" w:hAnsi="Arial" w:cs="Arial"/>
          <w:sz w:val="24"/>
          <w:szCs w:val="24"/>
        </w:rPr>
        <w:t>lo expresado en el Considerado 2</w:t>
      </w:r>
      <w:r w:rsidR="005E426D">
        <w:rPr>
          <w:rFonts w:ascii="Arial" w:hAnsi="Arial" w:cs="Arial"/>
          <w:sz w:val="24"/>
          <w:szCs w:val="24"/>
        </w:rPr>
        <w:t xml:space="preserve">); </w:t>
      </w:r>
      <w:r w:rsidR="00FF01D3">
        <w:rPr>
          <w:rFonts w:ascii="Arial" w:hAnsi="Arial" w:cs="Arial"/>
          <w:sz w:val="24"/>
          <w:szCs w:val="24"/>
        </w:rPr>
        <w:t xml:space="preserve"> </w:t>
      </w:r>
    </w:p>
    <w:p w:rsidR="005E426D" w:rsidRPr="00FF01D3" w:rsidRDefault="005E426D" w:rsidP="00B17458">
      <w:pPr>
        <w:pStyle w:val="Prrafodelista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al Cr. Delegado; y</w:t>
      </w:r>
    </w:p>
    <w:p w:rsidR="0024066E" w:rsidRPr="002E7970" w:rsidRDefault="0024066E" w:rsidP="00B17458">
      <w:pPr>
        <w:pStyle w:val="Prrafodelista"/>
        <w:numPr>
          <w:ilvl w:val="0"/>
          <w:numId w:val="5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E7970">
        <w:rPr>
          <w:rFonts w:ascii="Arial" w:hAnsi="Arial" w:cs="Arial"/>
          <w:sz w:val="24"/>
          <w:szCs w:val="24"/>
        </w:rPr>
        <w:t xml:space="preserve">Devolver las actuaciones.  </w:t>
      </w:r>
    </w:p>
    <w:p w:rsidR="003160F7" w:rsidRDefault="00B17458" w:rsidP="009E4A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p w:rsidR="004031C5" w:rsidRDefault="004031C5" w:rsidP="009E4A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31C5" w:rsidRDefault="004031C5" w:rsidP="009E4A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31C5" w:rsidRDefault="004031C5" w:rsidP="009E4A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31C5" w:rsidRDefault="004031C5" w:rsidP="009E4A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31C5" w:rsidRDefault="004031C5" w:rsidP="009E4A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31C5" w:rsidRDefault="004031C5" w:rsidP="009E4A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31C5" w:rsidRDefault="004031C5" w:rsidP="009E4A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31C5" w:rsidRDefault="004031C5" w:rsidP="009E4A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31C5" w:rsidRDefault="004031C5" w:rsidP="00D71A3A">
      <w:pPr>
        <w:spacing w:line="360" w:lineRule="auto"/>
        <w:jc w:val="both"/>
        <w:rPr>
          <w:rFonts w:ascii="Arial" w:hAnsi="Arial" w:cs="Arial"/>
          <w:szCs w:val="24"/>
        </w:rPr>
      </w:pPr>
    </w:p>
    <w:p w:rsidR="004031C5" w:rsidRPr="004031C5" w:rsidRDefault="004031C5" w:rsidP="004031C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E9382D">
        <w:rPr>
          <w:rFonts w:ascii="Arial" w:hAnsi="Arial" w:cs="Arial"/>
          <w:b/>
          <w:szCs w:val="24"/>
        </w:rPr>
        <w:t>CON</w:t>
      </w:r>
      <w:r>
        <w:rPr>
          <w:rFonts w:ascii="Arial" w:hAnsi="Arial" w:cs="Arial"/>
          <w:b/>
          <w:szCs w:val="24"/>
        </w:rPr>
        <w:t>S</w:t>
      </w:r>
      <w:r w:rsidRPr="00E9382D">
        <w:rPr>
          <w:rFonts w:ascii="Arial" w:hAnsi="Arial" w:cs="Arial"/>
          <w:b/>
          <w:szCs w:val="24"/>
        </w:rPr>
        <w:t xml:space="preserve">TANCIA DE FUNDAMENTO DE VOTO </w:t>
      </w:r>
      <w:r>
        <w:rPr>
          <w:rFonts w:ascii="Arial" w:hAnsi="Arial" w:cs="Arial"/>
          <w:b/>
          <w:szCs w:val="24"/>
        </w:rPr>
        <w:t>DISCORDE</w:t>
      </w:r>
      <w:r w:rsidRPr="00E9382D">
        <w:rPr>
          <w:rFonts w:ascii="Arial" w:hAnsi="Arial" w:cs="Arial"/>
          <w:b/>
          <w:szCs w:val="24"/>
        </w:rPr>
        <w:t xml:space="preserve"> DEL </w:t>
      </w:r>
      <w:r w:rsidRPr="00837E21">
        <w:rPr>
          <w:rFonts w:ascii="Arial" w:hAnsi="Arial" w:cs="Arial"/>
          <w:b/>
          <w:szCs w:val="24"/>
        </w:rPr>
        <w:t>MINISTRO</w:t>
      </w:r>
      <w:r>
        <w:rPr>
          <w:rFonts w:ascii="Arial" w:hAnsi="Arial" w:cs="Arial"/>
          <w:szCs w:val="24"/>
        </w:rPr>
        <w:t xml:space="preserve">               </w:t>
      </w:r>
      <w:r w:rsidRPr="00D71A3A">
        <w:rPr>
          <w:rFonts w:ascii="Arial" w:hAnsi="Arial" w:cs="Arial"/>
          <w:b/>
          <w:szCs w:val="24"/>
        </w:rPr>
        <w:t>ING. MIGUEL AUMENTO:</w:t>
      </w:r>
      <w:r w:rsidRPr="005C0AC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“</w:t>
      </w:r>
      <w:r w:rsidRPr="004031C5">
        <w:rPr>
          <w:rFonts w:ascii="Arial" w:hAnsi="Arial" w:cs="Arial"/>
          <w:sz w:val="24"/>
          <w:szCs w:val="24"/>
          <w:lang w:eastAsia="es-ES"/>
        </w:rPr>
        <w:t>He votado en forma discorde la Resolución recaída en este expediente, por las razones que se dirán seguidamente.</w:t>
      </w:r>
    </w:p>
    <w:p w:rsidR="004031C5" w:rsidRPr="004031C5" w:rsidRDefault="004031C5" w:rsidP="004031C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4031C5">
        <w:rPr>
          <w:rFonts w:ascii="Arial" w:hAnsi="Arial" w:cs="Arial"/>
          <w:sz w:val="24"/>
          <w:szCs w:val="24"/>
          <w:lang w:eastAsia="es-ES"/>
        </w:rPr>
        <w:t xml:space="preserve">En efecto, el gasto originario fue observado por tres casuales, con fecha 9 de noviembre de 2016. En mi opinión, en dicha instancia no se debió incluir las causales de observación que lucen en el Resultando 2.1) y 2.2), dado que no comparto que se haya configurado vicio legal alguno. </w:t>
      </w:r>
    </w:p>
    <w:p w:rsidR="004031C5" w:rsidRPr="004031C5" w:rsidRDefault="004031C5" w:rsidP="004031C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4031C5">
        <w:rPr>
          <w:rFonts w:ascii="Arial" w:hAnsi="Arial" w:cs="Arial"/>
          <w:sz w:val="24"/>
          <w:szCs w:val="24"/>
          <w:lang w:eastAsia="es-ES"/>
        </w:rPr>
        <w:t>Ahora bien, respecto a lo que consta en el Resultando 2.3), dicha causal irradia sus efectos a la ampliación dispuesta en esta ocasión y, por tanto, entiendo que el Tribunal de Cuentas debió observar este nuevo gasto por dicha razón, con independencia de que el mismo se ajusta a lo estableci</w:t>
      </w:r>
      <w:r>
        <w:rPr>
          <w:rFonts w:ascii="Arial" w:hAnsi="Arial" w:cs="Arial"/>
          <w:sz w:val="24"/>
          <w:szCs w:val="24"/>
          <w:lang w:eastAsia="es-ES"/>
        </w:rPr>
        <w:t>do en el Artículo 74 del TOCAF.”</w:t>
      </w:r>
    </w:p>
    <w:p w:rsidR="004031C5" w:rsidRPr="005C0AC0" w:rsidRDefault="004031C5" w:rsidP="00D71A3A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4031C5" w:rsidRDefault="004031C5" w:rsidP="00D71A3A">
      <w:pPr>
        <w:spacing w:line="360" w:lineRule="auto"/>
        <w:jc w:val="both"/>
        <w:rPr>
          <w:rFonts w:ascii="Arial" w:hAnsi="Arial" w:cs="Arial"/>
          <w:szCs w:val="24"/>
        </w:rPr>
      </w:pPr>
    </w:p>
    <w:p w:rsidR="004031C5" w:rsidRDefault="004031C5" w:rsidP="00D71A3A">
      <w:pPr>
        <w:spacing w:line="360" w:lineRule="auto"/>
        <w:jc w:val="both"/>
        <w:rPr>
          <w:rFonts w:ascii="Arial" w:hAnsi="Arial" w:cs="Arial"/>
          <w:szCs w:val="24"/>
        </w:rPr>
      </w:pPr>
    </w:p>
    <w:p w:rsidR="0039533E" w:rsidRDefault="004031C5" w:rsidP="0039533E">
      <w:pPr>
        <w:spacing w:after="0" w:line="360" w:lineRule="auto"/>
        <w:jc w:val="both"/>
      </w:pPr>
      <w:r w:rsidRPr="00E9382D">
        <w:rPr>
          <w:rFonts w:ascii="Arial" w:hAnsi="Arial" w:cs="Arial"/>
          <w:b/>
          <w:szCs w:val="24"/>
        </w:rPr>
        <w:t>CON</w:t>
      </w:r>
      <w:r>
        <w:rPr>
          <w:rFonts w:ascii="Arial" w:hAnsi="Arial" w:cs="Arial"/>
          <w:b/>
          <w:szCs w:val="24"/>
        </w:rPr>
        <w:t>S</w:t>
      </w:r>
      <w:r w:rsidRPr="00E9382D">
        <w:rPr>
          <w:rFonts w:ascii="Arial" w:hAnsi="Arial" w:cs="Arial"/>
          <w:b/>
          <w:szCs w:val="24"/>
        </w:rPr>
        <w:t>TANCIA</w:t>
      </w:r>
      <w:r>
        <w:rPr>
          <w:rFonts w:ascii="Arial" w:hAnsi="Arial" w:cs="Arial"/>
          <w:b/>
          <w:szCs w:val="24"/>
        </w:rPr>
        <w:t xml:space="preserve"> </w:t>
      </w:r>
      <w:r w:rsidRPr="00E9382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E9382D">
        <w:rPr>
          <w:rFonts w:ascii="Arial" w:hAnsi="Arial" w:cs="Arial"/>
          <w:b/>
          <w:szCs w:val="24"/>
        </w:rPr>
        <w:t xml:space="preserve">DE </w:t>
      </w:r>
      <w:r>
        <w:rPr>
          <w:rFonts w:ascii="Arial" w:hAnsi="Arial" w:cs="Arial"/>
          <w:b/>
          <w:szCs w:val="24"/>
        </w:rPr>
        <w:t xml:space="preserve"> </w:t>
      </w:r>
      <w:r w:rsidRPr="00E9382D">
        <w:rPr>
          <w:rFonts w:ascii="Arial" w:hAnsi="Arial" w:cs="Arial"/>
          <w:b/>
          <w:szCs w:val="24"/>
        </w:rPr>
        <w:t xml:space="preserve">FUNDAMENTO </w:t>
      </w:r>
      <w:r>
        <w:rPr>
          <w:rFonts w:ascii="Arial" w:hAnsi="Arial" w:cs="Arial"/>
          <w:b/>
          <w:szCs w:val="24"/>
        </w:rPr>
        <w:t xml:space="preserve"> </w:t>
      </w:r>
      <w:r w:rsidRPr="00E9382D">
        <w:rPr>
          <w:rFonts w:ascii="Arial" w:hAnsi="Arial" w:cs="Arial"/>
          <w:b/>
          <w:szCs w:val="24"/>
        </w:rPr>
        <w:t xml:space="preserve">DE </w:t>
      </w:r>
      <w:r>
        <w:rPr>
          <w:rFonts w:ascii="Arial" w:hAnsi="Arial" w:cs="Arial"/>
          <w:b/>
          <w:szCs w:val="24"/>
        </w:rPr>
        <w:t xml:space="preserve"> </w:t>
      </w:r>
      <w:r w:rsidRPr="00E9382D">
        <w:rPr>
          <w:rFonts w:ascii="Arial" w:hAnsi="Arial" w:cs="Arial"/>
          <w:b/>
          <w:szCs w:val="24"/>
        </w:rPr>
        <w:t xml:space="preserve">VOTO </w:t>
      </w:r>
      <w:r>
        <w:rPr>
          <w:rFonts w:ascii="Arial" w:hAnsi="Arial" w:cs="Arial"/>
          <w:b/>
          <w:szCs w:val="24"/>
        </w:rPr>
        <w:t xml:space="preserve"> DISCORDE</w:t>
      </w:r>
      <w:r w:rsidRPr="00E9382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E9382D">
        <w:rPr>
          <w:rFonts w:ascii="Arial" w:hAnsi="Arial" w:cs="Arial"/>
          <w:b/>
          <w:szCs w:val="24"/>
        </w:rPr>
        <w:t>DE</w:t>
      </w:r>
      <w:r>
        <w:rPr>
          <w:rFonts w:ascii="Arial" w:hAnsi="Arial" w:cs="Arial"/>
          <w:b/>
          <w:szCs w:val="24"/>
        </w:rPr>
        <w:t>L</w:t>
      </w:r>
      <w:r w:rsidRPr="00E9382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MINISTRO</w:t>
      </w: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DR. DARWIN MACHADO</w:t>
      </w:r>
      <w:r w:rsidRPr="005C0AC0">
        <w:rPr>
          <w:rFonts w:ascii="Arial" w:hAnsi="Arial" w:cs="Arial"/>
          <w:b/>
          <w:szCs w:val="24"/>
        </w:rPr>
        <w:t>:</w:t>
      </w:r>
      <w:r w:rsidRPr="00FB427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“</w:t>
      </w:r>
      <w:r w:rsidR="0039533E">
        <w:rPr>
          <w:rFonts w:ascii="Arial" w:hAnsi="Arial" w:cs="Arial"/>
          <w:sz w:val="24"/>
          <w:szCs w:val="24"/>
        </w:rPr>
        <w:t>Discorde, por compartir el informe  elevado por la División Jurídica que aconseja observar el gasto en mérito a que el gasto derivado de la contratación original fue oportunamente observado por este Tribunal por razones que irradian sus efectos a la presente ampliación.</w:t>
      </w:r>
      <w:r w:rsidR="0039533E"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</w:p>
    <w:p w:rsidR="004031C5" w:rsidRPr="00FB4277" w:rsidRDefault="004031C5" w:rsidP="00D71A3A">
      <w:pPr>
        <w:spacing w:line="360" w:lineRule="auto"/>
        <w:jc w:val="both"/>
        <w:rPr>
          <w:rFonts w:ascii="Arial" w:hAnsi="Arial" w:cs="Arial"/>
          <w:szCs w:val="24"/>
        </w:rPr>
      </w:pPr>
    </w:p>
    <w:p w:rsidR="004031C5" w:rsidRPr="00FB4277" w:rsidRDefault="004031C5" w:rsidP="00FB4277">
      <w:pPr>
        <w:spacing w:line="360" w:lineRule="auto"/>
        <w:rPr>
          <w:rFonts w:ascii="Arial" w:hAnsi="Arial" w:cs="Arial"/>
          <w:szCs w:val="24"/>
        </w:rPr>
      </w:pPr>
      <w:r w:rsidRPr="00FB4277">
        <w:rPr>
          <w:rFonts w:ascii="Arial" w:hAnsi="Arial" w:cs="Arial"/>
          <w:szCs w:val="24"/>
        </w:rPr>
        <w:t xml:space="preserve"> </w:t>
      </w:r>
    </w:p>
    <w:p w:rsidR="004031C5" w:rsidRPr="006A2B03" w:rsidRDefault="004031C5" w:rsidP="006A2B03"/>
    <w:p w:rsidR="004031C5" w:rsidRPr="00B17458" w:rsidRDefault="004031C5" w:rsidP="009E4A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4031C5" w:rsidRPr="00B17458" w:rsidSect="007E28CB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200" w:rsidRDefault="00BB2200" w:rsidP="00D36BF4">
      <w:pPr>
        <w:spacing w:after="0" w:line="240" w:lineRule="auto"/>
      </w:pPr>
      <w:r>
        <w:separator/>
      </w:r>
    </w:p>
  </w:endnote>
  <w:endnote w:type="continuationSeparator" w:id="0">
    <w:p w:rsidR="00BB2200" w:rsidRDefault="00BB2200" w:rsidP="00D3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796193"/>
      <w:docPartObj>
        <w:docPartGallery w:val="Page Numbers (Bottom of Page)"/>
        <w:docPartUnique/>
      </w:docPartObj>
    </w:sdtPr>
    <w:sdtEndPr/>
    <w:sdtContent>
      <w:p w:rsidR="006154B3" w:rsidRDefault="006154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8CB" w:rsidRPr="007E28CB">
          <w:rPr>
            <w:noProof/>
            <w:lang w:val="es-ES"/>
          </w:rPr>
          <w:t>5</w:t>
        </w:r>
        <w:r>
          <w:fldChar w:fldCharType="end"/>
        </w:r>
      </w:p>
    </w:sdtContent>
  </w:sdt>
  <w:p w:rsidR="006154B3" w:rsidRDefault="006154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200" w:rsidRDefault="00BB2200" w:rsidP="00D36BF4">
      <w:pPr>
        <w:spacing w:after="0" w:line="240" w:lineRule="auto"/>
      </w:pPr>
      <w:r>
        <w:separator/>
      </w:r>
    </w:p>
  </w:footnote>
  <w:footnote w:type="continuationSeparator" w:id="0">
    <w:p w:rsidR="00BB2200" w:rsidRDefault="00BB2200" w:rsidP="00D36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4597"/>
    <w:multiLevelType w:val="hybridMultilevel"/>
    <w:tmpl w:val="06AEA6B2"/>
    <w:lvl w:ilvl="0" w:tplc="D3B2D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DDD"/>
    <w:multiLevelType w:val="hybridMultilevel"/>
    <w:tmpl w:val="558C5D88"/>
    <w:lvl w:ilvl="0" w:tplc="8C646A54">
      <w:start w:val="1"/>
      <w:numFmt w:val="decimal"/>
      <w:lvlText w:val="%1)"/>
      <w:lvlJc w:val="left"/>
      <w:pPr>
        <w:ind w:left="705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6D4C0D"/>
    <w:multiLevelType w:val="hybridMultilevel"/>
    <w:tmpl w:val="B96C0A0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A73D1"/>
    <w:multiLevelType w:val="hybridMultilevel"/>
    <w:tmpl w:val="B1A4960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CE7793"/>
    <w:multiLevelType w:val="hybridMultilevel"/>
    <w:tmpl w:val="F27AE418"/>
    <w:lvl w:ilvl="0" w:tplc="360A8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80BBA"/>
    <w:multiLevelType w:val="hybridMultilevel"/>
    <w:tmpl w:val="6E6A74A6"/>
    <w:lvl w:ilvl="0" w:tplc="9F74901E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B6"/>
    <w:rsid w:val="0001510A"/>
    <w:rsid w:val="00015866"/>
    <w:rsid w:val="00020029"/>
    <w:rsid w:val="000208DE"/>
    <w:rsid w:val="000247CC"/>
    <w:rsid w:val="00036F40"/>
    <w:rsid w:val="000469A7"/>
    <w:rsid w:val="00050495"/>
    <w:rsid w:val="0005507B"/>
    <w:rsid w:val="000556EA"/>
    <w:rsid w:val="00056893"/>
    <w:rsid w:val="00057E02"/>
    <w:rsid w:val="000619CC"/>
    <w:rsid w:val="0006352E"/>
    <w:rsid w:val="000846DB"/>
    <w:rsid w:val="0008496B"/>
    <w:rsid w:val="000918A7"/>
    <w:rsid w:val="000B4F93"/>
    <w:rsid w:val="000D1038"/>
    <w:rsid w:val="000D5399"/>
    <w:rsid w:val="000D6338"/>
    <w:rsid w:val="000F705E"/>
    <w:rsid w:val="000F735F"/>
    <w:rsid w:val="00101605"/>
    <w:rsid w:val="00113540"/>
    <w:rsid w:val="00130655"/>
    <w:rsid w:val="00153EA4"/>
    <w:rsid w:val="00177E7E"/>
    <w:rsid w:val="00183238"/>
    <w:rsid w:val="001846C8"/>
    <w:rsid w:val="001C0ACB"/>
    <w:rsid w:val="001D59CA"/>
    <w:rsid w:val="001E4E2B"/>
    <w:rsid w:val="001E64CE"/>
    <w:rsid w:val="001E6626"/>
    <w:rsid w:val="0021108B"/>
    <w:rsid w:val="00214037"/>
    <w:rsid w:val="00220651"/>
    <w:rsid w:val="00221EB0"/>
    <w:rsid w:val="0024066E"/>
    <w:rsid w:val="00255434"/>
    <w:rsid w:val="0026302F"/>
    <w:rsid w:val="0028661F"/>
    <w:rsid w:val="002875D3"/>
    <w:rsid w:val="00296165"/>
    <w:rsid w:val="002A1EC4"/>
    <w:rsid w:val="002A31C8"/>
    <w:rsid w:val="002A3B71"/>
    <w:rsid w:val="002D548A"/>
    <w:rsid w:val="002D66CF"/>
    <w:rsid w:val="002E70C0"/>
    <w:rsid w:val="002E7970"/>
    <w:rsid w:val="002F0A9F"/>
    <w:rsid w:val="00306910"/>
    <w:rsid w:val="003160F7"/>
    <w:rsid w:val="00316B07"/>
    <w:rsid w:val="00326699"/>
    <w:rsid w:val="0034121C"/>
    <w:rsid w:val="00342A7D"/>
    <w:rsid w:val="003444A3"/>
    <w:rsid w:val="003500D6"/>
    <w:rsid w:val="003630D5"/>
    <w:rsid w:val="00383E63"/>
    <w:rsid w:val="0039054C"/>
    <w:rsid w:val="00391F5E"/>
    <w:rsid w:val="0039533E"/>
    <w:rsid w:val="003A1671"/>
    <w:rsid w:val="003A5CF0"/>
    <w:rsid w:val="003B3168"/>
    <w:rsid w:val="003B6AE4"/>
    <w:rsid w:val="003B6C07"/>
    <w:rsid w:val="003D0BFD"/>
    <w:rsid w:val="003E3821"/>
    <w:rsid w:val="003F11FF"/>
    <w:rsid w:val="003F4946"/>
    <w:rsid w:val="003F61BC"/>
    <w:rsid w:val="00402B32"/>
    <w:rsid w:val="004031C5"/>
    <w:rsid w:val="00413FA4"/>
    <w:rsid w:val="0044402C"/>
    <w:rsid w:val="0045423D"/>
    <w:rsid w:val="00457EC0"/>
    <w:rsid w:val="00462BCC"/>
    <w:rsid w:val="0046306D"/>
    <w:rsid w:val="00465ADE"/>
    <w:rsid w:val="00466F8F"/>
    <w:rsid w:val="00482E1E"/>
    <w:rsid w:val="004A5CA0"/>
    <w:rsid w:val="004B0E05"/>
    <w:rsid w:val="004B1145"/>
    <w:rsid w:val="004E6FBE"/>
    <w:rsid w:val="004E724E"/>
    <w:rsid w:val="00505EE0"/>
    <w:rsid w:val="00514E50"/>
    <w:rsid w:val="00521ADB"/>
    <w:rsid w:val="005257B0"/>
    <w:rsid w:val="00553A05"/>
    <w:rsid w:val="00553F52"/>
    <w:rsid w:val="00560C26"/>
    <w:rsid w:val="005614D5"/>
    <w:rsid w:val="005667F4"/>
    <w:rsid w:val="00585A95"/>
    <w:rsid w:val="00591AD2"/>
    <w:rsid w:val="005A1806"/>
    <w:rsid w:val="005A3192"/>
    <w:rsid w:val="005A3A9F"/>
    <w:rsid w:val="005B227A"/>
    <w:rsid w:val="005B2C51"/>
    <w:rsid w:val="005C0F24"/>
    <w:rsid w:val="005C2789"/>
    <w:rsid w:val="005E2F61"/>
    <w:rsid w:val="005E426D"/>
    <w:rsid w:val="005E7B57"/>
    <w:rsid w:val="0060592B"/>
    <w:rsid w:val="00607C2C"/>
    <w:rsid w:val="0061059B"/>
    <w:rsid w:val="00615274"/>
    <w:rsid w:val="006154B3"/>
    <w:rsid w:val="00623426"/>
    <w:rsid w:val="006364FE"/>
    <w:rsid w:val="006433AC"/>
    <w:rsid w:val="00646D1A"/>
    <w:rsid w:val="00662506"/>
    <w:rsid w:val="006771C6"/>
    <w:rsid w:val="0068117A"/>
    <w:rsid w:val="00697D2E"/>
    <w:rsid w:val="006A388F"/>
    <w:rsid w:val="006A6FB5"/>
    <w:rsid w:val="006B0068"/>
    <w:rsid w:val="006C0B17"/>
    <w:rsid w:val="006C48AF"/>
    <w:rsid w:val="006C61B1"/>
    <w:rsid w:val="006E2894"/>
    <w:rsid w:val="006F62E2"/>
    <w:rsid w:val="006F7654"/>
    <w:rsid w:val="007026EC"/>
    <w:rsid w:val="007062E9"/>
    <w:rsid w:val="0071495C"/>
    <w:rsid w:val="00742425"/>
    <w:rsid w:val="00742583"/>
    <w:rsid w:val="00756947"/>
    <w:rsid w:val="007605A0"/>
    <w:rsid w:val="00766D8B"/>
    <w:rsid w:val="007671E1"/>
    <w:rsid w:val="00791C40"/>
    <w:rsid w:val="007B2AA4"/>
    <w:rsid w:val="007D4CD6"/>
    <w:rsid w:val="007E28CB"/>
    <w:rsid w:val="007F0AB7"/>
    <w:rsid w:val="007F616D"/>
    <w:rsid w:val="007F7F4F"/>
    <w:rsid w:val="0081558E"/>
    <w:rsid w:val="00815D00"/>
    <w:rsid w:val="00824F71"/>
    <w:rsid w:val="008403E1"/>
    <w:rsid w:val="0085049D"/>
    <w:rsid w:val="0086135F"/>
    <w:rsid w:val="00862FA3"/>
    <w:rsid w:val="00865F5D"/>
    <w:rsid w:val="008741B6"/>
    <w:rsid w:val="008929C3"/>
    <w:rsid w:val="00892C5C"/>
    <w:rsid w:val="00896549"/>
    <w:rsid w:val="008A2BFF"/>
    <w:rsid w:val="008C23CF"/>
    <w:rsid w:val="008D28BD"/>
    <w:rsid w:val="008E0160"/>
    <w:rsid w:val="00900D76"/>
    <w:rsid w:val="00927E77"/>
    <w:rsid w:val="00943D44"/>
    <w:rsid w:val="009444D2"/>
    <w:rsid w:val="0095146D"/>
    <w:rsid w:val="009548CC"/>
    <w:rsid w:val="00955D23"/>
    <w:rsid w:val="00964093"/>
    <w:rsid w:val="00981C45"/>
    <w:rsid w:val="00991464"/>
    <w:rsid w:val="009A0F6D"/>
    <w:rsid w:val="009A14B4"/>
    <w:rsid w:val="009A5A29"/>
    <w:rsid w:val="009B6F7F"/>
    <w:rsid w:val="009D1DAF"/>
    <w:rsid w:val="009E4AE4"/>
    <w:rsid w:val="009E6672"/>
    <w:rsid w:val="009F0D8F"/>
    <w:rsid w:val="009F24E9"/>
    <w:rsid w:val="009F5EE9"/>
    <w:rsid w:val="009F7515"/>
    <w:rsid w:val="00A006CB"/>
    <w:rsid w:val="00A07883"/>
    <w:rsid w:val="00A14B6A"/>
    <w:rsid w:val="00A16167"/>
    <w:rsid w:val="00A2009B"/>
    <w:rsid w:val="00A31A43"/>
    <w:rsid w:val="00A41083"/>
    <w:rsid w:val="00A43864"/>
    <w:rsid w:val="00A50B4F"/>
    <w:rsid w:val="00A57E81"/>
    <w:rsid w:val="00A62A9A"/>
    <w:rsid w:val="00A64C66"/>
    <w:rsid w:val="00A74C27"/>
    <w:rsid w:val="00A941EE"/>
    <w:rsid w:val="00AA36B8"/>
    <w:rsid w:val="00AC3E6E"/>
    <w:rsid w:val="00AD091F"/>
    <w:rsid w:val="00AE1A00"/>
    <w:rsid w:val="00AF2D59"/>
    <w:rsid w:val="00B002BA"/>
    <w:rsid w:val="00B17458"/>
    <w:rsid w:val="00B2120A"/>
    <w:rsid w:val="00B24C95"/>
    <w:rsid w:val="00B321DC"/>
    <w:rsid w:val="00B55918"/>
    <w:rsid w:val="00B61440"/>
    <w:rsid w:val="00B67E50"/>
    <w:rsid w:val="00B71BA4"/>
    <w:rsid w:val="00B85127"/>
    <w:rsid w:val="00B906F2"/>
    <w:rsid w:val="00B94038"/>
    <w:rsid w:val="00B9464A"/>
    <w:rsid w:val="00BA130D"/>
    <w:rsid w:val="00BA27DA"/>
    <w:rsid w:val="00BA6121"/>
    <w:rsid w:val="00BB2200"/>
    <w:rsid w:val="00BB4121"/>
    <w:rsid w:val="00BB549A"/>
    <w:rsid w:val="00BC04BF"/>
    <w:rsid w:val="00BC6C55"/>
    <w:rsid w:val="00BD28DC"/>
    <w:rsid w:val="00BD52B1"/>
    <w:rsid w:val="00BD63E0"/>
    <w:rsid w:val="00BD7ACA"/>
    <w:rsid w:val="00BE09A4"/>
    <w:rsid w:val="00BE309E"/>
    <w:rsid w:val="00BE3465"/>
    <w:rsid w:val="00BE43C6"/>
    <w:rsid w:val="00BF1322"/>
    <w:rsid w:val="00BF27A3"/>
    <w:rsid w:val="00BF693B"/>
    <w:rsid w:val="00C15D4A"/>
    <w:rsid w:val="00C35A4A"/>
    <w:rsid w:val="00C36CE9"/>
    <w:rsid w:val="00C36E8D"/>
    <w:rsid w:val="00C52557"/>
    <w:rsid w:val="00C618B4"/>
    <w:rsid w:val="00C744C2"/>
    <w:rsid w:val="00C84133"/>
    <w:rsid w:val="00C92355"/>
    <w:rsid w:val="00C93B72"/>
    <w:rsid w:val="00C9481E"/>
    <w:rsid w:val="00CA5186"/>
    <w:rsid w:val="00CB035A"/>
    <w:rsid w:val="00CC440E"/>
    <w:rsid w:val="00CD7DAC"/>
    <w:rsid w:val="00CE33F7"/>
    <w:rsid w:val="00CE3582"/>
    <w:rsid w:val="00CE4506"/>
    <w:rsid w:val="00CF3D63"/>
    <w:rsid w:val="00CF4EE4"/>
    <w:rsid w:val="00D0088C"/>
    <w:rsid w:val="00D06BC9"/>
    <w:rsid w:val="00D073C4"/>
    <w:rsid w:val="00D1655B"/>
    <w:rsid w:val="00D36BF4"/>
    <w:rsid w:val="00D537AB"/>
    <w:rsid w:val="00D63C54"/>
    <w:rsid w:val="00D913F5"/>
    <w:rsid w:val="00D95141"/>
    <w:rsid w:val="00DC408F"/>
    <w:rsid w:val="00DE4AAC"/>
    <w:rsid w:val="00DF4856"/>
    <w:rsid w:val="00E0358E"/>
    <w:rsid w:val="00E270B6"/>
    <w:rsid w:val="00E4444D"/>
    <w:rsid w:val="00E4665E"/>
    <w:rsid w:val="00E5197E"/>
    <w:rsid w:val="00E533D6"/>
    <w:rsid w:val="00E617FD"/>
    <w:rsid w:val="00E6647C"/>
    <w:rsid w:val="00E73ACB"/>
    <w:rsid w:val="00E75242"/>
    <w:rsid w:val="00E834C2"/>
    <w:rsid w:val="00E94E12"/>
    <w:rsid w:val="00E9531D"/>
    <w:rsid w:val="00E9589D"/>
    <w:rsid w:val="00EA1CE3"/>
    <w:rsid w:val="00EA4FB2"/>
    <w:rsid w:val="00EA5041"/>
    <w:rsid w:val="00EB0E64"/>
    <w:rsid w:val="00EB100A"/>
    <w:rsid w:val="00EB7F04"/>
    <w:rsid w:val="00EC0A46"/>
    <w:rsid w:val="00EC1712"/>
    <w:rsid w:val="00EE6993"/>
    <w:rsid w:val="00F0363D"/>
    <w:rsid w:val="00F135A3"/>
    <w:rsid w:val="00F17E35"/>
    <w:rsid w:val="00F20FED"/>
    <w:rsid w:val="00F36E27"/>
    <w:rsid w:val="00F60043"/>
    <w:rsid w:val="00F74F83"/>
    <w:rsid w:val="00F81EDD"/>
    <w:rsid w:val="00F94845"/>
    <w:rsid w:val="00F96103"/>
    <w:rsid w:val="00FA6E35"/>
    <w:rsid w:val="00FB30AC"/>
    <w:rsid w:val="00FB5604"/>
    <w:rsid w:val="00FD0AAA"/>
    <w:rsid w:val="00FD0B6E"/>
    <w:rsid w:val="00FD383A"/>
    <w:rsid w:val="00FE5109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D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0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6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BF4"/>
  </w:style>
  <w:style w:type="paragraph" w:styleId="Piedepgina">
    <w:name w:val="footer"/>
    <w:basedOn w:val="Normal"/>
    <w:link w:val="PiedepginaCar"/>
    <w:uiPriority w:val="99"/>
    <w:unhideWhenUsed/>
    <w:rsid w:val="00D36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D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0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6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BF4"/>
  </w:style>
  <w:style w:type="paragraph" w:styleId="Piedepgina">
    <w:name w:val="footer"/>
    <w:basedOn w:val="Normal"/>
    <w:link w:val="PiedepginaCar"/>
    <w:uiPriority w:val="99"/>
    <w:unhideWhenUsed/>
    <w:rsid w:val="00D36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65B7-75EC-463A-90ED-6C5DE4F8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1031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5</cp:revision>
  <cp:lastPrinted>2019-07-09T16:17:00Z</cp:lastPrinted>
  <dcterms:created xsi:type="dcterms:W3CDTF">2019-07-09T16:02:00Z</dcterms:created>
  <dcterms:modified xsi:type="dcterms:W3CDTF">2019-07-09T16:18:00Z</dcterms:modified>
</cp:coreProperties>
</file>