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5F" w:rsidRPr="00E92F5F" w:rsidRDefault="00E92F5F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E92F5F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1614</w:t>
      </w:r>
      <w:r w:rsidRPr="00E92F5F">
        <w:rPr>
          <w:rFonts w:ascii="Arial" w:hAnsi="Arial" w:cs="Arial"/>
          <w:sz w:val="28"/>
          <w:szCs w:val="28"/>
          <w:lang w:val="es-ES_tradnl"/>
        </w:rPr>
        <w:t>/19</w:t>
      </w:r>
    </w:p>
    <w:p w:rsidR="00E92F5F" w:rsidRPr="00E92F5F" w:rsidRDefault="00E92F5F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E92F5F" w:rsidRPr="00E92F5F" w:rsidRDefault="00E92F5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92F5F">
        <w:rPr>
          <w:rFonts w:ascii="Arial" w:hAnsi="Arial" w:cs="Arial"/>
          <w:lang w:val="es-ES_tradnl"/>
        </w:rPr>
        <w:t>RESOLUCION ADOPTADA POR EL</w:t>
      </w:r>
    </w:p>
    <w:p w:rsidR="00E92F5F" w:rsidRPr="00E92F5F" w:rsidRDefault="00E92F5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E92F5F" w:rsidRPr="00E92F5F" w:rsidRDefault="00E92F5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92F5F">
        <w:rPr>
          <w:rFonts w:ascii="Arial" w:hAnsi="Arial" w:cs="Arial"/>
          <w:lang w:val="es-ES_tradnl"/>
        </w:rPr>
        <w:t>TRIBUNAL DE CUENTAS</w:t>
      </w:r>
    </w:p>
    <w:p w:rsidR="00E92F5F" w:rsidRPr="00E92F5F" w:rsidRDefault="00E92F5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E92F5F" w:rsidRPr="00E92F5F" w:rsidRDefault="00E92F5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92F5F">
        <w:rPr>
          <w:rFonts w:ascii="Arial" w:hAnsi="Arial" w:cs="Arial"/>
          <w:lang w:val="es-ES_tradnl"/>
        </w:rPr>
        <w:t xml:space="preserve">EN SESION DE FECHA 3 DE JULIO </w:t>
      </w:r>
      <w:r w:rsidRPr="00E92F5F">
        <w:rPr>
          <w:rFonts w:ascii="Helvetica" w:hAnsi="Helvetica"/>
          <w:lang w:val="es-ES_tradnl"/>
        </w:rPr>
        <w:t>DE 2019</w:t>
      </w:r>
    </w:p>
    <w:p w:rsidR="00E92F5F" w:rsidRPr="00E92F5F" w:rsidRDefault="00E92F5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E92F5F" w:rsidRPr="00C865DE" w:rsidRDefault="00E92F5F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C865DE">
        <w:rPr>
          <w:rFonts w:ascii="Arial" w:hAnsi="Arial" w:cs="Arial"/>
          <w:lang w:val="es-UY"/>
        </w:rPr>
        <w:t xml:space="preserve">(E. E. Nº 2018-17-1-0004292, </w:t>
      </w:r>
      <w:proofErr w:type="spellStart"/>
      <w:r w:rsidRPr="00C865DE">
        <w:rPr>
          <w:rFonts w:ascii="Arial" w:hAnsi="Arial" w:cs="Arial"/>
          <w:lang w:val="es-UY"/>
        </w:rPr>
        <w:t>Ent</w:t>
      </w:r>
      <w:proofErr w:type="spellEnd"/>
      <w:r w:rsidRPr="00C865DE">
        <w:rPr>
          <w:rFonts w:ascii="Arial" w:hAnsi="Arial" w:cs="Arial"/>
          <w:lang w:val="es-UY"/>
        </w:rPr>
        <w:t>. N° 2144/19)</w:t>
      </w:r>
    </w:p>
    <w:p w:rsidR="00E92F5F" w:rsidRPr="00C865DE" w:rsidRDefault="00E92F5F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E92F5F" w:rsidRDefault="0051666E" w:rsidP="00E92F5F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VISTO: </w:t>
      </w:r>
      <w:r w:rsidRPr="00CC3308">
        <w:rPr>
          <w:rFonts w:ascii="Arial" w:hAnsi="Arial" w:cs="Arial"/>
          <w:b w:val="0"/>
          <w:lang w:val="es-ES_tradnl"/>
        </w:rPr>
        <w:t>l</w:t>
      </w:r>
      <w:r w:rsidRPr="00FB787A">
        <w:rPr>
          <w:rFonts w:ascii="Arial" w:hAnsi="Arial" w:cs="Arial"/>
          <w:b w:val="0"/>
          <w:lang w:val="es-ES_tradnl"/>
        </w:rPr>
        <w:t>a</w:t>
      </w:r>
      <w:r>
        <w:rPr>
          <w:rFonts w:ascii="Arial" w:hAnsi="Arial" w:cs="Arial"/>
          <w:b w:val="0"/>
          <w:lang w:val="es-ES_tradnl"/>
        </w:rPr>
        <w:t>s nuevas actuaciones remitidas por el Instituto del Niño y Adolescente del Uruguay  comunicando la reitera</w:t>
      </w:r>
      <w:r w:rsidR="00E92F5F">
        <w:rPr>
          <w:rFonts w:ascii="Arial" w:hAnsi="Arial" w:cs="Arial"/>
          <w:b w:val="0"/>
          <w:lang w:val="es-ES_tradnl"/>
        </w:rPr>
        <w:t>ción del gasto emergente de la L</w:t>
      </w:r>
      <w:r>
        <w:rPr>
          <w:rFonts w:ascii="Arial" w:hAnsi="Arial" w:cs="Arial"/>
          <w:b w:val="0"/>
          <w:lang w:val="es-ES_tradnl"/>
        </w:rPr>
        <w:t xml:space="preserve">icitación </w:t>
      </w:r>
      <w:r w:rsidR="00E92F5F">
        <w:rPr>
          <w:rFonts w:ascii="Arial" w:hAnsi="Arial" w:cs="Arial"/>
          <w:b w:val="0"/>
          <w:lang w:val="es-ES_tradnl"/>
        </w:rPr>
        <w:t>P</w:t>
      </w:r>
      <w:r>
        <w:rPr>
          <w:rFonts w:ascii="Arial" w:hAnsi="Arial" w:cs="Arial"/>
          <w:b w:val="0"/>
          <w:lang w:val="es-ES_tradnl"/>
        </w:rPr>
        <w:t>ública Nº 77/2018, convocada para el “reacondicionamiento general y reforma de un inmueble para el funcionamiento de CENTRO DE FORMACION Y ESTUDIO, sito en calle Piedras 162, Montevideo, mediante la modalidad de contratación de precio y proyecto</w:t>
      </w:r>
      <w:r w:rsidR="00E92F5F">
        <w:rPr>
          <w:rFonts w:ascii="Arial" w:hAnsi="Arial" w:cs="Arial"/>
          <w:b w:val="0"/>
          <w:lang w:val="es-ES_tradnl"/>
        </w:rPr>
        <w:t xml:space="preserve"> por el sistema Llave en Mano”;</w:t>
      </w:r>
    </w:p>
    <w:p w:rsidR="00E92F5F" w:rsidRDefault="0051666E" w:rsidP="00E92F5F">
      <w:pPr>
        <w:spacing w:line="360" w:lineRule="auto"/>
        <w:ind w:firstLine="851"/>
        <w:jc w:val="both"/>
        <w:rPr>
          <w:rFonts w:ascii="Arial" w:hAnsi="Arial" w:cs="Arial"/>
          <w:b w:val="0"/>
          <w:snapToGrid w:val="0"/>
          <w:spacing w:val="-3"/>
          <w:lang w:val="es-ES_tradnl"/>
        </w:rPr>
      </w:pPr>
      <w:r w:rsidRPr="00E92F5F">
        <w:rPr>
          <w:rFonts w:ascii="Arial" w:hAnsi="Arial" w:cs="Arial"/>
          <w:lang w:val="es-ES_tradnl"/>
        </w:rPr>
        <w:t xml:space="preserve">RESULTANDO: </w:t>
      </w:r>
      <w:r w:rsidR="00CC3308" w:rsidRPr="00E92F5F">
        <w:rPr>
          <w:rFonts w:ascii="Arial" w:hAnsi="Arial" w:cs="Arial"/>
        </w:rPr>
        <w:t>1)</w:t>
      </w:r>
      <w:r w:rsidR="00CC3308" w:rsidRPr="00E92F5F">
        <w:rPr>
          <w:rFonts w:ascii="Arial" w:hAnsi="Arial" w:cs="Arial"/>
          <w:b w:val="0"/>
        </w:rPr>
        <w:t xml:space="preserve"> </w:t>
      </w:r>
      <w:r w:rsidR="00CC3308" w:rsidRPr="00E92F5F">
        <w:rPr>
          <w:rFonts w:ascii="Arial" w:hAnsi="Arial" w:cs="Arial"/>
          <w:b w:val="0"/>
          <w:snapToGrid w:val="0"/>
          <w:spacing w:val="-3"/>
          <w:lang w:val="es-ES_tradnl"/>
        </w:rPr>
        <w:t>que por Resolución del D</w:t>
      </w:r>
      <w:r w:rsidR="00E92F5F">
        <w:rPr>
          <w:rFonts w:ascii="Arial" w:hAnsi="Arial" w:cs="Arial"/>
          <w:b w:val="0"/>
          <w:snapToGrid w:val="0"/>
          <w:spacing w:val="-3"/>
          <w:lang w:val="es-ES_tradnl"/>
        </w:rPr>
        <w:t>irectorio del INAU Nº</w:t>
      </w:r>
      <w:r w:rsidR="00CC3308" w:rsidRPr="00E92F5F">
        <w:rPr>
          <w:rFonts w:ascii="Arial" w:hAnsi="Arial" w:cs="Arial"/>
          <w:b w:val="0"/>
          <w:snapToGrid w:val="0"/>
          <w:spacing w:val="-3"/>
          <w:lang w:val="es-ES_tradnl"/>
        </w:rPr>
        <w:t xml:space="preserve">1796/2018 de fecha 20.6.2018, se adjudicó por mejor puntaje a NUEVOS TONOS S.A., por un monto total de $ </w:t>
      </w:r>
      <w:r w:rsidR="00E92F5F">
        <w:rPr>
          <w:rFonts w:ascii="Arial" w:hAnsi="Arial" w:cs="Arial"/>
          <w:b w:val="0"/>
          <w:snapToGrid w:val="0"/>
          <w:spacing w:val="-3"/>
          <w:lang w:val="es-ES_tradnl"/>
        </w:rPr>
        <w:t>21:181.300,38 IVA incluido, más $2:</w:t>
      </w:r>
      <w:r w:rsidR="00CC3308" w:rsidRPr="00E92F5F">
        <w:rPr>
          <w:rFonts w:ascii="Arial" w:hAnsi="Arial" w:cs="Arial"/>
          <w:b w:val="0"/>
          <w:snapToGrid w:val="0"/>
          <w:spacing w:val="-3"/>
          <w:lang w:val="es-ES_tradnl"/>
        </w:rPr>
        <w:t>152.426,88 por concepto de monto imponible;</w:t>
      </w:r>
    </w:p>
    <w:p w:rsidR="00E92F5F" w:rsidRDefault="00CC3308" w:rsidP="00E92F5F">
      <w:pPr>
        <w:spacing w:line="360" w:lineRule="auto"/>
        <w:ind w:firstLine="2835"/>
        <w:jc w:val="both"/>
        <w:rPr>
          <w:rFonts w:ascii="Arial" w:hAnsi="Arial" w:cs="Arial"/>
          <w:b w:val="0"/>
          <w:bCs/>
        </w:rPr>
      </w:pPr>
      <w:r w:rsidRPr="00E92F5F">
        <w:rPr>
          <w:rFonts w:ascii="Arial" w:hAnsi="Arial" w:cs="Arial"/>
          <w:bCs/>
        </w:rPr>
        <w:t>2)</w:t>
      </w:r>
      <w:r w:rsidRPr="00E92F5F">
        <w:rPr>
          <w:rFonts w:ascii="Arial" w:hAnsi="Arial" w:cs="Arial"/>
          <w:b w:val="0"/>
          <w:bCs/>
        </w:rPr>
        <w:t xml:space="preserve"> que este Tribunal en Sesión de fecha 25.7.2018, acordó observar el procedimiento y el</w:t>
      </w:r>
      <w:r w:rsidR="00E92F5F">
        <w:rPr>
          <w:rFonts w:ascii="Arial" w:hAnsi="Arial" w:cs="Arial"/>
          <w:b w:val="0"/>
          <w:bCs/>
        </w:rPr>
        <w:t xml:space="preserve"> gasto en virtud de que:</w:t>
      </w:r>
    </w:p>
    <w:p w:rsidR="00E92F5F" w:rsidRDefault="00CC3308" w:rsidP="00E92F5F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E92F5F">
        <w:rPr>
          <w:rFonts w:ascii="Arial" w:hAnsi="Arial" w:cs="Arial"/>
        </w:rPr>
        <w:t>2.1)</w:t>
      </w:r>
      <w:r w:rsidRPr="00E92F5F">
        <w:rPr>
          <w:rFonts w:ascii="Arial" w:hAnsi="Arial" w:cs="Arial"/>
          <w:b w:val="0"/>
          <w:bCs/>
        </w:rPr>
        <w:t xml:space="preserve"> </w:t>
      </w:r>
      <w:r w:rsidR="00E92F5F">
        <w:rPr>
          <w:rFonts w:ascii="Arial" w:hAnsi="Arial" w:cs="Arial"/>
          <w:b w:val="0"/>
          <w:bCs/>
        </w:rPr>
        <w:t>si bien en el A</w:t>
      </w:r>
      <w:r w:rsidRPr="00E92F5F">
        <w:rPr>
          <w:rFonts w:ascii="Arial" w:hAnsi="Arial" w:cs="Arial"/>
          <w:b w:val="0"/>
          <w:bCs/>
        </w:rPr>
        <w:t xml:space="preserve">rtículo 12.2 del </w:t>
      </w:r>
      <w:r w:rsidR="00E92F5F">
        <w:rPr>
          <w:rFonts w:ascii="Arial" w:hAnsi="Arial" w:cs="Arial"/>
          <w:b w:val="0"/>
          <w:bCs/>
        </w:rPr>
        <w:t>P</w:t>
      </w:r>
      <w:r w:rsidRPr="00E92F5F">
        <w:rPr>
          <w:rFonts w:ascii="Arial" w:hAnsi="Arial" w:cs="Arial"/>
          <w:b w:val="0"/>
          <w:bCs/>
        </w:rPr>
        <w:t xml:space="preserve">liego del llamado, “Determinación de la oferta más conveniente”, se mencionan los factores a evaluar y los porcentajes máximos a otorgar: ‘Valoración Técnica’ (A) 60 puntos, y ‘Valoración Económica’ (B) 40 puntos), </w:t>
      </w:r>
      <w:r w:rsidRPr="00E92F5F">
        <w:rPr>
          <w:rFonts w:ascii="Arial" w:hAnsi="Arial" w:cs="Arial"/>
          <w:b w:val="0"/>
          <w:lang w:val="es-ES_tradnl"/>
        </w:rPr>
        <w:t>no se determinaron las pautas a seguir para la ponderación y determinación del porcentaje para cada uno de el</w:t>
      </w:r>
      <w:r w:rsidR="00E92F5F">
        <w:rPr>
          <w:rFonts w:ascii="Arial" w:hAnsi="Arial" w:cs="Arial"/>
          <w:b w:val="0"/>
          <w:lang w:val="es-ES_tradnl"/>
        </w:rPr>
        <w:t>los; por lo que el P</w:t>
      </w:r>
      <w:r w:rsidRPr="00E92F5F">
        <w:rPr>
          <w:rFonts w:ascii="Arial" w:hAnsi="Arial" w:cs="Arial"/>
          <w:b w:val="0"/>
          <w:lang w:val="es-ES_tradnl"/>
        </w:rPr>
        <w:t xml:space="preserve">liego no se ajusta a lo dispuesto en el </w:t>
      </w:r>
      <w:r w:rsidR="00E92F5F">
        <w:rPr>
          <w:rFonts w:ascii="Arial" w:hAnsi="Arial" w:cs="Arial"/>
          <w:b w:val="0"/>
          <w:lang w:val="es-ES_tradnl"/>
        </w:rPr>
        <w:t>L</w:t>
      </w:r>
      <w:r w:rsidRPr="00E92F5F">
        <w:rPr>
          <w:rFonts w:ascii="Arial" w:hAnsi="Arial" w:cs="Arial"/>
          <w:b w:val="0"/>
          <w:lang w:val="es-ES_tradnl"/>
        </w:rPr>
        <w:t>iteral C) del</w:t>
      </w:r>
      <w:r w:rsidR="00E92F5F">
        <w:rPr>
          <w:rFonts w:ascii="Arial" w:hAnsi="Arial" w:cs="Arial"/>
          <w:b w:val="0"/>
          <w:lang w:val="es-ES_tradnl"/>
        </w:rPr>
        <w:t xml:space="preserve"> A</w:t>
      </w:r>
      <w:r w:rsidRPr="00E92F5F">
        <w:rPr>
          <w:rFonts w:ascii="Arial" w:hAnsi="Arial" w:cs="Arial"/>
          <w:b w:val="0"/>
          <w:lang w:val="es-ES_tradnl"/>
        </w:rPr>
        <w:t>rtículo 48 del TOCAF;</w:t>
      </w:r>
    </w:p>
    <w:p w:rsidR="00E92F5F" w:rsidRDefault="00CC3308" w:rsidP="00E92F5F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E92F5F">
        <w:rPr>
          <w:rFonts w:ascii="Arial" w:hAnsi="Arial" w:cs="Arial"/>
          <w:bCs/>
        </w:rPr>
        <w:t>2.2)</w:t>
      </w:r>
      <w:r w:rsidRPr="00E92F5F">
        <w:rPr>
          <w:rFonts w:ascii="Arial" w:hAnsi="Arial" w:cs="Arial"/>
          <w:b w:val="0"/>
          <w:bCs/>
        </w:rPr>
        <w:t xml:space="preserve"> </w:t>
      </w:r>
      <w:r w:rsidRPr="00E92F5F">
        <w:rPr>
          <w:rFonts w:ascii="Arial" w:hAnsi="Arial" w:cs="Arial"/>
          <w:b w:val="0"/>
        </w:rPr>
        <w:t>la empresa seleccionada como adjudicataria no</w:t>
      </w:r>
      <w:r w:rsidR="00E92F5F">
        <w:rPr>
          <w:rFonts w:ascii="Arial" w:hAnsi="Arial" w:cs="Arial"/>
          <w:b w:val="0"/>
        </w:rPr>
        <w:t xml:space="preserve"> dio cumplimiento con</w:t>
      </w:r>
      <w:r w:rsidRPr="00E92F5F">
        <w:rPr>
          <w:rFonts w:ascii="Arial" w:hAnsi="Arial" w:cs="Arial"/>
          <w:b w:val="0"/>
        </w:rPr>
        <w:t xml:space="preserve"> lo dispuesto en las Bases y en el Pliego Particular, en cuanto a la ausencia de firma del representante Técnico designado, quedando </w:t>
      </w:r>
      <w:r w:rsidRPr="00E92F5F">
        <w:rPr>
          <w:rFonts w:ascii="Arial" w:hAnsi="Arial" w:cs="Arial"/>
          <w:b w:val="0"/>
        </w:rPr>
        <w:lastRenderedPageBreak/>
        <w:t>incompleto también el formulario Anexo II; requisito a presentar conjuntamente con la oferta, y habiéndole otorgado plazo para la subsanación, la misma no se presentó;</w:t>
      </w:r>
    </w:p>
    <w:p w:rsidR="00E92F5F" w:rsidRDefault="00CC3308" w:rsidP="00E92F5F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E92F5F">
        <w:rPr>
          <w:rFonts w:ascii="Arial" w:hAnsi="Arial" w:cs="Arial"/>
        </w:rPr>
        <w:t xml:space="preserve">2.3) </w:t>
      </w:r>
      <w:r w:rsidRPr="00E92F5F">
        <w:rPr>
          <w:rFonts w:ascii="Arial" w:hAnsi="Arial" w:cs="Arial"/>
          <w:b w:val="0"/>
          <w:lang w:val="es-ES_tradnl"/>
        </w:rPr>
        <w:t>no se remitieron la totalidad de las actuaciones. Se omitieron las observaciones presentadas por DORILER S.A., en contravención a lo dispuesto por Ordenanza Nº 27 de fecha 22.5.1958 de este Tribunal;</w:t>
      </w:r>
    </w:p>
    <w:p w:rsidR="00E92F5F" w:rsidRDefault="00CC3308" w:rsidP="00E92F5F">
      <w:pPr>
        <w:spacing w:line="360" w:lineRule="auto"/>
        <w:ind w:firstLine="2835"/>
        <w:jc w:val="both"/>
        <w:rPr>
          <w:rFonts w:ascii="Arial" w:hAnsi="Arial" w:cs="Arial"/>
          <w:b w:val="0"/>
          <w:bCs/>
        </w:rPr>
      </w:pPr>
      <w:r w:rsidRPr="00E92F5F">
        <w:rPr>
          <w:rFonts w:ascii="Arial" w:hAnsi="Arial" w:cs="Arial"/>
          <w:bCs/>
        </w:rPr>
        <w:t>3)</w:t>
      </w:r>
      <w:r w:rsidRPr="00E92F5F">
        <w:rPr>
          <w:rFonts w:ascii="Arial" w:hAnsi="Arial" w:cs="Arial"/>
          <w:b w:val="0"/>
          <w:bCs/>
        </w:rPr>
        <w:t xml:space="preserve"> que este Tribunal en Sesión de fecha 26.9.2018, ante la solicitud formulada por el INAU para el levantamiento de las observaciones, acordó estar a lo dispuesto en Sesión de fecha 25.7.2018;</w:t>
      </w:r>
    </w:p>
    <w:p w:rsidR="00E92F5F" w:rsidRDefault="00CC3308" w:rsidP="00E92F5F">
      <w:pPr>
        <w:spacing w:line="360" w:lineRule="auto"/>
        <w:ind w:firstLine="2835"/>
        <w:jc w:val="both"/>
        <w:rPr>
          <w:rFonts w:ascii="Arial" w:hAnsi="Arial" w:cs="Arial"/>
          <w:b w:val="0"/>
          <w:bCs/>
        </w:rPr>
      </w:pPr>
      <w:r w:rsidRPr="00E92F5F">
        <w:rPr>
          <w:rFonts w:ascii="Arial" w:hAnsi="Arial" w:cs="Arial"/>
          <w:bCs/>
        </w:rPr>
        <w:t>4)</w:t>
      </w:r>
      <w:r w:rsidRPr="00E92F5F">
        <w:rPr>
          <w:rFonts w:ascii="Arial" w:hAnsi="Arial" w:cs="Arial"/>
          <w:b w:val="0"/>
          <w:bCs/>
        </w:rPr>
        <w:t xml:space="preserve"> </w:t>
      </w:r>
      <w:r w:rsidRPr="00E92F5F">
        <w:rPr>
          <w:rFonts w:ascii="Arial" w:hAnsi="Arial" w:cs="Arial"/>
          <w:b w:val="0"/>
          <w:lang w:val="es-ES_tradnl"/>
        </w:rPr>
        <w:t xml:space="preserve">que el INAU, por Resolución de su Directorio de fecha 10.10.2018 reiteró el gasto observado, y este Tribunal en </w:t>
      </w:r>
      <w:r w:rsidRPr="00E92F5F">
        <w:rPr>
          <w:rFonts w:ascii="Arial" w:hAnsi="Arial" w:cs="Arial"/>
          <w:b w:val="0"/>
          <w:bCs/>
        </w:rPr>
        <w:t>Sesión</w:t>
      </w:r>
      <w:r w:rsidRPr="00E92F5F">
        <w:rPr>
          <w:rFonts w:ascii="Arial" w:hAnsi="Arial" w:cs="Arial"/>
          <w:bCs/>
        </w:rPr>
        <w:t xml:space="preserve"> </w:t>
      </w:r>
      <w:r w:rsidRPr="00E92F5F">
        <w:rPr>
          <w:rFonts w:ascii="Arial" w:hAnsi="Arial" w:cs="Arial"/>
          <w:b w:val="0"/>
          <w:bCs/>
        </w:rPr>
        <w:t>de fecha 14.11.2018</w:t>
      </w:r>
      <w:r w:rsidRPr="00E92F5F">
        <w:rPr>
          <w:rFonts w:ascii="Arial" w:hAnsi="Arial" w:cs="Arial"/>
          <w:bCs/>
        </w:rPr>
        <w:t xml:space="preserve"> </w:t>
      </w:r>
      <w:r w:rsidRPr="00E92F5F">
        <w:rPr>
          <w:rFonts w:ascii="Arial" w:hAnsi="Arial" w:cs="Arial"/>
          <w:b w:val="0"/>
          <w:bCs/>
        </w:rPr>
        <w:t>acordó mantener las observaciones formuladas, dando cuenta a la Asamblea General y comunicándolo al Poder Ejecutivo;</w:t>
      </w:r>
    </w:p>
    <w:p w:rsidR="00E92F5F" w:rsidRDefault="00CC3308" w:rsidP="00E92F5F">
      <w:pPr>
        <w:spacing w:line="360" w:lineRule="auto"/>
        <w:ind w:firstLine="2835"/>
        <w:jc w:val="both"/>
        <w:rPr>
          <w:rFonts w:ascii="Arial" w:hAnsi="Arial" w:cs="Arial"/>
          <w:b w:val="0"/>
          <w:bCs/>
        </w:rPr>
      </w:pPr>
      <w:r w:rsidRPr="00E92F5F">
        <w:rPr>
          <w:rFonts w:ascii="Arial" w:hAnsi="Arial" w:cs="Arial"/>
          <w:bCs/>
        </w:rPr>
        <w:t>5)</w:t>
      </w:r>
      <w:r w:rsidRPr="00E92F5F">
        <w:rPr>
          <w:rFonts w:ascii="Arial" w:hAnsi="Arial" w:cs="Arial"/>
          <w:b w:val="0"/>
          <w:bCs/>
        </w:rPr>
        <w:t xml:space="preserve"> </w:t>
      </w:r>
      <w:r w:rsidR="009969EC" w:rsidRPr="00E92F5F">
        <w:rPr>
          <w:rFonts w:ascii="Arial" w:hAnsi="Arial" w:cs="Arial"/>
          <w:b w:val="0"/>
          <w:bCs/>
        </w:rPr>
        <w:t>que el INAU, por Resolución de su Directorio de fecha 10.04.2019 resolvió la ampliación del gasto en atención a los nuevos requerimientos de la normativa de la Dirección Nacional de Bomberos, a lo que este Tribunal</w:t>
      </w:r>
      <w:r w:rsidR="002F21E3" w:rsidRPr="00E92F5F">
        <w:rPr>
          <w:rFonts w:ascii="Arial" w:hAnsi="Arial" w:cs="Arial"/>
          <w:b w:val="0"/>
          <w:bCs/>
        </w:rPr>
        <w:t xml:space="preserve"> en Sesión de fecha 15.05.2019 acordó</w:t>
      </w:r>
      <w:r w:rsidR="009969EC" w:rsidRPr="00E92F5F">
        <w:rPr>
          <w:rFonts w:ascii="Arial" w:hAnsi="Arial" w:cs="Arial"/>
          <w:b w:val="0"/>
          <w:bCs/>
        </w:rPr>
        <w:t xml:space="preserve"> observar el gasto</w:t>
      </w:r>
      <w:r w:rsidR="002F21E3" w:rsidRPr="00E92F5F">
        <w:rPr>
          <w:rFonts w:ascii="Arial" w:hAnsi="Arial" w:cs="Arial"/>
          <w:b w:val="0"/>
          <w:bCs/>
        </w:rPr>
        <w:t xml:space="preserve"> por</w:t>
      </w:r>
      <w:r w:rsidR="009969EC" w:rsidRPr="00E92F5F">
        <w:rPr>
          <w:rFonts w:ascii="Arial" w:hAnsi="Arial" w:cs="Arial"/>
          <w:b w:val="0"/>
          <w:bCs/>
        </w:rPr>
        <w:t xml:space="preserve"> deriva</w:t>
      </w:r>
      <w:r w:rsidR="002F21E3" w:rsidRPr="00E92F5F">
        <w:rPr>
          <w:rFonts w:ascii="Arial" w:hAnsi="Arial" w:cs="Arial"/>
          <w:b w:val="0"/>
          <w:bCs/>
        </w:rPr>
        <w:t>r</w:t>
      </w:r>
      <w:r w:rsidR="009969EC" w:rsidRPr="00E92F5F">
        <w:rPr>
          <w:rFonts w:ascii="Arial" w:hAnsi="Arial" w:cs="Arial"/>
          <w:b w:val="0"/>
          <w:bCs/>
        </w:rPr>
        <w:t xml:space="preserve"> de un procedimiento originalmente observado, reite</w:t>
      </w:r>
      <w:r w:rsidR="007117E8" w:rsidRPr="00E92F5F">
        <w:rPr>
          <w:rFonts w:ascii="Arial" w:hAnsi="Arial" w:cs="Arial"/>
          <w:b w:val="0"/>
          <w:bCs/>
        </w:rPr>
        <w:t>rado y mantenido</w:t>
      </w:r>
      <w:r w:rsidR="009969EC" w:rsidRPr="00E92F5F">
        <w:rPr>
          <w:rFonts w:ascii="Arial" w:hAnsi="Arial" w:cs="Arial"/>
          <w:b w:val="0"/>
          <w:bCs/>
        </w:rPr>
        <w:t>;</w:t>
      </w:r>
    </w:p>
    <w:p w:rsidR="0051666E" w:rsidRPr="00CC3308" w:rsidRDefault="00CC3308" w:rsidP="00E92F5F">
      <w:pPr>
        <w:spacing w:line="360" w:lineRule="auto"/>
        <w:ind w:firstLine="2835"/>
        <w:jc w:val="both"/>
        <w:rPr>
          <w:rFonts w:ascii="Arial" w:hAnsi="Arial" w:cs="Arial"/>
          <w:b w:val="0"/>
          <w:bCs/>
          <w:color w:val="auto"/>
          <w:szCs w:val="24"/>
          <w:lang w:val="es-UY"/>
        </w:rPr>
      </w:pPr>
      <w:r w:rsidRPr="00CC3308">
        <w:rPr>
          <w:rFonts w:ascii="Arial" w:hAnsi="Arial" w:cs="Arial"/>
          <w:bCs/>
          <w:color w:val="auto"/>
          <w:szCs w:val="24"/>
          <w:lang w:val="es-UY"/>
        </w:rPr>
        <w:t>6</w:t>
      </w:r>
      <w:r w:rsidR="0051666E" w:rsidRPr="00CC3308">
        <w:rPr>
          <w:rFonts w:ascii="Arial" w:hAnsi="Arial" w:cs="Arial"/>
          <w:bCs/>
          <w:color w:val="auto"/>
          <w:szCs w:val="24"/>
          <w:lang w:val="es-UY"/>
        </w:rPr>
        <w:t>)</w:t>
      </w:r>
      <w:r w:rsidR="0051666E" w:rsidRPr="00CC3308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 que en esta oportunidad, se remite </w:t>
      </w:r>
      <w:r w:rsidR="00F3588C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copia de la </w:t>
      </w:r>
      <w:r w:rsidR="0051666E" w:rsidRPr="00CC3308">
        <w:rPr>
          <w:rFonts w:ascii="Arial" w:hAnsi="Arial" w:cs="Arial"/>
          <w:b w:val="0"/>
          <w:bCs/>
          <w:color w:val="auto"/>
          <w:szCs w:val="24"/>
          <w:lang w:val="es-UY"/>
        </w:rPr>
        <w:t>Resolución del Directorio del INAU de fecha 10.</w:t>
      </w:r>
      <w:r>
        <w:rPr>
          <w:rFonts w:ascii="Arial" w:hAnsi="Arial" w:cs="Arial"/>
          <w:b w:val="0"/>
          <w:bCs/>
          <w:color w:val="auto"/>
          <w:szCs w:val="24"/>
          <w:lang w:val="es-UY"/>
        </w:rPr>
        <w:t>04</w:t>
      </w:r>
      <w:r w:rsidR="0051666E" w:rsidRPr="00CC3308">
        <w:rPr>
          <w:rFonts w:ascii="Arial" w:hAnsi="Arial" w:cs="Arial"/>
          <w:b w:val="0"/>
          <w:bCs/>
          <w:color w:val="auto"/>
          <w:szCs w:val="24"/>
          <w:lang w:val="es-UY"/>
        </w:rPr>
        <w:t>.201</w:t>
      </w:r>
      <w:r>
        <w:rPr>
          <w:rFonts w:ascii="Arial" w:hAnsi="Arial" w:cs="Arial"/>
          <w:b w:val="0"/>
          <w:bCs/>
          <w:color w:val="auto"/>
          <w:szCs w:val="24"/>
          <w:lang w:val="es-UY"/>
        </w:rPr>
        <w:t>9</w:t>
      </w:r>
      <w:r w:rsidR="0051666E" w:rsidRPr="00CC3308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, expresando que dada la importancia que reviste la infraestructura para el cumplimiento de las metas, hace imprescindible contar con las condiciones edilicias acordes, y que en ese sentido, reitera el gasto observado </w:t>
      </w:r>
      <w:r w:rsidR="00F3588C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por este Tribunal </w:t>
      </w:r>
      <w:r w:rsidR="0051666E" w:rsidRPr="00CC3308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con fecha </w:t>
      </w:r>
      <w:r>
        <w:rPr>
          <w:rFonts w:ascii="Arial" w:hAnsi="Arial" w:cs="Arial"/>
          <w:b w:val="0"/>
          <w:bCs/>
          <w:color w:val="auto"/>
          <w:szCs w:val="24"/>
          <w:lang w:val="es-UY"/>
        </w:rPr>
        <w:t>15</w:t>
      </w:r>
      <w:r w:rsidR="0051666E" w:rsidRPr="00CC3308">
        <w:rPr>
          <w:rFonts w:ascii="Arial" w:hAnsi="Arial" w:cs="Arial"/>
          <w:b w:val="0"/>
          <w:bCs/>
          <w:color w:val="auto"/>
          <w:szCs w:val="24"/>
          <w:lang w:val="es-UY"/>
        </w:rPr>
        <w:t>.</w:t>
      </w:r>
      <w:r>
        <w:rPr>
          <w:rFonts w:ascii="Arial" w:hAnsi="Arial" w:cs="Arial"/>
          <w:b w:val="0"/>
          <w:bCs/>
          <w:color w:val="auto"/>
          <w:szCs w:val="24"/>
          <w:lang w:val="es-UY"/>
        </w:rPr>
        <w:t>5</w:t>
      </w:r>
      <w:r w:rsidR="0051666E" w:rsidRPr="00CC3308">
        <w:rPr>
          <w:rFonts w:ascii="Arial" w:hAnsi="Arial" w:cs="Arial"/>
          <w:b w:val="0"/>
          <w:bCs/>
          <w:color w:val="auto"/>
          <w:szCs w:val="24"/>
          <w:lang w:val="es-UY"/>
        </w:rPr>
        <w:t>.201</w:t>
      </w:r>
      <w:r>
        <w:rPr>
          <w:rFonts w:ascii="Arial" w:hAnsi="Arial" w:cs="Arial"/>
          <w:b w:val="0"/>
          <w:bCs/>
          <w:color w:val="auto"/>
          <w:szCs w:val="24"/>
          <w:lang w:val="es-UY"/>
        </w:rPr>
        <w:t>9</w:t>
      </w:r>
      <w:r w:rsidR="0051666E" w:rsidRPr="00CC3308">
        <w:rPr>
          <w:rFonts w:ascii="Arial" w:hAnsi="Arial" w:cs="Arial"/>
          <w:b w:val="0"/>
          <w:bCs/>
          <w:color w:val="auto"/>
          <w:szCs w:val="24"/>
          <w:lang w:val="es-UY"/>
        </w:rPr>
        <w:t>;</w:t>
      </w:r>
    </w:p>
    <w:p w:rsidR="00E92F5F" w:rsidRDefault="0051666E" w:rsidP="00E92F5F">
      <w:pPr>
        <w:spacing w:line="360" w:lineRule="auto"/>
        <w:ind w:firstLine="851"/>
        <w:jc w:val="both"/>
        <w:rPr>
          <w:rFonts w:ascii="Arial" w:hAnsi="Arial" w:cs="Arial"/>
          <w:b w:val="0"/>
          <w:bCs/>
        </w:rPr>
      </w:pPr>
      <w:r w:rsidRPr="00B145A2">
        <w:rPr>
          <w:rFonts w:ascii="Arial" w:hAnsi="Arial" w:cs="Arial"/>
          <w:bCs/>
        </w:rPr>
        <w:t>CONSIDERANDO:</w:t>
      </w:r>
      <w:r w:rsidRPr="00B145A2">
        <w:rPr>
          <w:rFonts w:ascii="Arial" w:hAnsi="Arial" w:cs="Arial"/>
          <w:b w:val="0"/>
          <w:bCs/>
        </w:rPr>
        <w:t xml:space="preserve"> </w:t>
      </w:r>
      <w:r w:rsidRPr="00060ED3">
        <w:rPr>
          <w:rFonts w:ascii="Arial" w:hAnsi="Arial" w:cs="Arial"/>
          <w:b w:val="0"/>
          <w:bCs/>
        </w:rPr>
        <w:t xml:space="preserve">que la Administración no aporta nuevos elementos que ameriten el levantamiento de </w:t>
      </w:r>
      <w:r w:rsidR="009969EC" w:rsidRPr="00060ED3">
        <w:rPr>
          <w:rFonts w:ascii="Arial" w:hAnsi="Arial" w:cs="Arial"/>
          <w:b w:val="0"/>
          <w:bCs/>
        </w:rPr>
        <w:t>las observaciones oportunamente verificadas</w:t>
      </w:r>
      <w:r w:rsidRPr="00060ED3">
        <w:rPr>
          <w:rFonts w:ascii="Arial" w:hAnsi="Arial" w:cs="Arial"/>
          <w:b w:val="0"/>
          <w:bCs/>
        </w:rPr>
        <w:t>, manteniéndose inalteradas las razones por las cuales se observó el gasto de referencia;</w:t>
      </w:r>
    </w:p>
    <w:p w:rsidR="0051666E" w:rsidRPr="008F157E" w:rsidRDefault="0051666E" w:rsidP="00E92F5F">
      <w:pPr>
        <w:spacing w:line="360" w:lineRule="auto"/>
        <w:ind w:firstLine="851"/>
        <w:jc w:val="both"/>
        <w:rPr>
          <w:rFonts w:ascii="Arial" w:hAnsi="Arial" w:cs="Arial"/>
          <w:b w:val="0"/>
          <w:bCs/>
          <w:lang w:val="es-UY"/>
        </w:rPr>
      </w:pPr>
      <w:r w:rsidRPr="008F157E">
        <w:rPr>
          <w:rFonts w:ascii="Arial" w:hAnsi="Arial" w:cs="Arial"/>
          <w:lang w:val="es-UY"/>
        </w:rPr>
        <w:t xml:space="preserve">ATENTO: </w:t>
      </w:r>
      <w:r w:rsidRPr="008F157E">
        <w:rPr>
          <w:rFonts w:ascii="Arial" w:hAnsi="Arial" w:cs="Arial"/>
          <w:b w:val="0"/>
          <w:bCs/>
          <w:lang w:val="es-UY"/>
        </w:rPr>
        <w:t>a lo precedentemente expuesto;</w:t>
      </w:r>
    </w:p>
    <w:p w:rsidR="0051666E" w:rsidRDefault="0051666E" w:rsidP="00CC3308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51666E" w:rsidRPr="00817335" w:rsidRDefault="009969EC" w:rsidP="00CC3308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9969EC">
        <w:rPr>
          <w:rFonts w:ascii="Arial" w:hAnsi="Arial" w:cs="Arial"/>
          <w:bCs/>
        </w:rPr>
        <w:t>1)</w:t>
      </w:r>
      <w:r w:rsidR="0051666E" w:rsidRPr="00817335">
        <w:rPr>
          <w:rFonts w:ascii="Arial" w:hAnsi="Arial" w:cs="Arial"/>
          <w:b w:val="0"/>
          <w:bCs/>
        </w:rPr>
        <w:t xml:space="preserve"> Mantener la observación formulada con fecha </w:t>
      </w:r>
      <w:r>
        <w:rPr>
          <w:rFonts w:ascii="Arial" w:hAnsi="Arial" w:cs="Arial"/>
          <w:b w:val="0"/>
          <w:bCs/>
        </w:rPr>
        <w:t>1</w:t>
      </w:r>
      <w:r w:rsidR="0051666E">
        <w:rPr>
          <w:rFonts w:ascii="Arial" w:hAnsi="Arial" w:cs="Arial"/>
          <w:b w:val="0"/>
          <w:bCs/>
        </w:rPr>
        <w:t>5</w:t>
      </w:r>
      <w:r w:rsidR="0051666E" w:rsidRPr="00817335">
        <w:rPr>
          <w:rFonts w:ascii="Arial" w:hAnsi="Arial" w:cs="Arial"/>
          <w:b w:val="0"/>
          <w:bCs/>
        </w:rPr>
        <w:t>.</w:t>
      </w:r>
      <w:r>
        <w:rPr>
          <w:rFonts w:ascii="Arial" w:hAnsi="Arial" w:cs="Arial"/>
          <w:b w:val="0"/>
          <w:bCs/>
        </w:rPr>
        <w:t>5</w:t>
      </w:r>
      <w:r w:rsidR="0051666E" w:rsidRPr="00817335">
        <w:rPr>
          <w:rFonts w:ascii="Arial" w:hAnsi="Arial" w:cs="Arial"/>
          <w:b w:val="0"/>
          <w:bCs/>
        </w:rPr>
        <w:t>.201</w:t>
      </w:r>
      <w:r>
        <w:rPr>
          <w:rFonts w:ascii="Arial" w:hAnsi="Arial" w:cs="Arial"/>
          <w:b w:val="0"/>
          <w:bCs/>
        </w:rPr>
        <w:t>9</w:t>
      </w:r>
      <w:r w:rsidR="0051666E" w:rsidRPr="00817335">
        <w:rPr>
          <w:rFonts w:ascii="Arial" w:hAnsi="Arial" w:cs="Arial"/>
          <w:b w:val="0"/>
          <w:bCs/>
        </w:rPr>
        <w:t>;</w:t>
      </w:r>
    </w:p>
    <w:p w:rsidR="0051666E" w:rsidRPr="00817335" w:rsidRDefault="009969EC" w:rsidP="00CC3308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9969EC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51666E" w:rsidRPr="00817335">
        <w:rPr>
          <w:rFonts w:ascii="Arial" w:hAnsi="Arial" w:cs="Arial"/>
          <w:b w:val="0"/>
          <w:bCs/>
        </w:rPr>
        <w:t>Dar cuenta a la Asamblea General;</w:t>
      </w:r>
    </w:p>
    <w:p w:rsidR="00B24231" w:rsidRDefault="0051666E" w:rsidP="00510019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9969EC">
        <w:rPr>
          <w:rFonts w:ascii="Arial" w:hAnsi="Arial" w:cs="Arial"/>
          <w:bCs/>
        </w:rPr>
        <w:t>3)</w:t>
      </w:r>
      <w:r w:rsidR="009969EC">
        <w:rPr>
          <w:rFonts w:ascii="Arial" w:hAnsi="Arial" w:cs="Arial"/>
          <w:b w:val="0"/>
          <w:bCs/>
        </w:rPr>
        <w:t xml:space="preserve"> </w:t>
      </w:r>
      <w:r w:rsidRPr="00817335">
        <w:rPr>
          <w:rFonts w:ascii="Arial" w:hAnsi="Arial" w:cs="Arial"/>
          <w:b w:val="0"/>
          <w:bCs/>
        </w:rPr>
        <w:t>Comunicar al Poder Ejec</w:t>
      </w:r>
      <w:r w:rsidR="00510019">
        <w:rPr>
          <w:rFonts w:ascii="Arial" w:hAnsi="Arial" w:cs="Arial"/>
          <w:b w:val="0"/>
          <w:bCs/>
        </w:rPr>
        <w:t>utivo y a la Contadora Delegada.</w:t>
      </w:r>
    </w:p>
    <w:p w:rsidR="00E92F5F" w:rsidRDefault="00E92F5F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92F5F" w:rsidRDefault="00E92F5F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92F5F" w:rsidRDefault="00C865DE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gramStart"/>
      <w:r>
        <w:rPr>
          <w:rFonts w:ascii="Arial" w:hAnsi="Arial" w:cs="Arial"/>
          <w:b w:val="0"/>
          <w:bCs/>
        </w:rPr>
        <w:t>dc</w:t>
      </w:r>
      <w:proofErr w:type="gramEnd"/>
    </w:p>
    <w:p w:rsidR="00E92F5F" w:rsidRDefault="00E92F5F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92F5F" w:rsidRDefault="00E92F5F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92F5F" w:rsidRDefault="00E92F5F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913651" w:rsidRDefault="00913651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92F5F" w:rsidRDefault="00E92F5F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92F5F" w:rsidRDefault="00E92F5F" w:rsidP="00E92F5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913651" w:rsidRDefault="00E92F5F" w:rsidP="00913651">
      <w:pPr>
        <w:spacing w:line="360" w:lineRule="auto"/>
        <w:jc w:val="both"/>
        <w:rPr>
          <w:rFonts w:ascii="Arial" w:hAnsi="Arial" w:cs="Arial"/>
          <w:b w:val="0"/>
        </w:rPr>
      </w:pPr>
      <w:r w:rsidRPr="00913651">
        <w:rPr>
          <w:rFonts w:ascii="Arial" w:hAnsi="Arial" w:cs="Arial"/>
          <w:lang w:val="es-UY"/>
        </w:rPr>
        <w:t>CONSTANCIA DE FUNDAMENTO DE VOTO DISCORDE DEL MINISTRO</w:t>
      </w:r>
      <w:r w:rsidR="00C865DE">
        <w:rPr>
          <w:rFonts w:ascii="Arial" w:hAnsi="Arial" w:cs="Arial"/>
          <w:lang w:val="es-UY"/>
        </w:rPr>
        <w:t xml:space="preserve"> </w:t>
      </w:r>
      <w:r w:rsidRPr="00913651">
        <w:rPr>
          <w:rFonts w:ascii="Arial" w:hAnsi="Arial" w:cs="Arial"/>
          <w:lang w:val="es-UY"/>
        </w:rPr>
        <w:t>ING. MIGUEL AUMENTO:</w:t>
      </w:r>
      <w:r w:rsidRPr="00913651">
        <w:rPr>
          <w:rFonts w:ascii="Arial" w:hAnsi="Arial" w:cs="Arial"/>
          <w:b w:val="0"/>
          <w:lang w:val="es-UY"/>
        </w:rPr>
        <w:t xml:space="preserve"> </w:t>
      </w:r>
      <w:r w:rsidR="00913651">
        <w:rPr>
          <w:rFonts w:ascii="Arial" w:hAnsi="Arial" w:cs="Arial"/>
          <w:b w:val="0"/>
          <w:lang w:val="es-UY"/>
        </w:rPr>
        <w:t>“</w:t>
      </w:r>
      <w:r w:rsidR="00913651" w:rsidRPr="00913651">
        <w:rPr>
          <w:rFonts w:ascii="Arial" w:hAnsi="Arial" w:cs="Arial"/>
          <w:b w:val="0"/>
        </w:rPr>
        <w:t>He votado en forma discorde la Resolución recaída en este expediente, en tanto mantengo íntegramente mi posición originaria, sustentada en Sesión del 25 de julio de 2018</w:t>
      </w:r>
      <w:r w:rsidR="00913651">
        <w:rPr>
          <w:rFonts w:ascii="Arial" w:hAnsi="Arial" w:cs="Arial"/>
          <w:b w:val="0"/>
        </w:rPr>
        <w:t>”</w:t>
      </w:r>
      <w:r w:rsidR="00913651" w:rsidRPr="00913651">
        <w:rPr>
          <w:rFonts w:ascii="Arial" w:hAnsi="Arial" w:cs="Arial"/>
          <w:b w:val="0"/>
        </w:rPr>
        <w:t>.-</w:t>
      </w:r>
    </w:p>
    <w:p w:rsidR="00913651" w:rsidRDefault="00913651" w:rsidP="00913651">
      <w:pPr>
        <w:spacing w:line="360" w:lineRule="auto"/>
        <w:jc w:val="both"/>
        <w:rPr>
          <w:rFonts w:ascii="Arial" w:hAnsi="Arial" w:cs="Arial"/>
          <w:b w:val="0"/>
        </w:rPr>
      </w:pPr>
    </w:p>
    <w:p w:rsidR="00913651" w:rsidRDefault="00913651" w:rsidP="00913651">
      <w:pPr>
        <w:spacing w:line="360" w:lineRule="auto"/>
        <w:jc w:val="both"/>
        <w:rPr>
          <w:rFonts w:ascii="Arial" w:eastAsiaTheme="minorHAnsi" w:hAnsi="Arial" w:cs="Arial"/>
          <w:b w:val="0"/>
          <w:color w:val="auto"/>
          <w:szCs w:val="24"/>
          <w:lang w:val="es-UY" w:eastAsia="en-US"/>
        </w:rPr>
      </w:pPr>
      <w:r w:rsidRPr="00913651">
        <w:rPr>
          <w:rFonts w:ascii="Arial" w:hAnsi="Arial" w:cs="Arial"/>
          <w:szCs w:val="24"/>
          <w:lang w:val="es-UY"/>
        </w:rPr>
        <w:t>CONSTANCIA DE FUNDAMENTO DE VOTO DISCORDE DEL MINISTRO CR. ENRIQUE CABRERA:</w:t>
      </w:r>
      <w:r w:rsidRPr="00C865DE">
        <w:rPr>
          <w:rFonts w:ascii="Arial" w:hAnsi="Arial" w:cs="Arial"/>
          <w:b w:val="0"/>
          <w:szCs w:val="24"/>
          <w:lang w:val="es-UY"/>
        </w:rPr>
        <w:t xml:space="preserve"> “</w:t>
      </w:r>
      <w:r w:rsidRPr="00913651">
        <w:rPr>
          <w:rFonts w:ascii="Arial" w:eastAsiaTheme="minorHAnsi" w:hAnsi="Arial" w:cs="Arial"/>
          <w:b w:val="0"/>
          <w:color w:val="auto"/>
          <w:szCs w:val="24"/>
          <w:lang w:val="es-UY" w:eastAsia="en-US"/>
        </w:rPr>
        <w:t>Comparto los argumentos de fundamento de voto discorde expresados por el Ministro Miguel Aumento sobre el expediente remitido por el INAU relacionado con la Licitación Pública N° 77/2018</w:t>
      </w:r>
      <w:r>
        <w:rPr>
          <w:rFonts w:ascii="Arial" w:eastAsiaTheme="minorHAnsi" w:hAnsi="Arial" w:cs="Arial"/>
          <w:b w:val="0"/>
          <w:color w:val="auto"/>
          <w:szCs w:val="24"/>
          <w:lang w:val="es-UY" w:eastAsia="en-US"/>
        </w:rPr>
        <w:t>”</w:t>
      </w:r>
      <w:r w:rsidRPr="00913651">
        <w:rPr>
          <w:rFonts w:ascii="Arial" w:eastAsiaTheme="minorHAnsi" w:hAnsi="Arial" w:cs="Arial"/>
          <w:b w:val="0"/>
          <w:color w:val="auto"/>
          <w:szCs w:val="24"/>
          <w:lang w:val="es-UY" w:eastAsia="en-US"/>
        </w:rPr>
        <w:t>.</w:t>
      </w:r>
    </w:p>
    <w:p w:rsidR="00C865DE" w:rsidRDefault="00C865DE" w:rsidP="00913651">
      <w:pPr>
        <w:spacing w:line="360" w:lineRule="auto"/>
        <w:jc w:val="both"/>
        <w:rPr>
          <w:rFonts w:ascii="Arial" w:eastAsiaTheme="minorHAnsi" w:hAnsi="Arial" w:cs="Arial"/>
          <w:b w:val="0"/>
          <w:color w:val="auto"/>
          <w:szCs w:val="24"/>
          <w:lang w:val="es-UY" w:eastAsia="en-US"/>
        </w:rPr>
      </w:pPr>
    </w:p>
    <w:sectPr w:rsidR="00C865DE" w:rsidSect="00913651">
      <w:footerReference w:type="default" r:id="rId7"/>
      <w:pgSz w:w="11906" w:h="16838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51" w:rsidRDefault="00913651" w:rsidP="00913651">
      <w:r>
        <w:separator/>
      </w:r>
    </w:p>
  </w:endnote>
  <w:endnote w:type="continuationSeparator" w:id="0">
    <w:p w:rsidR="00913651" w:rsidRDefault="00913651" w:rsidP="0091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869872"/>
      <w:docPartObj>
        <w:docPartGallery w:val="Page Numbers (Bottom of Page)"/>
        <w:docPartUnique/>
      </w:docPartObj>
    </w:sdtPr>
    <w:sdtEndPr/>
    <w:sdtContent>
      <w:p w:rsidR="00913651" w:rsidRDefault="0091365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1C8">
          <w:rPr>
            <w:noProof/>
          </w:rPr>
          <w:t>1</w:t>
        </w:r>
        <w:r>
          <w:fldChar w:fldCharType="end"/>
        </w:r>
      </w:p>
    </w:sdtContent>
  </w:sdt>
  <w:p w:rsidR="00913651" w:rsidRDefault="009136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51" w:rsidRDefault="00913651" w:rsidP="00913651">
      <w:r>
        <w:separator/>
      </w:r>
    </w:p>
  </w:footnote>
  <w:footnote w:type="continuationSeparator" w:id="0">
    <w:p w:rsidR="00913651" w:rsidRDefault="00913651" w:rsidP="00913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6E"/>
    <w:rsid w:val="002F21E3"/>
    <w:rsid w:val="00510019"/>
    <w:rsid w:val="0051666E"/>
    <w:rsid w:val="007117E8"/>
    <w:rsid w:val="00913651"/>
    <w:rsid w:val="009969EC"/>
    <w:rsid w:val="00A32FC2"/>
    <w:rsid w:val="00B24231"/>
    <w:rsid w:val="00B81F72"/>
    <w:rsid w:val="00BD71C8"/>
    <w:rsid w:val="00C865DE"/>
    <w:rsid w:val="00CC3308"/>
    <w:rsid w:val="00E92F5F"/>
    <w:rsid w:val="00F3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6E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13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1666E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666E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1666E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51666E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E8"/>
    <w:rPr>
      <w:rFonts w:ascii="Tahoma" w:eastAsia="Times New Roman" w:hAnsi="Tahoma" w:cs="Tahoma"/>
      <w:b/>
      <w:color w:val="000000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1365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36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651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36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651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6E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13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1666E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666E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1666E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51666E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E8"/>
    <w:rPr>
      <w:rFonts w:ascii="Tahoma" w:eastAsia="Times New Roman" w:hAnsi="Tahoma" w:cs="Tahoma"/>
      <w:b/>
      <w:color w:val="000000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1365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36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651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36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651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2019-07-15T16:34:00Z</cp:lastPrinted>
  <dcterms:created xsi:type="dcterms:W3CDTF">2019-07-09T17:54:00Z</dcterms:created>
  <dcterms:modified xsi:type="dcterms:W3CDTF">2019-07-16T19:29:00Z</dcterms:modified>
</cp:coreProperties>
</file>