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72" w:rsidRPr="00786EEB" w:rsidRDefault="00793272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</w:t>
      </w:r>
      <w:r w:rsidR="00C760B2">
        <w:rPr>
          <w:rFonts w:cs="Arial"/>
          <w:b/>
          <w:sz w:val="28"/>
          <w:szCs w:val="28"/>
          <w:lang w:val="es-ES_tradnl"/>
        </w:rPr>
        <w:t xml:space="preserve"> </w:t>
      </w:r>
      <w:r>
        <w:rPr>
          <w:rFonts w:cs="Arial"/>
          <w:b/>
          <w:sz w:val="28"/>
          <w:szCs w:val="28"/>
          <w:lang w:val="es-ES_tradnl"/>
        </w:rPr>
        <w:t>1538/19</w:t>
      </w:r>
    </w:p>
    <w:p w:rsidR="00793272" w:rsidRPr="00793272" w:rsidRDefault="00793272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93272" w:rsidRPr="00793272" w:rsidRDefault="0079327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93272">
        <w:rPr>
          <w:rFonts w:cs="Arial"/>
          <w:b/>
          <w:lang w:val="es-ES_tradnl"/>
        </w:rPr>
        <w:t>RESOLUCION ADOPTADA POR EL</w:t>
      </w:r>
    </w:p>
    <w:p w:rsidR="00793272" w:rsidRPr="00793272" w:rsidRDefault="0079327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93272" w:rsidRPr="00793272" w:rsidRDefault="0079327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93272">
        <w:rPr>
          <w:rFonts w:cs="Arial"/>
          <w:b/>
          <w:lang w:val="es-ES_tradnl"/>
        </w:rPr>
        <w:t>TRIBUNAL DE CUENTAS</w:t>
      </w:r>
    </w:p>
    <w:p w:rsidR="00793272" w:rsidRPr="00793272" w:rsidRDefault="0079327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93272" w:rsidRPr="00793272" w:rsidRDefault="0079327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93272">
        <w:rPr>
          <w:rFonts w:cs="Arial"/>
          <w:b/>
          <w:lang w:val="es-ES_tradnl"/>
        </w:rPr>
        <w:t>EN SESION DE FECHA 26 DE JUNIO DE 2019</w:t>
      </w:r>
    </w:p>
    <w:p w:rsidR="00793272" w:rsidRPr="00793272" w:rsidRDefault="0079327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93272" w:rsidRPr="00C760B2" w:rsidRDefault="00793272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C760B2">
        <w:rPr>
          <w:rFonts w:cs="Arial"/>
          <w:b/>
          <w:lang w:val="es-UY"/>
        </w:rPr>
        <w:t xml:space="preserve">(E. E. Nº </w:t>
      </w:r>
      <w:r w:rsidRPr="00793272">
        <w:rPr>
          <w:rFonts w:cs="Arial"/>
          <w:b/>
        </w:rPr>
        <w:t>2019-17-1-0002625</w:t>
      </w:r>
      <w:r w:rsidRPr="00C760B2">
        <w:rPr>
          <w:rFonts w:cs="Arial"/>
          <w:b/>
          <w:lang w:val="es-UY"/>
        </w:rPr>
        <w:t xml:space="preserve">, </w:t>
      </w:r>
      <w:proofErr w:type="spellStart"/>
      <w:r w:rsidRPr="00C760B2">
        <w:rPr>
          <w:rFonts w:cs="Arial"/>
          <w:b/>
          <w:lang w:val="es-UY"/>
        </w:rPr>
        <w:t>Ent</w:t>
      </w:r>
      <w:proofErr w:type="spellEnd"/>
      <w:r w:rsidRPr="00C760B2">
        <w:rPr>
          <w:rFonts w:cs="Arial"/>
          <w:b/>
          <w:lang w:val="es-UY"/>
        </w:rPr>
        <w:t>. N°</w:t>
      </w:r>
      <w:r w:rsidR="00C760B2">
        <w:rPr>
          <w:rFonts w:cs="Arial"/>
          <w:b/>
          <w:lang w:val="es-UY"/>
        </w:rPr>
        <w:t xml:space="preserve"> </w:t>
      </w:r>
      <w:r w:rsidRPr="00C760B2">
        <w:rPr>
          <w:rFonts w:cs="Arial"/>
          <w:b/>
          <w:lang w:val="es-UY"/>
        </w:rPr>
        <w:t>2073/19)</w:t>
      </w:r>
    </w:p>
    <w:p w:rsidR="00793272" w:rsidRPr="00C760B2" w:rsidRDefault="00793272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93272" w:rsidRPr="00C760B2" w:rsidRDefault="00793272">
      <w:pPr>
        <w:rPr>
          <w:lang w:val="es-UY"/>
        </w:rPr>
      </w:pPr>
    </w:p>
    <w:p w:rsidR="00E63F08" w:rsidRDefault="00E63F08" w:rsidP="00793272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</w:t>
      </w:r>
      <w:r w:rsidR="00A57546">
        <w:rPr>
          <w:spacing w:val="-3"/>
          <w:lang w:val="es-ES_tradnl"/>
        </w:rPr>
        <w:t xml:space="preserve">la Administración </w:t>
      </w:r>
      <w:r w:rsidR="00323253">
        <w:rPr>
          <w:spacing w:val="-3"/>
          <w:lang w:val="es-ES_tradnl"/>
        </w:rPr>
        <w:t>Nacional de Telecomunicaciones (ANTEL)</w:t>
      </w:r>
      <w:r w:rsidRPr="00F41302">
        <w:t xml:space="preserve">, relacionados con el acuerdo transaccional </w:t>
      </w:r>
      <w:r w:rsidR="002D7D52">
        <w:t xml:space="preserve">a celebrar con </w:t>
      </w:r>
      <w:r w:rsidR="00323253">
        <w:t xml:space="preserve"> el Banco Hipotecario del Uruguay (BHU) y TEYMA</w:t>
      </w:r>
      <w:r>
        <w:t>;</w:t>
      </w:r>
    </w:p>
    <w:p w:rsidR="00323253" w:rsidRDefault="00E63F08" w:rsidP="00793272">
      <w:pPr>
        <w:spacing w:line="360" w:lineRule="auto"/>
        <w:ind w:firstLine="851"/>
        <w:jc w:val="both"/>
      </w:pPr>
      <w:r>
        <w:rPr>
          <w:b/>
        </w:rPr>
        <w:t>RESULTANDO: 1</w:t>
      </w:r>
      <w:r>
        <w:rPr>
          <w:b/>
          <w:bCs/>
        </w:rPr>
        <w:t xml:space="preserve">) </w:t>
      </w:r>
      <w:r>
        <w:t>que</w:t>
      </w:r>
      <w:r w:rsidR="00323253">
        <w:t xml:space="preserve"> en el año 2016, el BHU y ANTEL presentaron demanda por responsabilidad decenal contra TEYMA S.A., ante el Juzgado Letrado de Primera Instancia en lo Civil de 1</w:t>
      </w:r>
      <w:r w:rsidR="003F5234">
        <w:t>º</w:t>
      </w:r>
      <w:r w:rsidR="00323253">
        <w:t xml:space="preserve"> Turno, contra los Arquitectos Fernando Castro y Daniel Minetti y los Ingenieros Gustavo Piñeyrúa y Alejandro Skoclich, reclamando su condena en forma solidaria a responder por los</w:t>
      </w:r>
      <w:r w:rsidR="005F5A77">
        <w:t xml:space="preserve"> vicios y defectos de la obra en el inmueble empadronado con el N° 14698, cuyos copropietarios son el BHU y ANTEL</w:t>
      </w:r>
      <w:r w:rsidR="003F5234">
        <w:t>;</w:t>
      </w:r>
    </w:p>
    <w:p w:rsidR="00793272" w:rsidRDefault="005F5A77" w:rsidP="00793272">
      <w:pPr>
        <w:spacing w:line="360" w:lineRule="auto"/>
        <w:ind w:firstLine="2694"/>
        <w:jc w:val="both"/>
      </w:pPr>
      <w:r>
        <w:rPr>
          <w:b/>
        </w:rPr>
        <w:t xml:space="preserve">2) </w:t>
      </w:r>
      <w:r>
        <w:t xml:space="preserve">que </w:t>
      </w:r>
      <w:r w:rsidR="002D7D52">
        <w:t>se remiten antecedentes en los que</w:t>
      </w:r>
      <w:r w:rsidR="00323253">
        <w:t xml:space="preserve"> consta el proyecto de solicitud de homolo</w:t>
      </w:r>
      <w:r>
        <w:t>gación de acuerdo transaccional</w:t>
      </w:r>
      <w:r w:rsidR="003F5234">
        <w:t>,</w:t>
      </w:r>
      <w:r w:rsidR="002D7D52">
        <w:t xml:space="preserve"> estableciendo</w:t>
      </w:r>
      <w:r>
        <w:t xml:space="preserve"> que el costo total, final y “llave en mano” para implementar la obra de reparación </w:t>
      </w:r>
      <w:r w:rsidR="006916BC">
        <w:t>reclamada</w:t>
      </w:r>
      <w:r w:rsidR="003F5234">
        <w:t>,</w:t>
      </w:r>
      <w:r w:rsidR="006916BC">
        <w:t xml:space="preserve"> </w:t>
      </w:r>
      <w:r>
        <w:t>asciende a la suma de USD 1.097.460 más IVA. Si BHU/ANTEL optara por paneles de PCA Ignífugo, debe adicionarse al costo, la cantidad de U$S 30.000 más IVA</w:t>
      </w:r>
      <w:r w:rsidR="00C760B2">
        <w:t>;</w:t>
      </w:r>
    </w:p>
    <w:p w:rsidR="00793272" w:rsidRDefault="005F5A77" w:rsidP="00793272">
      <w:pPr>
        <w:spacing w:line="360" w:lineRule="auto"/>
        <w:ind w:firstLine="2694"/>
        <w:jc w:val="both"/>
      </w:pPr>
      <w:r>
        <w:rPr>
          <w:b/>
        </w:rPr>
        <w:t>3</w:t>
      </w:r>
      <w:r w:rsidR="00A24DCE" w:rsidRPr="00A24DCE">
        <w:rPr>
          <w:b/>
        </w:rPr>
        <w:t>)</w:t>
      </w:r>
      <w:r w:rsidR="00A24DCE">
        <w:rPr>
          <w:b/>
        </w:rPr>
        <w:t xml:space="preserve"> </w:t>
      </w:r>
      <w:r w:rsidR="00A24DCE">
        <w:t>que</w:t>
      </w:r>
      <w:r>
        <w:t xml:space="preserve"> los costos presupuestados aceptados por las partes, serán solventados por mitades, 50 % BHU/ANTEL y 50 %</w:t>
      </w:r>
      <w:r w:rsidR="00A24DCE">
        <w:t xml:space="preserve"> </w:t>
      </w:r>
      <w:r>
        <w:t xml:space="preserve">por TEYMA, lo que supone </w:t>
      </w:r>
      <w:r w:rsidR="005D0BEE">
        <w:t>que</w:t>
      </w:r>
      <w:r w:rsidR="006916BC">
        <w:t xml:space="preserve"> luego de descontados los gastos en que ya han incurrido </w:t>
      </w:r>
      <w:r w:rsidR="005D0BEE">
        <w:t>BHU y ANTEL</w:t>
      </w:r>
      <w:r w:rsidR="006916BC">
        <w:t xml:space="preserve"> e incluido el costo por los paneles de PCA Ignífugo,</w:t>
      </w:r>
      <w:r w:rsidR="005D0BEE">
        <w:t xml:space="preserve"> </w:t>
      </w:r>
      <w:r w:rsidR="006916BC">
        <w:t>se deberá</w:t>
      </w:r>
      <w:r w:rsidR="005D0BEE">
        <w:t xml:space="preserve"> abonar </w:t>
      </w:r>
      <w:r w:rsidR="006916BC">
        <w:t>a TEYMA la suma de U$S 533</w:t>
      </w:r>
      <w:r w:rsidR="005D0BEE">
        <w:t>.730 más IVA;</w:t>
      </w:r>
    </w:p>
    <w:p w:rsidR="00793272" w:rsidRDefault="001D64B7" w:rsidP="00793272">
      <w:pPr>
        <w:spacing w:line="360" w:lineRule="auto"/>
        <w:ind w:firstLine="2694"/>
        <w:jc w:val="both"/>
      </w:pPr>
      <w:r>
        <w:rPr>
          <w:b/>
        </w:rPr>
        <w:lastRenderedPageBreak/>
        <w:t>4</w:t>
      </w:r>
      <w:r w:rsidR="00A24DCE" w:rsidRPr="00A24DCE">
        <w:rPr>
          <w:b/>
        </w:rPr>
        <w:t>)</w:t>
      </w:r>
      <w:r w:rsidR="00A24DCE">
        <w:rPr>
          <w:b/>
        </w:rPr>
        <w:t xml:space="preserve"> </w:t>
      </w:r>
      <w:r w:rsidR="00B83A02" w:rsidRPr="00B83A02">
        <w:t>que</w:t>
      </w:r>
      <w:r w:rsidR="006916BC">
        <w:t xml:space="preserve"> el plazo máximo para la ejecución de la obra será de 14 meses a partir de que BHU/ANTEL abonen el anticipo</w:t>
      </w:r>
      <w:r w:rsidR="005F4121">
        <w:t>;</w:t>
      </w:r>
    </w:p>
    <w:p w:rsidR="00AC4A33" w:rsidRDefault="001D64B7" w:rsidP="00793272">
      <w:pPr>
        <w:spacing w:line="360" w:lineRule="auto"/>
        <w:ind w:firstLine="2694"/>
        <w:jc w:val="both"/>
      </w:pPr>
      <w:r>
        <w:rPr>
          <w:b/>
        </w:rPr>
        <w:t>5</w:t>
      </w:r>
      <w:r w:rsidR="005F4121" w:rsidRPr="005F4121">
        <w:rPr>
          <w:b/>
        </w:rPr>
        <w:t xml:space="preserve">) </w:t>
      </w:r>
      <w:r w:rsidR="005F4121">
        <w:t>que</w:t>
      </w:r>
      <w:r w:rsidR="00F51E9B">
        <w:t xml:space="preserve"> se adjunta Resolución de Directorio de ANTEL N° 434/19 de 16 de mayo de 20</w:t>
      </w:r>
      <w:r w:rsidR="002D7D52">
        <w:t>19, por la que se aprueba</w:t>
      </w:r>
      <w:r w:rsidR="00F51E9B">
        <w:t xml:space="preserve"> </w:t>
      </w:r>
      <w:r w:rsidR="003F5234">
        <w:t>-</w:t>
      </w:r>
      <w:r w:rsidR="00F51E9B">
        <w:t>ad referéndum de la intervención pre</w:t>
      </w:r>
      <w:r w:rsidR="003F5234">
        <w:t>ventiva del Tribunal de Cuentas-</w:t>
      </w:r>
      <w:r w:rsidR="00F51E9B">
        <w:t xml:space="preserve"> el convenio transaccional referido</w:t>
      </w:r>
      <w:r w:rsidR="005F4121">
        <w:t>;</w:t>
      </w:r>
    </w:p>
    <w:p w:rsidR="00C34B48" w:rsidRDefault="00E63F08" w:rsidP="00793272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</w:t>
      </w:r>
      <w:r>
        <w:rPr>
          <w:bCs/>
          <w:spacing w:val="-3"/>
          <w:lang w:val="es-ES_tradnl"/>
        </w:rPr>
        <w:t xml:space="preserve"> </w:t>
      </w:r>
      <w:r w:rsidR="005F3852">
        <w:rPr>
          <w:b/>
          <w:spacing w:val="-3"/>
          <w:lang w:val="es-ES_tradnl"/>
        </w:rPr>
        <w:t>1</w:t>
      </w:r>
      <w:r>
        <w:rPr>
          <w:b/>
          <w:spacing w:val="-3"/>
          <w:lang w:val="es-ES_tradnl"/>
        </w:rPr>
        <w:t>)</w:t>
      </w:r>
      <w:r>
        <w:rPr>
          <w:bCs/>
          <w:spacing w:val="-3"/>
          <w:lang w:val="es-ES_tradnl"/>
        </w:rPr>
        <w:t xml:space="preserve"> </w:t>
      </w:r>
      <w:r w:rsidRPr="00D44632">
        <w:rPr>
          <w:bCs/>
          <w:spacing w:val="-3"/>
          <w:lang w:val="es-ES_tradnl"/>
        </w:rPr>
        <w:t xml:space="preserve">que </w:t>
      </w:r>
      <w:r w:rsidR="00C34B48">
        <w:rPr>
          <w:bCs/>
          <w:spacing w:val="-3"/>
          <w:lang w:val="es-ES_tradnl"/>
        </w:rPr>
        <w:t>la transacción es un contrato por el cual, haciéndose recíprocas concesiones, terminan los contrayen</w:t>
      </w:r>
      <w:r w:rsidR="009F4CB7">
        <w:rPr>
          <w:bCs/>
          <w:spacing w:val="-3"/>
          <w:lang w:val="es-ES_tradnl"/>
        </w:rPr>
        <w:t>tes un litigio pendiente  o prec</w:t>
      </w:r>
      <w:r w:rsidR="00C34B48">
        <w:rPr>
          <w:bCs/>
          <w:spacing w:val="-3"/>
          <w:lang w:val="es-ES_tradnl"/>
        </w:rPr>
        <w:t>aven un litigio eventua</w:t>
      </w:r>
      <w:r w:rsidR="00C760B2">
        <w:rPr>
          <w:bCs/>
          <w:spacing w:val="-3"/>
          <w:lang w:val="es-ES_tradnl"/>
        </w:rPr>
        <w:t>l (art. 2147 del Código Civil);</w:t>
      </w:r>
    </w:p>
    <w:p w:rsidR="00793272" w:rsidRDefault="00C760B2" w:rsidP="00793272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</w:t>
      </w:r>
      <w:r w:rsidR="005F3852">
        <w:rPr>
          <w:b/>
          <w:bCs/>
          <w:spacing w:val="-3"/>
          <w:lang w:val="es-ES_tradnl"/>
        </w:rPr>
        <w:t>2</w:t>
      </w:r>
      <w:r w:rsidR="00C34B48" w:rsidRPr="00C34B48">
        <w:rPr>
          <w:b/>
          <w:bCs/>
          <w:spacing w:val="-3"/>
          <w:lang w:val="es-ES_tradnl"/>
        </w:rPr>
        <w:t xml:space="preserve">) </w:t>
      </w:r>
      <w:r w:rsidR="002D7D52">
        <w:rPr>
          <w:bCs/>
          <w:spacing w:val="-3"/>
          <w:lang w:val="es-ES_tradnl"/>
        </w:rPr>
        <w:t xml:space="preserve">que este </w:t>
      </w:r>
      <w:r w:rsidR="003F5234">
        <w:rPr>
          <w:bCs/>
          <w:spacing w:val="-3"/>
          <w:lang w:val="es-ES_tradnl"/>
        </w:rPr>
        <w:t>Tribunal de Cuentas</w:t>
      </w:r>
      <w:r w:rsidR="002D7D52">
        <w:rPr>
          <w:bCs/>
          <w:spacing w:val="-3"/>
          <w:lang w:val="es-ES_tradnl"/>
        </w:rPr>
        <w:t xml:space="preserve"> por Resolución</w:t>
      </w:r>
      <w:r w:rsidR="003F5234">
        <w:rPr>
          <w:bCs/>
          <w:spacing w:val="-3"/>
          <w:lang w:val="es-ES_tradnl"/>
        </w:rPr>
        <w:t xml:space="preserve"> de</w:t>
      </w:r>
      <w:r w:rsidR="003F5234">
        <w:rPr>
          <w:b/>
          <w:spacing w:val="-3"/>
          <w:lang w:val="es-ES_tradnl"/>
        </w:rPr>
        <w:t xml:space="preserve"> </w:t>
      </w:r>
      <w:r w:rsidR="003F5234">
        <w:rPr>
          <w:bCs/>
          <w:spacing w:val="-3"/>
          <w:lang w:val="es-ES_tradnl"/>
        </w:rPr>
        <w:t>fecha 18 de junio de 2008, en la redacción dada por el artículo 2 d</w:t>
      </w:r>
      <w:r w:rsidR="002D7D52">
        <w:rPr>
          <w:bCs/>
          <w:spacing w:val="-3"/>
          <w:lang w:val="es-ES_tradnl"/>
        </w:rPr>
        <w:t xml:space="preserve">e la Resolución de 23/12/2009, </w:t>
      </w:r>
      <w:r w:rsidR="003F5234">
        <w:rPr>
          <w:bCs/>
          <w:spacing w:val="-3"/>
          <w:lang w:val="es-ES_tradnl"/>
        </w:rPr>
        <w:t>dispuso que se deben remitir al mismo, para su intervención, todos los gastos emergentes de transacciones  extrajudiciales y laudos  arbitrales, cualquiera sea su monto;</w:t>
      </w:r>
    </w:p>
    <w:p w:rsidR="00E63F08" w:rsidRDefault="00C760B2" w:rsidP="00793272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</w:t>
      </w:r>
      <w:r w:rsidR="003F5234">
        <w:rPr>
          <w:b/>
          <w:bCs/>
          <w:spacing w:val="-3"/>
          <w:lang w:val="es-ES_tradnl"/>
        </w:rPr>
        <w:t xml:space="preserve">3) </w:t>
      </w:r>
      <w:r w:rsidR="00C34B48">
        <w:rPr>
          <w:bCs/>
          <w:spacing w:val="-3"/>
          <w:lang w:val="es-ES_tradnl"/>
        </w:rPr>
        <w:t xml:space="preserve">que </w:t>
      </w:r>
      <w:r w:rsidR="00E63F08" w:rsidRPr="00D44632">
        <w:rPr>
          <w:bCs/>
          <w:spacing w:val="-3"/>
          <w:lang w:val="es-ES_tradnl"/>
        </w:rPr>
        <w:t>la transacción remitida no merece objeciones de índole leg</w:t>
      </w:r>
      <w:r w:rsidR="002D7D52">
        <w:rPr>
          <w:bCs/>
          <w:spacing w:val="-3"/>
          <w:lang w:val="es-ES_tradnl"/>
        </w:rPr>
        <w:t>al y los aspectos que refieren su</w:t>
      </w:r>
      <w:r w:rsidR="00E63F08" w:rsidRPr="00D44632">
        <w:rPr>
          <w:bCs/>
          <w:spacing w:val="-3"/>
          <w:lang w:val="es-ES_tradnl"/>
        </w:rPr>
        <w:t xml:space="preserve"> oportu</w:t>
      </w:r>
      <w:r w:rsidR="002D7D52">
        <w:rPr>
          <w:bCs/>
          <w:spacing w:val="-3"/>
          <w:lang w:val="es-ES_tradnl"/>
        </w:rPr>
        <w:t>nidad o conveniencia</w:t>
      </w:r>
      <w:r w:rsidR="00E63F08" w:rsidRPr="00D44632">
        <w:rPr>
          <w:bCs/>
          <w:spacing w:val="-3"/>
          <w:lang w:val="es-ES_tradnl"/>
        </w:rPr>
        <w:t>, constituyen una cuestión de mérito cuya apreciación no encuadra en el ámbito de competencias de este Tribunal;</w:t>
      </w:r>
    </w:p>
    <w:p w:rsidR="00E63F08" w:rsidRDefault="00E63F08" w:rsidP="00793272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>a lo precedentemente expu</w:t>
      </w:r>
      <w:r w:rsidR="00ED70EB">
        <w:rPr>
          <w:rFonts w:ascii="LiberationSans-Regular" w:hAnsi="LiberationSans-Regular"/>
        </w:rPr>
        <w:t>esto, a lo dispuesto por el artículo 211 literal</w:t>
      </w:r>
      <w:r>
        <w:rPr>
          <w:rFonts w:ascii="LiberationSans-Regular" w:hAnsi="LiberationSans-Regular"/>
        </w:rPr>
        <w:t xml:space="preserve"> B) de la Constitución de la República;</w:t>
      </w:r>
    </w:p>
    <w:p w:rsidR="00E63F08" w:rsidRDefault="00E63F08" w:rsidP="00E63F08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41704D" w:rsidRDefault="0041704D" w:rsidP="00793272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41704D">
        <w:rPr>
          <w:b/>
          <w:spacing w:val="-3"/>
          <w:lang w:val="es-ES_tradnl"/>
        </w:rPr>
        <w:t xml:space="preserve">1) </w:t>
      </w:r>
      <w:r>
        <w:rPr>
          <w:spacing w:val="-3"/>
          <w:lang w:val="es-ES_tradnl"/>
        </w:rPr>
        <w:t>No formular observaciones al acuerdo transaccional remitido;</w:t>
      </w:r>
    </w:p>
    <w:p w:rsidR="0041704D" w:rsidRDefault="0041704D" w:rsidP="00793272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2C1A7F">
        <w:rPr>
          <w:b/>
          <w:spacing w:val="-3"/>
          <w:lang w:val="es-ES_tradnl"/>
        </w:rPr>
        <w:t>2)</w:t>
      </w:r>
      <w:r w:rsidR="00910CD5">
        <w:rPr>
          <w:spacing w:val="-3"/>
          <w:lang w:val="es-ES_tradnl"/>
        </w:rPr>
        <w:t xml:space="preserve"> Cometer al Contador Delegado</w:t>
      </w:r>
      <w:r>
        <w:rPr>
          <w:spacing w:val="-3"/>
          <w:lang w:val="es-ES_tradnl"/>
        </w:rPr>
        <w:t xml:space="preserve"> la intervenció</w:t>
      </w:r>
      <w:r w:rsidR="00A70BDB">
        <w:rPr>
          <w:spacing w:val="-3"/>
          <w:lang w:val="es-ES_tradnl"/>
        </w:rPr>
        <w:t xml:space="preserve">n la suma de </w:t>
      </w:r>
      <w:r w:rsidR="00910CD5" w:rsidRPr="00910CD5">
        <w:rPr>
          <w:spacing w:val="-3"/>
          <w:lang w:val="es-ES_tradnl"/>
        </w:rPr>
        <w:t>U$S 533.730 más IVA</w:t>
      </w:r>
      <w:r>
        <w:rPr>
          <w:spacing w:val="-3"/>
          <w:lang w:val="es-ES_tradnl"/>
        </w:rPr>
        <w:t>, previo contro</w:t>
      </w:r>
      <w:r w:rsidR="003F5234">
        <w:rPr>
          <w:spacing w:val="-3"/>
          <w:lang w:val="es-ES_tradnl"/>
        </w:rPr>
        <w:t>l de su imputación con cargo a G</w:t>
      </w:r>
      <w:r>
        <w:rPr>
          <w:spacing w:val="-3"/>
          <w:lang w:val="es-ES_tradnl"/>
        </w:rPr>
        <w:t>rupo adecuado con disponibilidad suficiente</w:t>
      </w:r>
      <w:r>
        <w:t>;</w:t>
      </w:r>
    </w:p>
    <w:p w:rsidR="0041704D" w:rsidRDefault="0041704D" w:rsidP="00793272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>
        <w:rPr>
          <w:spacing w:val="-3"/>
          <w:lang w:val="es-ES_tradnl"/>
        </w:rPr>
        <w:t xml:space="preserve">  Comunicar al Contador </w:t>
      </w:r>
      <w:r w:rsidR="00793272">
        <w:rPr>
          <w:spacing w:val="-3"/>
          <w:lang w:val="es-ES_tradnl"/>
        </w:rPr>
        <w:t>Delegado</w:t>
      </w:r>
      <w:r>
        <w:rPr>
          <w:spacing w:val="-3"/>
          <w:lang w:val="es-ES_tradnl"/>
        </w:rPr>
        <w:t>; y</w:t>
      </w:r>
    </w:p>
    <w:p w:rsidR="00E63F08" w:rsidRDefault="0041704D" w:rsidP="00793272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4)</w:t>
      </w:r>
      <w:r w:rsidR="00793272">
        <w:rPr>
          <w:spacing w:val="-3"/>
          <w:lang w:val="es-ES_tradnl"/>
        </w:rPr>
        <w:t xml:space="preserve">  Devolver las actuaciones.</w:t>
      </w:r>
    </w:p>
    <w:p w:rsidR="00CF5101" w:rsidRPr="00C760B2" w:rsidRDefault="00793272" w:rsidP="00793272">
      <w:pPr>
        <w:tabs>
          <w:tab w:val="left" w:pos="-720"/>
        </w:tabs>
        <w:suppressAutoHyphens/>
        <w:spacing w:line="360" w:lineRule="auto"/>
        <w:jc w:val="both"/>
      </w:pPr>
      <w:r w:rsidRPr="00C760B2">
        <w:rPr>
          <w:bCs/>
          <w:spacing w:val="-3"/>
          <w:sz w:val="20"/>
          <w:szCs w:val="20"/>
          <w:lang w:val="es-ES_tradnl"/>
        </w:rPr>
        <w:t>CLC</w:t>
      </w:r>
    </w:p>
    <w:sectPr w:rsidR="00CF5101" w:rsidRPr="00C760B2" w:rsidSect="0079327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8"/>
    <w:rsid w:val="001C4A03"/>
    <w:rsid w:val="001D64B7"/>
    <w:rsid w:val="0027554D"/>
    <w:rsid w:val="00275ADB"/>
    <w:rsid w:val="002D7D52"/>
    <w:rsid w:val="00323253"/>
    <w:rsid w:val="003E5FA5"/>
    <w:rsid w:val="003F5234"/>
    <w:rsid w:val="0041704D"/>
    <w:rsid w:val="00596FE1"/>
    <w:rsid w:val="005B65A5"/>
    <w:rsid w:val="005D0BEE"/>
    <w:rsid w:val="005F3852"/>
    <w:rsid w:val="005F4121"/>
    <w:rsid w:val="005F5A77"/>
    <w:rsid w:val="0060197C"/>
    <w:rsid w:val="0064067E"/>
    <w:rsid w:val="006916BC"/>
    <w:rsid w:val="00793272"/>
    <w:rsid w:val="007D20FE"/>
    <w:rsid w:val="008E667A"/>
    <w:rsid w:val="00910CD5"/>
    <w:rsid w:val="00925FDE"/>
    <w:rsid w:val="00957781"/>
    <w:rsid w:val="009F4CB7"/>
    <w:rsid w:val="00A24DCE"/>
    <w:rsid w:val="00A57546"/>
    <w:rsid w:val="00A70BDB"/>
    <w:rsid w:val="00AC4A33"/>
    <w:rsid w:val="00B03F6A"/>
    <w:rsid w:val="00B83A02"/>
    <w:rsid w:val="00BF02EF"/>
    <w:rsid w:val="00C34B48"/>
    <w:rsid w:val="00C76010"/>
    <w:rsid w:val="00C760B2"/>
    <w:rsid w:val="00CF5101"/>
    <w:rsid w:val="00E63F08"/>
    <w:rsid w:val="00ED70EB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2019-07-01T15:37:00Z</cp:lastPrinted>
  <dcterms:created xsi:type="dcterms:W3CDTF">2019-07-01T18:11:00Z</dcterms:created>
  <dcterms:modified xsi:type="dcterms:W3CDTF">2019-07-12T17:16:00Z</dcterms:modified>
</cp:coreProperties>
</file>