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A9B" w:rsidRPr="00786EEB" w:rsidRDefault="00A70A9B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 xml:space="preserve">RES. </w:t>
      </w:r>
      <w:r w:rsidR="00180658">
        <w:rPr>
          <w:rFonts w:cs="Arial"/>
          <w:b/>
          <w:sz w:val="28"/>
          <w:szCs w:val="28"/>
          <w:lang w:val="es-ES_tradnl"/>
        </w:rPr>
        <w:t>1466</w:t>
      </w:r>
      <w:r>
        <w:rPr>
          <w:rFonts w:cs="Arial"/>
          <w:b/>
          <w:sz w:val="28"/>
          <w:szCs w:val="28"/>
          <w:lang w:val="es-ES_tradnl"/>
        </w:rPr>
        <w:t>/19</w:t>
      </w:r>
    </w:p>
    <w:p w:rsidR="00A70A9B" w:rsidRDefault="00A70A9B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A70A9B" w:rsidRPr="00762B34" w:rsidRDefault="00A70A9B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A70A9B" w:rsidRPr="00762B34" w:rsidRDefault="00A70A9B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A70A9B" w:rsidRPr="00762B34" w:rsidRDefault="00A70A9B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A70A9B" w:rsidRPr="00762B34" w:rsidRDefault="00A70A9B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A70A9B" w:rsidRPr="00762B34" w:rsidRDefault="00A70A9B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20 DE JUNIO </w:t>
      </w:r>
      <w:r>
        <w:rPr>
          <w:rFonts w:ascii="Helvetica" w:hAnsi="Helvetica"/>
          <w:b/>
          <w:lang w:val="es-ES_tradnl"/>
        </w:rPr>
        <w:t>DE 2019</w:t>
      </w:r>
    </w:p>
    <w:p w:rsidR="00A70A9B" w:rsidRPr="00762B34" w:rsidRDefault="00A70A9B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A70A9B" w:rsidRPr="00625BF7" w:rsidRDefault="00A70A9B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625BF7">
        <w:rPr>
          <w:rFonts w:cs="Arial"/>
          <w:b/>
          <w:lang w:val="es-UY"/>
        </w:rPr>
        <w:t xml:space="preserve">(E. E. Nº </w:t>
      </w:r>
      <w:r w:rsidR="00180658" w:rsidRPr="00180658">
        <w:rPr>
          <w:b/>
          <w:bCs/>
          <w:lang w:val="es-UY"/>
        </w:rPr>
        <w:t>2018-17-1-0002490</w:t>
      </w:r>
      <w:r w:rsidRPr="00625BF7">
        <w:rPr>
          <w:rFonts w:cs="Arial"/>
          <w:b/>
          <w:lang w:val="es-UY"/>
        </w:rPr>
        <w:t xml:space="preserve">, </w:t>
      </w:r>
      <w:proofErr w:type="spellStart"/>
      <w:r w:rsidRPr="00625BF7">
        <w:rPr>
          <w:rFonts w:cs="Arial"/>
          <w:b/>
          <w:lang w:val="es-UY"/>
        </w:rPr>
        <w:t>Ent</w:t>
      </w:r>
      <w:proofErr w:type="spellEnd"/>
      <w:r w:rsidRPr="00625BF7">
        <w:rPr>
          <w:rFonts w:cs="Arial"/>
          <w:b/>
          <w:lang w:val="es-UY"/>
        </w:rPr>
        <w:t xml:space="preserve">. N° </w:t>
      </w:r>
      <w:r w:rsidR="00180658" w:rsidRPr="00625BF7">
        <w:rPr>
          <w:rFonts w:cs="Arial"/>
          <w:b/>
          <w:lang w:val="es-UY"/>
        </w:rPr>
        <w:t>2041/19</w:t>
      </w:r>
      <w:r w:rsidRPr="00625BF7">
        <w:rPr>
          <w:rFonts w:cs="Arial"/>
          <w:b/>
          <w:lang w:val="es-UY"/>
        </w:rPr>
        <w:t>)</w:t>
      </w:r>
    </w:p>
    <w:p w:rsidR="00A70A9B" w:rsidRPr="00625BF7" w:rsidRDefault="00A70A9B">
      <w:pPr>
        <w:rPr>
          <w:b/>
          <w:lang w:val="es-UY"/>
        </w:rPr>
      </w:pPr>
    </w:p>
    <w:p w:rsidR="00D60B6E" w:rsidRPr="00D60B6E" w:rsidRDefault="00D60B6E" w:rsidP="00726628">
      <w:pPr>
        <w:pStyle w:val="Ttulo1"/>
        <w:tabs>
          <w:tab w:val="left" w:pos="2552"/>
        </w:tabs>
        <w:spacing w:line="360" w:lineRule="auto"/>
        <w:ind w:firstLine="708"/>
        <w:jc w:val="both"/>
        <w:rPr>
          <w:rFonts w:ascii="Arial" w:hAnsi="Arial" w:cs="Arial"/>
          <w:b w:val="0"/>
          <w:szCs w:val="24"/>
        </w:rPr>
      </w:pPr>
      <w:r w:rsidRPr="00D60B6E">
        <w:rPr>
          <w:rFonts w:ascii="Arial" w:hAnsi="Arial" w:cs="Arial"/>
          <w:szCs w:val="24"/>
        </w:rPr>
        <w:t>VISTO:</w:t>
      </w:r>
      <w:r w:rsidRPr="00D60B6E">
        <w:rPr>
          <w:rFonts w:ascii="Arial" w:hAnsi="Arial" w:cs="Arial"/>
          <w:b w:val="0"/>
          <w:szCs w:val="24"/>
        </w:rPr>
        <w:t xml:space="preserve"> las nuevas actuaciones remitidas por la Unidad Centralizada de Adquisiciones (U</w:t>
      </w:r>
      <w:r w:rsidR="0013103F">
        <w:rPr>
          <w:rFonts w:ascii="Arial" w:hAnsi="Arial" w:cs="Arial"/>
          <w:b w:val="0"/>
          <w:szCs w:val="24"/>
        </w:rPr>
        <w:t>.</w:t>
      </w:r>
      <w:r w:rsidRPr="00D60B6E">
        <w:rPr>
          <w:rFonts w:ascii="Arial" w:hAnsi="Arial" w:cs="Arial"/>
          <w:b w:val="0"/>
          <w:szCs w:val="24"/>
        </w:rPr>
        <w:t>C</w:t>
      </w:r>
      <w:r w:rsidR="0013103F">
        <w:rPr>
          <w:rFonts w:ascii="Arial" w:hAnsi="Arial" w:cs="Arial"/>
          <w:b w:val="0"/>
          <w:szCs w:val="24"/>
        </w:rPr>
        <w:t>.</w:t>
      </w:r>
      <w:r w:rsidRPr="00D60B6E">
        <w:rPr>
          <w:rFonts w:ascii="Arial" w:hAnsi="Arial" w:cs="Arial"/>
          <w:b w:val="0"/>
          <w:szCs w:val="24"/>
        </w:rPr>
        <w:t>A) del Ministerio de Economía y Finanzas (M</w:t>
      </w:r>
      <w:r w:rsidR="0013103F">
        <w:rPr>
          <w:rFonts w:ascii="Arial" w:hAnsi="Arial" w:cs="Arial"/>
          <w:b w:val="0"/>
          <w:szCs w:val="24"/>
        </w:rPr>
        <w:t>.</w:t>
      </w:r>
      <w:r w:rsidRPr="00D60B6E">
        <w:rPr>
          <w:rFonts w:ascii="Arial" w:hAnsi="Arial" w:cs="Arial"/>
          <w:b w:val="0"/>
          <w:szCs w:val="24"/>
        </w:rPr>
        <w:t>E</w:t>
      </w:r>
      <w:r w:rsidR="0013103F">
        <w:rPr>
          <w:rFonts w:ascii="Arial" w:hAnsi="Arial" w:cs="Arial"/>
          <w:b w:val="0"/>
          <w:szCs w:val="24"/>
        </w:rPr>
        <w:t>.</w:t>
      </w:r>
      <w:r w:rsidRPr="00D60B6E">
        <w:rPr>
          <w:rFonts w:ascii="Arial" w:hAnsi="Arial" w:cs="Arial"/>
          <w:b w:val="0"/>
          <w:szCs w:val="24"/>
        </w:rPr>
        <w:t>F) relacionadas con la ampliación del Llamado Nº 22/2017, convocado para la adquisición de víveres frescos (frutas, hortalizas y huevos);</w:t>
      </w:r>
    </w:p>
    <w:p w:rsidR="00D60B6E" w:rsidRPr="00D60B6E" w:rsidRDefault="00D60B6E" w:rsidP="00D60B6E">
      <w:pPr>
        <w:spacing w:line="360" w:lineRule="auto"/>
        <w:ind w:firstLine="708"/>
        <w:jc w:val="both"/>
        <w:rPr>
          <w:rFonts w:cs="Arial"/>
          <w:lang w:val="es-ES_tradnl"/>
        </w:rPr>
      </w:pPr>
      <w:r>
        <w:rPr>
          <w:rFonts w:cs="Arial"/>
          <w:b/>
          <w:lang w:val="es-ES_tradnl"/>
        </w:rPr>
        <w:t>RESULTANDO</w:t>
      </w:r>
      <w:r w:rsidRPr="00D60B6E">
        <w:rPr>
          <w:rFonts w:cs="Arial"/>
          <w:b/>
          <w:lang w:val="es-ES_tradnl"/>
        </w:rPr>
        <w:t>:</w:t>
      </w:r>
      <w:r w:rsidRPr="00D60B6E">
        <w:rPr>
          <w:rFonts w:cs="Arial"/>
          <w:lang w:val="es-ES_tradnl"/>
        </w:rPr>
        <w:t xml:space="preserve"> </w:t>
      </w:r>
      <w:r w:rsidRPr="005934FA">
        <w:rPr>
          <w:rFonts w:cs="Arial"/>
          <w:b/>
          <w:lang w:val="es-ES_tradnl"/>
        </w:rPr>
        <w:t>1)</w:t>
      </w:r>
      <w:r w:rsidRPr="00D60B6E">
        <w:rPr>
          <w:rFonts w:cs="Arial"/>
          <w:lang w:val="es-ES_tradnl"/>
        </w:rPr>
        <w:t xml:space="preserve"> que por Resolución de la U</w:t>
      </w:r>
      <w:r>
        <w:rPr>
          <w:rFonts w:cs="Arial"/>
          <w:lang w:val="es-ES_tradnl"/>
        </w:rPr>
        <w:t>.</w:t>
      </w:r>
      <w:r w:rsidRPr="00D60B6E">
        <w:rPr>
          <w:rFonts w:cs="Arial"/>
          <w:lang w:val="es-ES_tradnl"/>
        </w:rPr>
        <w:t>C</w:t>
      </w:r>
      <w:r>
        <w:rPr>
          <w:rFonts w:cs="Arial"/>
          <w:lang w:val="es-ES_tradnl"/>
        </w:rPr>
        <w:t>.</w:t>
      </w:r>
      <w:r w:rsidRPr="00D60B6E">
        <w:rPr>
          <w:rFonts w:cs="Arial"/>
          <w:lang w:val="es-ES_tradnl"/>
        </w:rPr>
        <w:t>A Nº 25/2018 de fecha 19 de marzo de 2018, se adjudicó el llamado a las firmas: ARDIMIL S</w:t>
      </w:r>
      <w:r>
        <w:rPr>
          <w:rFonts w:cs="Arial"/>
          <w:lang w:val="es-ES_tradnl"/>
        </w:rPr>
        <w:t>.</w:t>
      </w:r>
      <w:r w:rsidRPr="00D60B6E">
        <w:rPr>
          <w:rFonts w:cs="Arial"/>
          <w:lang w:val="es-ES_tradnl"/>
        </w:rPr>
        <w:t>A</w:t>
      </w:r>
      <w:r>
        <w:rPr>
          <w:rFonts w:cs="Arial"/>
          <w:lang w:val="es-ES_tradnl"/>
        </w:rPr>
        <w:t>.</w:t>
      </w:r>
      <w:r w:rsidRPr="00D60B6E">
        <w:rPr>
          <w:rFonts w:cs="Arial"/>
          <w:lang w:val="es-ES_tradnl"/>
        </w:rPr>
        <w:t>, DIELMI S</w:t>
      </w:r>
      <w:r>
        <w:rPr>
          <w:rFonts w:cs="Arial"/>
          <w:lang w:val="es-ES_tradnl"/>
        </w:rPr>
        <w:t>.</w:t>
      </w:r>
      <w:r w:rsidRPr="00D60B6E">
        <w:rPr>
          <w:rFonts w:cs="Arial"/>
          <w:lang w:val="es-ES_tradnl"/>
        </w:rPr>
        <w:t>R</w:t>
      </w:r>
      <w:r>
        <w:rPr>
          <w:rFonts w:cs="Arial"/>
          <w:lang w:val="es-ES_tradnl"/>
        </w:rPr>
        <w:t>.</w:t>
      </w:r>
      <w:r w:rsidRPr="00D60B6E">
        <w:rPr>
          <w:rFonts w:cs="Arial"/>
          <w:lang w:val="es-ES_tradnl"/>
        </w:rPr>
        <w:t>L</w:t>
      </w:r>
      <w:r>
        <w:rPr>
          <w:rFonts w:cs="Arial"/>
          <w:lang w:val="es-ES_tradnl"/>
        </w:rPr>
        <w:t>.</w:t>
      </w:r>
      <w:r w:rsidRPr="00D60B6E">
        <w:rPr>
          <w:rFonts w:cs="Arial"/>
          <w:lang w:val="es-ES_tradnl"/>
        </w:rPr>
        <w:t>, JOSÉ CITTADINO DONATO Y CIA, LEDIBLE</w:t>
      </w:r>
      <w:r>
        <w:rPr>
          <w:rFonts w:cs="Arial"/>
          <w:lang w:val="es-ES_tradnl"/>
        </w:rPr>
        <w:t xml:space="preserve"> </w:t>
      </w:r>
      <w:r w:rsidRPr="00D60B6E">
        <w:rPr>
          <w:rFonts w:cs="Arial"/>
          <w:lang w:val="es-ES_tradnl"/>
        </w:rPr>
        <w:t xml:space="preserve"> S</w:t>
      </w:r>
      <w:r>
        <w:rPr>
          <w:rFonts w:cs="Arial"/>
          <w:lang w:val="es-ES_tradnl"/>
        </w:rPr>
        <w:t>.</w:t>
      </w:r>
      <w:r w:rsidRPr="00D60B6E">
        <w:rPr>
          <w:rFonts w:cs="Arial"/>
          <w:lang w:val="es-ES_tradnl"/>
        </w:rPr>
        <w:t>A</w:t>
      </w:r>
      <w:r>
        <w:rPr>
          <w:rFonts w:cs="Arial"/>
          <w:lang w:val="es-ES_tradnl"/>
        </w:rPr>
        <w:t>.</w:t>
      </w:r>
      <w:r w:rsidRPr="00D60B6E">
        <w:rPr>
          <w:rFonts w:cs="Arial"/>
          <w:lang w:val="es-ES_tradnl"/>
        </w:rPr>
        <w:t>, MARUBY S</w:t>
      </w:r>
      <w:r>
        <w:rPr>
          <w:rFonts w:cs="Arial"/>
          <w:lang w:val="es-ES_tradnl"/>
        </w:rPr>
        <w:t>.</w:t>
      </w:r>
      <w:r w:rsidRPr="00D60B6E">
        <w:rPr>
          <w:rFonts w:cs="Arial"/>
          <w:lang w:val="es-ES_tradnl"/>
        </w:rPr>
        <w:t>A</w:t>
      </w:r>
      <w:r>
        <w:rPr>
          <w:rFonts w:cs="Arial"/>
          <w:lang w:val="es-ES_tradnl"/>
        </w:rPr>
        <w:t>.</w:t>
      </w:r>
      <w:r w:rsidRPr="00D60B6E">
        <w:rPr>
          <w:rFonts w:cs="Arial"/>
          <w:lang w:val="es-ES_tradnl"/>
        </w:rPr>
        <w:t>, MAURO ROSA ANDREA NANCY Y RUDELI S</w:t>
      </w:r>
      <w:r>
        <w:rPr>
          <w:rFonts w:cs="Arial"/>
          <w:lang w:val="es-ES_tradnl"/>
        </w:rPr>
        <w:t>.</w:t>
      </w:r>
      <w:r w:rsidRPr="00D60B6E">
        <w:rPr>
          <w:rFonts w:cs="Arial"/>
          <w:lang w:val="es-ES_tradnl"/>
        </w:rPr>
        <w:t>R</w:t>
      </w:r>
      <w:r>
        <w:rPr>
          <w:rFonts w:cs="Arial"/>
          <w:lang w:val="es-ES_tradnl"/>
        </w:rPr>
        <w:t>.</w:t>
      </w:r>
      <w:r w:rsidRPr="00D60B6E">
        <w:rPr>
          <w:rFonts w:cs="Arial"/>
          <w:lang w:val="es-ES_tradnl"/>
        </w:rPr>
        <w:t>L</w:t>
      </w:r>
      <w:r>
        <w:rPr>
          <w:rFonts w:cs="Arial"/>
          <w:lang w:val="es-ES_tradnl"/>
        </w:rPr>
        <w:t>.</w:t>
      </w:r>
      <w:r w:rsidRPr="00D60B6E">
        <w:rPr>
          <w:rFonts w:cs="Arial"/>
          <w:lang w:val="es-ES_tradnl"/>
        </w:rPr>
        <w:t xml:space="preserve">, por hasta </w:t>
      </w:r>
      <w:r>
        <w:rPr>
          <w:rFonts w:cs="Arial"/>
          <w:lang w:val="es-ES_tradnl"/>
        </w:rPr>
        <w:t xml:space="preserve">la suma total de </w:t>
      </w:r>
      <w:r w:rsidRPr="00D60B6E">
        <w:rPr>
          <w:rFonts w:cs="Arial"/>
          <w:lang w:val="es-ES_tradnl"/>
        </w:rPr>
        <w:t>$ 126.527.183 impuestos incluidos y a valores históricos, pudién</w:t>
      </w:r>
      <w:r w:rsidR="00E3260F">
        <w:rPr>
          <w:rFonts w:cs="Arial"/>
          <w:lang w:val="es-ES_tradnl"/>
        </w:rPr>
        <w:t>dose ampliar las cantidades adju</w:t>
      </w:r>
      <w:r w:rsidRPr="00D60B6E">
        <w:rPr>
          <w:rFonts w:cs="Arial"/>
          <w:lang w:val="es-ES_tradnl"/>
        </w:rPr>
        <w:t>dicadas en hasta aproximadamente un 30% en aplicación de lo dispuesto en la Cláusula 2.1 del Pliego de Condiciones Particulares</w:t>
      </w:r>
      <w:r>
        <w:rPr>
          <w:rFonts w:cs="Arial"/>
          <w:lang w:val="es-ES_tradnl"/>
        </w:rPr>
        <w:t>, Documento A - “Cláusulas Genéricas”, Numeral 2.1 “Objeto del</w:t>
      </w:r>
      <w:r w:rsidR="006D7C7F">
        <w:rPr>
          <w:rFonts w:cs="Arial"/>
          <w:lang w:val="es-ES_tradnl"/>
        </w:rPr>
        <w:t xml:space="preserve"> </w:t>
      </w:r>
      <w:r w:rsidR="00625BF7">
        <w:rPr>
          <w:rFonts w:cs="Arial"/>
          <w:lang w:val="es-ES_tradnl"/>
        </w:rPr>
        <w:t>Llamado”</w:t>
      </w:r>
      <w:r w:rsidRPr="00D60B6E">
        <w:rPr>
          <w:rFonts w:cs="Arial"/>
          <w:lang w:val="es-ES_tradnl"/>
        </w:rPr>
        <w:t>;</w:t>
      </w:r>
    </w:p>
    <w:p w:rsidR="005934FA" w:rsidRDefault="00D60B6E" w:rsidP="005934FA">
      <w:pPr>
        <w:tabs>
          <w:tab w:val="left" w:pos="2552"/>
        </w:tabs>
        <w:spacing w:line="360" w:lineRule="auto"/>
        <w:jc w:val="both"/>
        <w:rPr>
          <w:rFonts w:cs="Arial"/>
          <w:lang w:val="es-ES_tradnl"/>
        </w:rPr>
      </w:pPr>
      <w:r w:rsidRPr="00D60B6E">
        <w:rPr>
          <w:rFonts w:cs="Arial"/>
          <w:lang w:val="es-ES_tradnl"/>
        </w:rPr>
        <w:t xml:space="preserve">                               </w:t>
      </w:r>
      <w:r w:rsidR="005934FA">
        <w:rPr>
          <w:rFonts w:cs="Arial"/>
          <w:lang w:val="es-ES_tradnl"/>
        </w:rPr>
        <w:tab/>
      </w:r>
      <w:r w:rsidRPr="005934FA">
        <w:rPr>
          <w:rFonts w:cs="Arial"/>
          <w:b/>
          <w:lang w:val="es-ES_tradnl"/>
        </w:rPr>
        <w:t>2)</w:t>
      </w:r>
      <w:r w:rsidRPr="00D60B6E">
        <w:rPr>
          <w:rFonts w:cs="Arial"/>
          <w:lang w:val="es-ES_tradnl"/>
        </w:rPr>
        <w:t xml:space="preserve"> que este Tribunal en Sesión de fecha 9 de mayo de 2018, acordó observar el gasto </w:t>
      </w:r>
      <w:r w:rsidR="005934FA">
        <w:rPr>
          <w:rFonts w:cs="Arial"/>
          <w:lang w:val="es-ES_tradnl"/>
        </w:rPr>
        <w:t xml:space="preserve">en virtud de que la Cláusula </w:t>
      </w:r>
      <w:r w:rsidR="005934FA" w:rsidRPr="00D60B6E">
        <w:rPr>
          <w:rFonts w:cs="Arial"/>
          <w:lang w:val="es-ES_tradnl"/>
        </w:rPr>
        <w:t>9.1</w:t>
      </w:r>
      <w:r w:rsidR="005934FA">
        <w:rPr>
          <w:rFonts w:cs="Arial"/>
          <w:lang w:val="es-ES_tradnl"/>
        </w:rPr>
        <w:t xml:space="preserve"> (</w:t>
      </w:r>
      <w:r w:rsidR="00FF70AD">
        <w:rPr>
          <w:rFonts w:cs="Arial"/>
          <w:lang w:val="es-ES_tradnl"/>
        </w:rPr>
        <w:t>n</w:t>
      </w:r>
      <w:r w:rsidR="005934FA">
        <w:rPr>
          <w:rFonts w:cs="Arial"/>
          <w:lang w:val="es-ES_tradnl"/>
        </w:rPr>
        <w:t>umeral 9º de las “Garantías”</w:t>
      </w:r>
      <w:r w:rsidR="005934FA" w:rsidRPr="00D60B6E">
        <w:rPr>
          <w:rFonts w:cs="Arial"/>
          <w:lang w:val="es-ES_tradnl"/>
        </w:rPr>
        <w:t>)</w:t>
      </w:r>
      <w:r w:rsidR="005934FA">
        <w:rPr>
          <w:rFonts w:cs="Arial"/>
          <w:lang w:val="es-ES_tradnl"/>
        </w:rPr>
        <w:t xml:space="preserve"> </w:t>
      </w:r>
      <w:r w:rsidRPr="00D60B6E">
        <w:rPr>
          <w:rFonts w:cs="Arial"/>
          <w:lang w:val="es-ES_tradnl"/>
        </w:rPr>
        <w:t>del P</w:t>
      </w:r>
      <w:r w:rsidR="005934FA">
        <w:rPr>
          <w:rFonts w:cs="Arial"/>
          <w:lang w:val="es-ES_tradnl"/>
        </w:rPr>
        <w:t xml:space="preserve">liego de Bases y </w:t>
      </w:r>
      <w:r w:rsidR="005934FA" w:rsidRPr="00D60B6E">
        <w:rPr>
          <w:rFonts w:cs="Arial"/>
          <w:lang w:val="es-ES_tradnl"/>
        </w:rPr>
        <w:t>C</w:t>
      </w:r>
      <w:r w:rsidR="005934FA">
        <w:rPr>
          <w:rFonts w:cs="Arial"/>
          <w:lang w:val="es-ES_tradnl"/>
        </w:rPr>
        <w:t xml:space="preserve">ondiciones </w:t>
      </w:r>
      <w:r w:rsidR="00285B50" w:rsidRPr="00D60B6E">
        <w:rPr>
          <w:rFonts w:cs="Arial"/>
          <w:lang w:val="es-ES_tradnl"/>
        </w:rPr>
        <w:t>P</w:t>
      </w:r>
      <w:r w:rsidR="00285B50">
        <w:rPr>
          <w:rFonts w:cs="Arial"/>
          <w:lang w:val="es-ES_tradnl"/>
        </w:rPr>
        <w:t>articulares</w:t>
      </w:r>
      <w:r w:rsidR="00D26E7D">
        <w:rPr>
          <w:rFonts w:cs="Arial"/>
          <w:lang w:val="es-ES_tradnl"/>
        </w:rPr>
        <w:t>,</w:t>
      </w:r>
      <w:r w:rsidR="00723086">
        <w:rPr>
          <w:rFonts w:cs="Arial"/>
          <w:lang w:val="es-ES_tradnl"/>
        </w:rPr>
        <w:t xml:space="preserve"> </w:t>
      </w:r>
      <w:r w:rsidR="0085618F">
        <w:rPr>
          <w:rFonts w:cs="Arial"/>
          <w:lang w:val="es-ES_tradnl"/>
        </w:rPr>
        <w:t>contravenía</w:t>
      </w:r>
      <w:r w:rsidR="005934FA">
        <w:rPr>
          <w:rFonts w:cs="Arial"/>
          <w:lang w:val="es-ES_tradnl"/>
        </w:rPr>
        <w:t xml:space="preserve"> </w:t>
      </w:r>
      <w:r w:rsidRPr="00D60B6E">
        <w:rPr>
          <w:rFonts w:cs="Arial"/>
          <w:lang w:val="es-ES_tradnl"/>
        </w:rPr>
        <w:t xml:space="preserve">el artículo 64 del </w:t>
      </w:r>
      <w:r w:rsidR="00723086" w:rsidRPr="00D60B6E">
        <w:rPr>
          <w:rFonts w:cs="Arial"/>
          <w:lang w:val="es-ES_tradnl"/>
        </w:rPr>
        <w:t>T</w:t>
      </w:r>
      <w:r w:rsidR="00723086">
        <w:rPr>
          <w:rFonts w:cs="Arial"/>
          <w:lang w:val="es-ES_tradnl"/>
        </w:rPr>
        <w:t>.</w:t>
      </w:r>
      <w:r w:rsidR="00723086" w:rsidRPr="00D60B6E">
        <w:rPr>
          <w:rFonts w:cs="Arial"/>
          <w:lang w:val="es-ES_tradnl"/>
        </w:rPr>
        <w:t>O</w:t>
      </w:r>
      <w:r w:rsidR="00723086">
        <w:rPr>
          <w:rFonts w:cs="Arial"/>
          <w:lang w:val="es-ES_tradnl"/>
        </w:rPr>
        <w:t>.</w:t>
      </w:r>
      <w:r w:rsidR="00723086" w:rsidRPr="00D60B6E">
        <w:rPr>
          <w:rFonts w:cs="Arial"/>
          <w:lang w:val="es-ES_tradnl"/>
        </w:rPr>
        <w:t>C</w:t>
      </w:r>
      <w:r w:rsidR="00723086">
        <w:rPr>
          <w:rFonts w:cs="Arial"/>
          <w:lang w:val="es-ES_tradnl"/>
        </w:rPr>
        <w:t>.</w:t>
      </w:r>
      <w:r w:rsidR="00723086" w:rsidRPr="00D60B6E">
        <w:rPr>
          <w:rFonts w:cs="Arial"/>
          <w:lang w:val="es-ES_tradnl"/>
        </w:rPr>
        <w:t>A</w:t>
      </w:r>
      <w:r w:rsidR="00723086">
        <w:rPr>
          <w:rFonts w:cs="Arial"/>
          <w:lang w:val="es-ES_tradnl"/>
        </w:rPr>
        <w:t>.</w:t>
      </w:r>
      <w:r w:rsidR="00723086" w:rsidRPr="00D60B6E">
        <w:rPr>
          <w:rFonts w:cs="Arial"/>
          <w:lang w:val="es-ES_tradnl"/>
        </w:rPr>
        <w:t>F</w:t>
      </w:r>
      <w:r w:rsidR="00723086">
        <w:rPr>
          <w:rFonts w:cs="Arial"/>
          <w:lang w:val="es-ES_tradnl"/>
        </w:rPr>
        <w:t>, además de que las actuaciones no cumpl</w:t>
      </w:r>
      <w:r w:rsidR="0085618F">
        <w:rPr>
          <w:rFonts w:cs="Arial"/>
          <w:lang w:val="es-ES_tradnl"/>
        </w:rPr>
        <w:t>ían</w:t>
      </w:r>
      <w:r w:rsidR="00723086">
        <w:rPr>
          <w:rFonts w:cs="Arial"/>
          <w:lang w:val="es-ES_tradnl"/>
        </w:rPr>
        <w:t xml:space="preserve"> con las previsiones establecidas en los artículos 49 y siguientes del Decreto 500/91, respecto a la compaginación y formación del expediente al no </w:t>
      </w:r>
      <w:r w:rsidR="006D7C7F">
        <w:rPr>
          <w:rFonts w:cs="Arial"/>
          <w:lang w:val="es-ES_tradnl"/>
        </w:rPr>
        <w:t>encontrarse debidamente foliado;</w:t>
      </w:r>
    </w:p>
    <w:p w:rsidR="005934FA" w:rsidRDefault="00723086" w:rsidP="00F55BF6">
      <w:pPr>
        <w:tabs>
          <w:tab w:val="left" w:pos="2552"/>
        </w:tabs>
        <w:spacing w:line="360" w:lineRule="aut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ab/>
      </w:r>
      <w:r w:rsidR="00FF70AD">
        <w:rPr>
          <w:rFonts w:cs="Arial"/>
          <w:lang w:val="es-ES_tradnl"/>
        </w:rPr>
        <w:t xml:space="preserve">  </w:t>
      </w:r>
      <w:r w:rsidRPr="00723086">
        <w:rPr>
          <w:rFonts w:cs="Arial"/>
          <w:b/>
          <w:lang w:val="es-ES_tradnl"/>
        </w:rPr>
        <w:t>3</w:t>
      </w:r>
      <w:r w:rsidR="00FF70AD">
        <w:rPr>
          <w:rFonts w:cs="Arial"/>
          <w:b/>
          <w:lang w:val="es-ES_tradnl"/>
        </w:rPr>
        <w:t>)</w:t>
      </w:r>
      <w:r>
        <w:rPr>
          <w:rFonts w:cs="Arial"/>
          <w:b/>
          <w:lang w:val="es-ES_tradnl"/>
        </w:rPr>
        <w:t xml:space="preserve"> </w:t>
      </w:r>
      <w:r w:rsidR="00883599">
        <w:rPr>
          <w:rFonts w:cs="Arial"/>
          <w:lang w:val="es-ES_tradnl"/>
        </w:rPr>
        <w:t>que</w:t>
      </w:r>
      <w:r>
        <w:rPr>
          <w:rFonts w:cs="Arial"/>
          <w:lang w:val="es-ES_tradnl"/>
        </w:rPr>
        <w:t xml:space="preserve"> por Resolución Nº 73/2018, de fecha 1º de junio de 2018, la Unida</w:t>
      </w:r>
      <w:r w:rsidR="00883599">
        <w:rPr>
          <w:rFonts w:cs="Arial"/>
          <w:lang w:val="es-ES_tradnl"/>
        </w:rPr>
        <w:t>d Centralizada de Adquisiciones</w:t>
      </w:r>
      <w:r>
        <w:rPr>
          <w:rFonts w:cs="Arial"/>
          <w:lang w:val="es-ES_tradnl"/>
        </w:rPr>
        <w:t xml:space="preserve"> expresó </w:t>
      </w:r>
      <w:r w:rsidR="00D10483">
        <w:rPr>
          <w:rFonts w:cs="Arial"/>
          <w:lang w:val="es-ES_tradnl"/>
        </w:rPr>
        <w:t>que,</w:t>
      </w:r>
      <w:r>
        <w:rPr>
          <w:rFonts w:cs="Arial"/>
          <w:lang w:val="es-ES_tradnl"/>
        </w:rPr>
        <w:t xml:space="preserve"> en relación al monto de la Garantía de Mantenimiento de la Oferta, ha tomado en </w:t>
      </w:r>
      <w:r>
        <w:rPr>
          <w:rFonts w:cs="Arial"/>
          <w:lang w:val="es-ES_tradnl"/>
        </w:rPr>
        <w:lastRenderedPageBreak/>
        <w:t xml:space="preserve">cuenta lo observado, habiendo ajustado los Pliegos del Sector </w:t>
      </w:r>
      <w:r w:rsidR="00D10483">
        <w:rPr>
          <w:rFonts w:cs="Arial"/>
          <w:lang w:val="es-ES_tradnl"/>
        </w:rPr>
        <w:t>Alimentos para futuros llamados. Con</w:t>
      </w:r>
      <w:r>
        <w:rPr>
          <w:rFonts w:cs="Arial"/>
          <w:lang w:val="es-ES_tradnl"/>
        </w:rPr>
        <w:t xml:space="preserve"> respecto al </w:t>
      </w:r>
      <w:r w:rsidR="00D10483">
        <w:rPr>
          <w:rFonts w:cs="Arial"/>
          <w:lang w:val="es-ES_tradnl"/>
        </w:rPr>
        <w:t>incumpliendo</w:t>
      </w:r>
      <w:r>
        <w:rPr>
          <w:rFonts w:cs="Arial"/>
          <w:lang w:val="es-ES_tradnl"/>
        </w:rPr>
        <w:t xml:space="preserve"> de lo </w:t>
      </w:r>
      <w:r w:rsidR="00D10483">
        <w:rPr>
          <w:rFonts w:cs="Arial"/>
          <w:lang w:val="es-ES_tradnl"/>
        </w:rPr>
        <w:t>establecido</w:t>
      </w:r>
      <w:r>
        <w:rPr>
          <w:rFonts w:cs="Arial"/>
          <w:lang w:val="es-ES_tradnl"/>
        </w:rPr>
        <w:t xml:space="preserve"> en el Decreto 500/91</w:t>
      </w:r>
      <w:r w:rsidR="00D10483">
        <w:rPr>
          <w:rFonts w:cs="Arial"/>
          <w:lang w:val="es-ES_tradnl"/>
        </w:rPr>
        <w:t xml:space="preserve"> expresó tomar</w:t>
      </w:r>
      <w:r>
        <w:rPr>
          <w:rFonts w:cs="Arial"/>
          <w:lang w:val="es-ES_tradnl"/>
        </w:rPr>
        <w:t xml:space="preserve"> conocimiento</w:t>
      </w:r>
      <w:r w:rsidR="00D10483">
        <w:rPr>
          <w:rFonts w:cs="Arial"/>
          <w:lang w:val="es-ES_tradnl"/>
        </w:rPr>
        <w:t xml:space="preserve"> y dar cuenta a los Sectores de la Unidad involucrados en el trámite. Sin perjuicio de ello expresa que, ambas observaciones refieren al incumplimiento de aspectos del trámite que no afectan los principios</w:t>
      </w:r>
      <w:r>
        <w:rPr>
          <w:rFonts w:cs="Arial"/>
          <w:lang w:val="es-ES_tradnl"/>
        </w:rPr>
        <w:t xml:space="preserve"> fundamentales </w:t>
      </w:r>
      <w:r w:rsidR="00D10483">
        <w:rPr>
          <w:rFonts w:cs="Arial"/>
          <w:lang w:val="es-ES_tradnl"/>
        </w:rPr>
        <w:t xml:space="preserve">de la contratación administrativa, por </w:t>
      </w:r>
      <w:r w:rsidR="00883599">
        <w:rPr>
          <w:rFonts w:cs="Arial"/>
          <w:lang w:val="es-ES_tradnl"/>
        </w:rPr>
        <w:t xml:space="preserve">lo </w:t>
      </w:r>
      <w:r w:rsidR="00D10483">
        <w:rPr>
          <w:rFonts w:cs="Arial"/>
          <w:lang w:val="es-ES_tradnl"/>
        </w:rPr>
        <w:t>que</w:t>
      </w:r>
      <w:r>
        <w:rPr>
          <w:rFonts w:cs="Arial"/>
          <w:lang w:val="es-ES_tradnl"/>
        </w:rPr>
        <w:t xml:space="preserve"> insiste en el gasto</w:t>
      </w:r>
      <w:r w:rsidR="006D7C7F">
        <w:rPr>
          <w:rFonts w:cs="Arial"/>
          <w:lang w:val="es-ES_tradnl"/>
        </w:rPr>
        <w:t>;</w:t>
      </w:r>
    </w:p>
    <w:p w:rsidR="00D60B6E" w:rsidRPr="00D60B6E" w:rsidRDefault="00D60B6E" w:rsidP="00726628">
      <w:pPr>
        <w:tabs>
          <w:tab w:val="left" w:pos="2552"/>
        </w:tabs>
        <w:spacing w:line="360" w:lineRule="auto"/>
        <w:jc w:val="both"/>
        <w:rPr>
          <w:rFonts w:cs="Arial"/>
          <w:lang w:val="es-ES_tradnl"/>
        </w:rPr>
      </w:pPr>
      <w:r w:rsidRPr="00F55BF6">
        <w:rPr>
          <w:rFonts w:cs="Arial"/>
          <w:b/>
          <w:lang w:val="es-ES_tradnl"/>
        </w:rPr>
        <w:t xml:space="preserve">                                 </w:t>
      </w:r>
      <w:r w:rsidR="00F55BF6">
        <w:rPr>
          <w:rFonts w:cs="Arial"/>
          <w:b/>
          <w:lang w:val="es-ES_tradnl"/>
        </w:rPr>
        <w:tab/>
      </w:r>
      <w:r w:rsidR="00FF70AD">
        <w:rPr>
          <w:rFonts w:cs="Arial"/>
          <w:b/>
          <w:lang w:val="es-ES_tradnl"/>
        </w:rPr>
        <w:t>4</w:t>
      </w:r>
      <w:r w:rsidRPr="00726628">
        <w:rPr>
          <w:rFonts w:cs="Arial"/>
          <w:b/>
          <w:lang w:val="es-ES_tradnl"/>
        </w:rPr>
        <w:t>)</w:t>
      </w:r>
      <w:r w:rsidR="00F55BF6" w:rsidRPr="00726628">
        <w:rPr>
          <w:rFonts w:cs="Arial"/>
          <w:b/>
          <w:lang w:val="es-ES_tradnl"/>
        </w:rPr>
        <w:t xml:space="preserve"> </w:t>
      </w:r>
      <w:r w:rsidR="00F55BF6">
        <w:rPr>
          <w:rFonts w:cs="Arial"/>
          <w:lang w:val="es-ES_tradnl"/>
        </w:rPr>
        <w:t>que este Tribunal</w:t>
      </w:r>
      <w:r w:rsidRPr="00D60B6E">
        <w:rPr>
          <w:rFonts w:cs="Arial"/>
          <w:lang w:val="es-ES_tradnl"/>
        </w:rPr>
        <w:t xml:space="preserve"> en Sesión de fecha 20 de junio de 2018,</w:t>
      </w:r>
      <w:r w:rsidR="00F55BF6">
        <w:rPr>
          <w:rFonts w:cs="Arial"/>
          <w:lang w:val="es-ES_tradnl"/>
        </w:rPr>
        <w:t xml:space="preserve"> </w:t>
      </w:r>
      <w:r w:rsidRPr="00D60B6E">
        <w:rPr>
          <w:rFonts w:cs="Arial"/>
          <w:lang w:val="es-ES_tradnl"/>
        </w:rPr>
        <w:t xml:space="preserve">acordó mantener la observación formulada en Sesión de fecha 9 de mayo de 2018, </w:t>
      </w:r>
      <w:r w:rsidR="00F55BF6">
        <w:rPr>
          <w:rFonts w:cs="Arial"/>
          <w:lang w:val="es-ES_tradnl"/>
        </w:rPr>
        <w:t>por mantenerse incambiadas las razones que motivaron la observación</w:t>
      </w:r>
      <w:r w:rsidR="00D85659">
        <w:rPr>
          <w:rFonts w:cs="Arial"/>
          <w:lang w:val="es-ES_tradnl"/>
        </w:rPr>
        <w:t xml:space="preserve">; </w:t>
      </w:r>
      <w:r w:rsidRPr="00D60B6E">
        <w:rPr>
          <w:rFonts w:cs="Arial"/>
          <w:lang w:val="es-ES_tradnl"/>
        </w:rPr>
        <w:t xml:space="preserve">dando cuenta a la Asamblea General, comunicándolo al Poder </w:t>
      </w:r>
      <w:r w:rsidR="00F55BF6" w:rsidRPr="00D60B6E">
        <w:rPr>
          <w:rFonts w:cs="Arial"/>
          <w:lang w:val="es-ES_tradnl"/>
        </w:rPr>
        <w:t>Ejecutivo;</w:t>
      </w:r>
      <w:r w:rsidRPr="00D60B6E">
        <w:rPr>
          <w:rFonts w:cs="Arial"/>
          <w:lang w:val="es-ES_tradnl"/>
        </w:rPr>
        <w:t xml:space="preserve">    </w:t>
      </w:r>
    </w:p>
    <w:p w:rsidR="00F55BF6" w:rsidRDefault="00D60B6E" w:rsidP="00726628">
      <w:pPr>
        <w:tabs>
          <w:tab w:val="left" w:pos="2552"/>
        </w:tabs>
        <w:spacing w:line="360" w:lineRule="auto"/>
        <w:jc w:val="both"/>
        <w:rPr>
          <w:rFonts w:cs="Arial"/>
          <w:lang w:val="es-ES_tradnl"/>
        </w:rPr>
      </w:pPr>
      <w:r w:rsidRPr="00D60B6E">
        <w:rPr>
          <w:rFonts w:cs="Arial"/>
          <w:lang w:val="es-ES_tradnl"/>
        </w:rPr>
        <w:t xml:space="preserve">                                   </w:t>
      </w:r>
      <w:r w:rsidR="00726628">
        <w:rPr>
          <w:rFonts w:cs="Arial"/>
          <w:b/>
          <w:lang w:val="es-ES_tradnl"/>
        </w:rPr>
        <w:tab/>
      </w:r>
      <w:r w:rsidR="00FF70AD">
        <w:rPr>
          <w:rFonts w:cs="Arial"/>
          <w:b/>
          <w:lang w:val="es-ES_tradnl"/>
        </w:rPr>
        <w:t>5</w:t>
      </w:r>
      <w:r w:rsidRPr="00F55BF6">
        <w:rPr>
          <w:rFonts w:cs="Arial"/>
          <w:b/>
          <w:lang w:val="es-ES_tradnl"/>
        </w:rPr>
        <w:t>)</w:t>
      </w:r>
      <w:r w:rsidR="00F55BF6">
        <w:rPr>
          <w:rFonts w:cs="Arial"/>
          <w:lang w:val="es-ES_tradnl"/>
        </w:rPr>
        <w:t xml:space="preserve"> </w:t>
      </w:r>
      <w:r w:rsidRPr="00D60B6E">
        <w:rPr>
          <w:rFonts w:cs="Arial"/>
          <w:lang w:val="es-ES_tradnl"/>
        </w:rPr>
        <w:t>que</w:t>
      </w:r>
      <w:r w:rsidR="00F55BF6">
        <w:rPr>
          <w:rFonts w:cs="Arial"/>
          <w:lang w:val="es-ES_tradnl"/>
        </w:rPr>
        <w:t xml:space="preserve"> por Resolución Nº 103/2018</w:t>
      </w:r>
      <w:r w:rsidRPr="00D60B6E">
        <w:rPr>
          <w:rFonts w:cs="Arial"/>
          <w:lang w:val="es-ES_tradnl"/>
        </w:rPr>
        <w:t xml:space="preserve"> </w:t>
      </w:r>
      <w:r w:rsidR="00E373EC">
        <w:rPr>
          <w:rFonts w:cs="Arial"/>
          <w:lang w:val="es-ES_tradnl"/>
        </w:rPr>
        <w:t xml:space="preserve">de 17 de setiembre de 2018, </w:t>
      </w:r>
      <w:r w:rsidR="00F55BF6">
        <w:rPr>
          <w:rFonts w:cs="Arial"/>
          <w:lang w:val="es-ES_tradnl"/>
        </w:rPr>
        <w:t>la Unidad Centralizada de Adquisiciones</w:t>
      </w:r>
      <w:r w:rsidR="00E373EC">
        <w:rPr>
          <w:rFonts w:cs="Arial"/>
          <w:lang w:val="es-ES_tradnl"/>
        </w:rPr>
        <w:t xml:space="preserve">, </w:t>
      </w:r>
      <w:r w:rsidR="00726628">
        <w:rPr>
          <w:rFonts w:cs="Arial"/>
          <w:lang w:val="es-ES_tradnl"/>
        </w:rPr>
        <w:t>resuelve</w:t>
      </w:r>
      <w:r w:rsidR="00570016">
        <w:rPr>
          <w:rFonts w:cs="Arial"/>
          <w:lang w:val="es-ES_tradnl"/>
        </w:rPr>
        <w:t xml:space="preserve"> ampliar el presente llamado, según el detalle que surge en los Anexos I y II adjuntos a la presente Resolución, en pesos uruguayos y a valores históricos</w:t>
      </w:r>
      <w:r w:rsidR="00E373EC">
        <w:rPr>
          <w:rFonts w:cs="Arial"/>
          <w:lang w:val="es-ES_tradnl"/>
        </w:rPr>
        <w:t>:</w:t>
      </w:r>
      <w:r w:rsidRPr="00D60B6E">
        <w:rPr>
          <w:rFonts w:cs="Arial"/>
          <w:lang w:val="es-ES_tradnl"/>
        </w:rPr>
        <w:t xml:space="preserve">                         </w:t>
      </w:r>
    </w:p>
    <w:p w:rsidR="00D60B6E" w:rsidRPr="00D60B6E" w:rsidRDefault="00FF70AD" w:rsidP="00726628">
      <w:pPr>
        <w:tabs>
          <w:tab w:val="left" w:pos="2552"/>
        </w:tabs>
        <w:spacing w:line="360" w:lineRule="auto"/>
        <w:jc w:val="both"/>
        <w:rPr>
          <w:rFonts w:cs="Arial"/>
          <w:lang w:val="es-ES_tradnl"/>
        </w:rPr>
      </w:pPr>
      <w:r>
        <w:rPr>
          <w:rFonts w:cs="Arial"/>
          <w:b/>
          <w:lang w:val="es-ES_tradnl"/>
        </w:rPr>
        <w:t>5</w:t>
      </w:r>
      <w:r w:rsidR="00D60B6E" w:rsidRPr="00570016">
        <w:rPr>
          <w:rFonts w:cs="Arial"/>
          <w:b/>
          <w:lang w:val="es-ES_tradnl"/>
        </w:rPr>
        <w:t>.1</w:t>
      </w:r>
      <w:r>
        <w:rPr>
          <w:rFonts w:cs="Arial"/>
          <w:b/>
          <w:lang w:val="es-ES_tradnl"/>
        </w:rPr>
        <w:t>)</w:t>
      </w:r>
      <w:r w:rsidR="00E373EC">
        <w:rPr>
          <w:rFonts w:cs="Arial"/>
          <w:lang w:val="es-ES_tradnl"/>
        </w:rPr>
        <w:t xml:space="preserve"> </w:t>
      </w:r>
      <w:r w:rsidR="00D60B6E" w:rsidRPr="00D60B6E">
        <w:rPr>
          <w:rFonts w:cs="Arial"/>
          <w:lang w:val="es-ES_tradnl"/>
        </w:rPr>
        <w:t>ampliación del ítem “huevos”, para las zonas 2,</w:t>
      </w:r>
      <w:r w:rsidR="00570016">
        <w:rPr>
          <w:rFonts w:cs="Arial"/>
          <w:lang w:val="es-ES_tradnl"/>
        </w:rPr>
        <w:t xml:space="preserve"> </w:t>
      </w:r>
      <w:r w:rsidR="00D60B6E" w:rsidRPr="00D60B6E">
        <w:rPr>
          <w:rFonts w:cs="Arial"/>
          <w:lang w:val="es-ES_tradnl"/>
        </w:rPr>
        <w:t>3 y 4 a favor de la empresa JOSÉ CITTADINO DONATO Y CÍA.</w:t>
      </w:r>
      <w:r>
        <w:rPr>
          <w:rFonts w:cs="Arial"/>
          <w:lang w:val="es-ES_tradnl"/>
        </w:rPr>
        <w:t xml:space="preserve">  </w:t>
      </w:r>
      <w:proofErr w:type="gramStart"/>
      <w:r w:rsidR="00D60B6E" w:rsidRPr="00D60B6E">
        <w:rPr>
          <w:rFonts w:cs="Arial"/>
          <w:lang w:val="es-ES_tradnl"/>
        </w:rPr>
        <w:t>por</w:t>
      </w:r>
      <w:proofErr w:type="gramEnd"/>
      <w:r w:rsidR="00D60B6E" w:rsidRPr="00D60B6E">
        <w:rPr>
          <w:rFonts w:cs="Arial"/>
          <w:lang w:val="es-ES_tradnl"/>
        </w:rPr>
        <w:t xml:space="preserve"> un total de $ 612.759,30, por un período de seis meses para atender las necesidades de varios </w:t>
      </w:r>
      <w:r w:rsidR="00E373EC" w:rsidRPr="00D60B6E">
        <w:rPr>
          <w:rFonts w:cs="Arial"/>
          <w:lang w:val="es-ES_tradnl"/>
        </w:rPr>
        <w:t>Organismos;</w:t>
      </w:r>
      <w:r w:rsidR="00D60B6E" w:rsidRPr="00D60B6E">
        <w:rPr>
          <w:rFonts w:cs="Arial"/>
          <w:lang w:val="es-ES_tradnl"/>
        </w:rPr>
        <w:t xml:space="preserve"> </w:t>
      </w:r>
    </w:p>
    <w:p w:rsidR="00D60B6E" w:rsidRPr="00D60B6E" w:rsidRDefault="00FF70AD" w:rsidP="00726628">
      <w:pPr>
        <w:tabs>
          <w:tab w:val="left" w:pos="2552"/>
        </w:tabs>
        <w:spacing w:line="360" w:lineRule="auto"/>
        <w:jc w:val="both"/>
        <w:rPr>
          <w:rFonts w:cs="Arial"/>
          <w:lang w:val="es-ES_tradnl"/>
        </w:rPr>
      </w:pPr>
      <w:r>
        <w:rPr>
          <w:rFonts w:cs="Arial"/>
          <w:b/>
          <w:lang w:val="es-ES_tradnl"/>
        </w:rPr>
        <w:t>5</w:t>
      </w:r>
      <w:r w:rsidR="0066046A" w:rsidRPr="00726628">
        <w:rPr>
          <w:rFonts w:cs="Arial"/>
          <w:b/>
          <w:lang w:val="es-ES_tradnl"/>
        </w:rPr>
        <w:t>.2</w:t>
      </w:r>
      <w:r>
        <w:rPr>
          <w:rFonts w:cs="Arial"/>
          <w:b/>
          <w:lang w:val="es-ES_tradnl"/>
        </w:rPr>
        <w:t>)</w:t>
      </w:r>
      <w:r w:rsidR="00726628">
        <w:rPr>
          <w:rFonts w:cs="Arial"/>
          <w:b/>
          <w:lang w:val="es-ES_tradnl"/>
        </w:rPr>
        <w:t xml:space="preserve"> </w:t>
      </w:r>
      <w:r w:rsidR="00D60B6E" w:rsidRPr="00D60B6E">
        <w:rPr>
          <w:rFonts w:cs="Arial"/>
          <w:lang w:val="es-ES_tradnl"/>
        </w:rPr>
        <w:t xml:space="preserve">que la demanda </w:t>
      </w:r>
      <w:r w:rsidR="00570016">
        <w:rPr>
          <w:rFonts w:cs="Arial"/>
          <w:lang w:val="es-ES_tradnl"/>
        </w:rPr>
        <w:t>por Organismo es la siguiente</w:t>
      </w:r>
      <w:r w:rsidR="00D85659">
        <w:rPr>
          <w:rFonts w:cs="Arial"/>
          <w:lang w:val="es-ES_tradnl"/>
        </w:rPr>
        <w:t>:</w:t>
      </w:r>
      <w:r w:rsidR="00570016">
        <w:rPr>
          <w:rFonts w:cs="Arial"/>
          <w:lang w:val="es-ES_tradnl"/>
        </w:rPr>
        <w:t xml:space="preserve"> </w:t>
      </w:r>
      <w:r w:rsidR="00D60B6E" w:rsidRPr="00D60B6E">
        <w:rPr>
          <w:rFonts w:cs="Arial"/>
          <w:lang w:val="es-ES_tradnl"/>
        </w:rPr>
        <w:t xml:space="preserve">Administración de los Servicios de Salud del Estado </w:t>
      </w:r>
      <w:r w:rsidR="00570016" w:rsidRPr="00D60B6E">
        <w:rPr>
          <w:rFonts w:cs="Arial"/>
          <w:lang w:val="es-ES_tradnl"/>
        </w:rPr>
        <w:t>(A</w:t>
      </w:r>
      <w:r w:rsidR="002D70C2">
        <w:rPr>
          <w:rFonts w:cs="Arial"/>
          <w:lang w:val="es-ES_tradnl"/>
        </w:rPr>
        <w:t>.</w:t>
      </w:r>
      <w:r w:rsidR="00570016" w:rsidRPr="00D60B6E">
        <w:rPr>
          <w:rFonts w:cs="Arial"/>
          <w:lang w:val="es-ES_tradnl"/>
        </w:rPr>
        <w:t>S</w:t>
      </w:r>
      <w:r w:rsidR="002D70C2">
        <w:rPr>
          <w:rFonts w:cs="Arial"/>
          <w:lang w:val="es-ES_tradnl"/>
        </w:rPr>
        <w:t>.</w:t>
      </w:r>
      <w:r w:rsidR="00570016" w:rsidRPr="00D60B6E">
        <w:rPr>
          <w:rFonts w:cs="Arial"/>
          <w:lang w:val="es-ES_tradnl"/>
        </w:rPr>
        <w:t>S</w:t>
      </w:r>
      <w:r w:rsidR="002D70C2">
        <w:rPr>
          <w:rFonts w:cs="Arial"/>
          <w:lang w:val="es-ES_tradnl"/>
        </w:rPr>
        <w:t>.</w:t>
      </w:r>
      <w:r w:rsidR="00570016" w:rsidRPr="00D60B6E">
        <w:rPr>
          <w:rFonts w:cs="Arial"/>
          <w:lang w:val="es-ES_tradnl"/>
        </w:rPr>
        <w:t>E)</w:t>
      </w:r>
      <w:r w:rsidR="00D60B6E" w:rsidRPr="00D60B6E">
        <w:rPr>
          <w:rFonts w:cs="Arial"/>
          <w:lang w:val="es-ES_tradnl"/>
        </w:rPr>
        <w:t xml:space="preserve"> por $ 9.031,16, Instituto del Niño y Adolescente del Uruguay </w:t>
      </w:r>
      <w:r w:rsidR="00570016" w:rsidRPr="00D60B6E">
        <w:rPr>
          <w:rFonts w:cs="Arial"/>
          <w:lang w:val="es-ES_tradnl"/>
        </w:rPr>
        <w:t>(I</w:t>
      </w:r>
      <w:r w:rsidR="002D70C2">
        <w:rPr>
          <w:rFonts w:cs="Arial"/>
          <w:lang w:val="es-ES_tradnl"/>
        </w:rPr>
        <w:t>.</w:t>
      </w:r>
      <w:r w:rsidR="00570016" w:rsidRPr="00D60B6E">
        <w:rPr>
          <w:rFonts w:cs="Arial"/>
          <w:lang w:val="es-ES_tradnl"/>
        </w:rPr>
        <w:t>N</w:t>
      </w:r>
      <w:r w:rsidR="002D70C2">
        <w:rPr>
          <w:rFonts w:cs="Arial"/>
          <w:lang w:val="es-ES_tradnl"/>
        </w:rPr>
        <w:t>.</w:t>
      </w:r>
      <w:r w:rsidR="00570016" w:rsidRPr="00D60B6E">
        <w:rPr>
          <w:rFonts w:cs="Arial"/>
          <w:lang w:val="es-ES_tradnl"/>
        </w:rPr>
        <w:t>A</w:t>
      </w:r>
      <w:r w:rsidR="002D70C2">
        <w:rPr>
          <w:rFonts w:cs="Arial"/>
          <w:lang w:val="es-ES_tradnl"/>
        </w:rPr>
        <w:t>.</w:t>
      </w:r>
      <w:r w:rsidR="00570016" w:rsidRPr="00D60B6E">
        <w:rPr>
          <w:rFonts w:cs="Arial"/>
          <w:lang w:val="es-ES_tradnl"/>
        </w:rPr>
        <w:t>U)</w:t>
      </w:r>
      <w:r w:rsidR="00D60B6E" w:rsidRPr="00D60B6E">
        <w:rPr>
          <w:rFonts w:cs="Arial"/>
          <w:lang w:val="es-ES_tradnl"/>
        </w:rPr>
        <w:t xml:space="preserve"> por $ 91.021,13, Ministerio de Defensa Nacional </w:t>
      </w:r>
      <w:r w:rsidR="00570016" w:rsidRPr="00D60B6E">
        <w:rPr>
          <w:rFonts w:cs="Arial"/>
          <w:lang w:val="es-ES_tradnl"/>
        </w:rPr>
        <w:t>(M</w:t>
      </w:r>
      <w:r w:rsidR="002D70C2">
        <w:rPr>
          <w:rFonts w:cs="Arial"/>
          <w:lang w:val="es-ES_tradnl"/>
        </w:rPr>
        <w:t>.</w:t>
      </w:r>
      <w:r w:rsidR="00570016" w:rsidRPr="00D60B6E">
        <w:rPr>
          <w:rFonts w:cs="Arial"/>
          <w:lang w:val="es-ES_tradnl"/>
        </w:rPr>
        <w:t>D</w:t>
      </w:r>
      <w:r w:rsidR="002D70C2">
        <w:rPr>
          <w:rFonts w:cs="Arial"/>
          <w:lang w:val="es-ES_tradnl"/>
        </w:rPr>
        <w:t>.</w:t>
      </w:r>
      <w:r w:rsidR="00570016" w:rsidRPr="00D60B6E">
        <w:rPr>
          <w:rFonts w:cs="Arial"/>
          <w:lang w:val="es-ES_tradnl"/>
        </w:rPr>
        <w:t>N)</w:t>
      </w:r>
      <w:r w:rsidR="00D60B6E" w:rsidRPr="00D60B6E">
        <w:rPr>
          <w:rFonts w:cs="Arial"/>
          <w:lang w:val="es-ES_tradnl"/>
        </w:rPr>
        <w:t xml:space="preserve"> por $ 487.992,36, Ministerio de Desarrollo Social </w:t>
      </w:r>
      <w:r w:rsidR="00570016" w:rsidRPr="00D60B6E">
        <w:rPr>
          <w:rFonts w:cs="Arial"/>
          <w:lang w:val="es-ES_tradnl"/>
        </w:rPr>
        <w:t>(M</w:t>
      </w:r>
      <w:r w:rsidR="002D70C2">
        <w:rPr>
          <w:rFonts w:cs="Arial"/>
          <w:lang w:val="es-ES_tradnl"/>
        </w:rPr>
        <w:t>.</w:t>
      </w:r>
      <w:r w:rsidR="00570016" w:rsidRPr="00D60B6E">
        <w:rPr>
          <w:rFonts w:cs="Arial"/>
          <w:lang w:val="es-ES_tradnl"/>
        </w:rPr>
        <w:t>I</w:t>
      </w:r>
      <w:r w:rsidR="002D70C2">
        <w:rPr>
          <w:rFonts w:cs="Arial"/>
          <w:lang w:val="es-ES_tradnl"/>
        </w:rPr>
        <w:t>.</w:t>
      </w:r>
      <w:r w:rsidR="00570016" w:rsidRPr="00D60B6E">
        <w:rPr>
          <w:rFonts w:cs="Arial"/>
          <w:lang w:val="es-ES_tradnl"/>
        </w:rPr>
        <w:t>D</w:t>
      </w:r>
      <w:r w:rsidR="002D70C2">
        <w:rPr>
          <w:rFonts w:cs="Arial"/>
          <w:lang w:val="es-ES_tradnl"/>
        </w:rPr>
        <w:t>.</w:t>
      </w:r>
      <w:r w:rsidR="00570016" w:rsidRPr="00D60B6E">
        <w:rPr>
          <w:rFonts w:cs="Arial"/>
          <w:lang w:val="es-ES_tradnl"/>
        </w:rPr>
        <w:t>E</w:t>
      </w:r>
      <w:r w:rsidR="002D70C2">
        <w:rPr>
          <w:rFonts w:cs="Arial"/>
          <w:lang w:val="es-ES_tradnl"/>
        </w:rPr>
        <w:t>.</w:t>
      </w:r>
      <w:r w:rsidR="00570016" w:rsidRPr="00D60B6E">
        <w:rPr>
          <w:rFonts w:cs="Arial"/>
          <w:lang w:val="es-ES_tradnl"/>
        </w:rPr>
        <w:t>S)</w:t>
      </w:r>
      <w:r w:rsidR="00D60B6E" w:rsidRPr="00D60B6E">
        <w:rPr>
          <w:rFonts w:cs="Arial"/>
          <w:lang w:val="es-ES_tradnl"/>
        </w:rPr>
        <w:t xml:space="preserve"> por $ 1.727,03 y Ministerio del Interior </w:t>
      </w:r>
      <w:r w:rsidR="00570016" w:rsidRPr="00D60B6E">
        <w:rPr>
          <w:rFonts w:cs="Arial"/>
          <w:lang w:val="es-ES_tradnl"/>
        </w:rPr>
        <w:t>(M</w:t>
      </w:r>
      <w:r w:rsidR="002D70C2">
        <w:rPr>
          <w:rFonts w:cs="Arial"/>
          <w:lang w:val="es-ES_tradnl"/>
        </w:rPr>
        <w:t>.</w:t>
      </w:r>
      <w:r w:rsidR="00570016" w:rsidRPr="00D60B6E">
        <w:rPr>
          <w:rFonts w:cs="Arial"/>
          <w:lang w:val="es-ES_tradnl"/>
        </w:rPr>
        <w:t>I)</w:t>
      </w:r>
      <w:r w:rsidR="00D60B6E" w:rsidRPr="00D60B6E">
        <w:rPr>
          <w:rFonts w:cs="Arial"/>
          <w:lang w:val="es-ES_tradnl"/>
        </w:rPr>
        <w:t xml:space="preserve"> por $ 22.987,</w:t>
      </w:r>
      <w:r w:rsidR="0066046A" w:rsidRPr="00D60B6E">
        <w:rPr>
          <w:rFonts w:cs="Arial"/>
          <w:lang w:val="es-ES_tradnl"/>
        </w:rPr>
        <w:t>63;</w:t>
      </w:r>
    </w:p>
    <w:p w:rsidR="00D60B6E" w:rsidRPr="00D60B6E" w:rsidRDefault="00FF70AD" w:rsidP="00726628">
      <w:pPr>
        <w:tabs>
          <w:tab w:val="left" w:pos="2552"/>
        </w:tabs>
        <w:spacing w:line="360" w:lineRule="auto"/>
        <w:jc w:val="both"/>
        <w:rPr>
          <w:rFonts w:cs="Arial"/>
          <w:lang w:val="es-ES_tradnl"/>
        </w:rPr>
      </w:pPr>
      <w:r>
        <w:rPr>
          <w:rFonts w:cs="Arial"/>
          <w:b/>
          <w:lang w:val="es-ES_tradnl"/>
        </w:rPr>
        <w:t>5</w:t>
      </w:r>
      <w:r w:rsidR="0066046A" w:rsidRPr="00726628">
        <w:rPr>
          <w:rFonts w:cs="Arial"/>
          <w:b/>
          <w:lang w:val="es-ES_tradnl"/>
        </w:rPr>
        <w:t>.3</w:t>
      </w:r>
      <w:r>
        <w:rPr>
          <w:rFonts w:cs="Arial"/>
          <w:b/>
          <w:lang w:val="es-ES_tradnl"/>
        </w:rPr>
        <w:t>)</w:t>
      </w:r>
      <w:r w:rsidR="00D60B6E" w:rsidRPr="00D60B6E">
        <w:rPr>
          <w:rFonts w:cs="Arial"/>
          <w:lang w:val="es-ES_tradnl"/>
        </w:rPr>
        <w:t xml:space="preserve"> </w:t>
      </w:r>
      <w:r w:rsidR="0066046A" w:rsidRPr="00D60B6E">
        <w:rPr>
          <w:rFonts w:cs="Arial"/>
          <w:lang w:val="es-ES_tradnl"/>
        </w:rPr>
        <w:t>que</w:t>
      </w:r>
      <w:r w:rsidR="00D60B6E" w:rsidRPr="00D60B6E">
        <w:rPr>
          <w:rFonts w:cs="Arial"/>
          <w:lang w:val="es-ES_tradnl"/>
        </w:rPr>
        <w:t xml:space="preserve"> si bien la Resolución de la U</w:t>
      </w:r>
      <w:r w:rsidR="0066046A">
        <w:rPr>
          <w:rFonts w:cs="Arial"/>
          <w:lang w:val="es-ES_tradnl"/>
        </w:rPr>
        <w:t xml:space="preserve">nidad </w:t>
      </w:r>
      <w:r w:rsidR="00D60B6E" w:rsidRPr="00D60B6E">
        <w:rPr>
          <w:rFonts w:cs="Arial"/>
          <w:lang w:val="es-ES_tradnl"/>
        </w:rPr>
        <w:t>C</w:t>
      </w:r>
      <w:r w:rsidR="0066046A">
        <w:rPr>
          <w:rFonts w:cs="Arial"/>
          <w:lang w:val="es-ES_tradnl"/>
        </w:rPr>
        <w:t xml:space="preserve">entralizada de </w:t>
      </w:r>
      <w:r w:rsidR="00D60B6E" w:rsidRPr="00D60B6E">
        <w:rPr>
          <w:rFonts w:cs="Arial"/>
          <w:lang w:val="es-ES_tradnl"/>
        </w:rPr>
        <w:t>A</w:t>
      </w:r>
      <w:r w:rsidR="0066046A">
        <w:rPr>
          <w:rFonts w:cs="Arial"/>
          <w:lang w:val="es-ES_tradnl"/>
        </w:rPr>
        <w:t>dquisiciones</w:t>
      </w:r>
      <w:r w:rsidR="00D60B6E" w:rsidRPr="00D60B6E">
        <w:rPr>
          <w:rFonts w:cs="Arial"/>
          <w:lang w:val="es-ES_tradnl"/>
        </w:rPr>
        <w:t xml:space="preserve"> </w:t>
      </w:r>
      <w:r w:rsidR="00E373EC">
        <w:rPr>
          <w:rFonts w:cs="Arial"/>
          <w:lang w:val="es-ES_tradnl"/>
        </w:rPr>
        <w:t xml:space="preserve">indica </w:t>
      </w:r>
      <w:r w:rsidR="00D60B6E" w:rsidRPr="00D60B6E">
        <w:rPr>
          <w:rFonts w:cs="Arial"/>
          <w:lang w:val="es-ES_tradnl"/>
        </w:rPr>
        <w:t>que se cuenta con la conformidad de la firma adjudicataria, la misma no consta en las actuaciones remitidas</w:t>
      </w:r>
      <w:r w:rsidR="0066046A">
        <w:rPr>
          <w:rFonts w:cs="Arial"/>
          <w:lang w:val="es-ES_tradnl"/>
        </w:rPr>
        <w:t xml:space="preserve">, </w:t>
      </w:r>
      <w:r w:rsidR="004141EE">
        <w:rPr>
          <w:rFonts w:cs="Arial"/>
          <w:lang w:val="es-ES_tradnl"/>
        </w:rPr>
        <w:t>además de</w:t>
      </w:r>
      <w:r w:rsidR="00E373EC">
        <w:rPr>
          <w:rFonts w:cs="Arial"/>
          <w:lang w:val="es-ES_tradnl"/>
        </w:rPr>
        <w:t xml:space="preserve"> que </w:t>
      </w:r>
      <w:r w:rsidR="0066046A">
        <w:rPr>
          <w:rFonts w:cs="Arial"/>
          <w:lang w:val="es-ES_tradnl"/>
        </w:rPr>
        <w:t xml:space="preserve">la ampliación no fue remitida en tiempo y forma a este </w:t>
      </w:r>
      <w:r w:rsidR="004141EE">
        <w:rPr>
          <w:rFonts w:cs="Arial"/>
          <w:lang w:val="es-ES_tradnl"/>
        </w:rPr>
        <w:t>Tribunal, no</w:t>
      </w:r>
      <w:r w:rsidR="0066046A">
        <w:rPr>
          <w:rFonts w:cs="Arial"/>
          <w:lang w:val="es-ES_tradnl"/>
        </w:rPr>
        <w:t xml:space="preserve"> contando la intervención del Contador Auditor del Ministerio de Economía y Finanzas</w:t>
      </w:r>
      <w:r w:rsidR="006D7C7F">
        <w:rPr>
          <w:rFonts w:cs="Arial"/>
          <w:lang w:val="es-ES_tradnl"/>
        </w:rPr>
        <w:t>;</w:t>
      </w:r>
    </w:p>
    <w:p w:rsidR="00E373EC" w:rsidRDefault="00FF70AD" w:rsidP="00180658">
      <w:pPr>
        <w:tabs>
          <w:tab w:val="left" w:pos="2552"/>
        </w:tabs>
        <w:spacing w:line="360" w:lineRule="auto"/>
        <w:ind w:firstLine="2835"/>
        <w:jc w:val="both"/>
        <w:rPr>
          <w:rFonts w:cs="Arial"/>
          <w:lang w:val="es-ES_tradnl"/>
        </w:rPr>
      </w:pPr>
      <w:r>
        <w:rPr>
          <w:rFonts w:cs="Arial"/>
          <w:b/>
          <w:lang w:val="es-ES_tradnl"/>
        </w:rPr>
        <w:lastRenderedPageBreak/>
        <w:t>6</w:t>
      </w:r>
      <w:r w:rsidR="00D60B6E" w:rsidRPr="00726628">
        <w:rPr>
          <w:rFonts w:cs="Arial"/>
          <w:b/>
          <w:lang w:val="es-ES_tradnl"/>
        </w:rPr>
        <w:t>)</w:t>
      </w:r>
      <w:r w:rsidR="00E373EC" w:rsidRPr="00E373EC">
        <w:rPr>
          <w:rFonts w:cs="Arial"/>
          <w:lang w:val="es-ES_tradnl"/>
        </w:rPr>
        <w:t xml:space="preserve"> </w:t>
      </w:r>
      <w:r w:rsidR="00E373EC" w:rsidRPr="00D60B6E">
        <w:rPr>
          <w:rFonts w:cs="Arial"/>
          <w:lang w:val="es-ES_tradnl"/>
        </w:rPr>
        <w:t>que</w:t>
      </w:r>
      <w:r w:rsidR="00E373EC">
        <w:rPr>
          <w:rFonts w:cs="Arial"/>
          <w:lang w:val="es-ES_tradnl"/>
        </w:rPr>
        <w:t xml:space="preserve"> por Resolución Nº 8/019</w:t>
      </w:r>
      <w:r w:rsidR="00E373EC" w:rsidRPr="00D60B6E">
        <w:rPr>
          <w:rFonts w:cs="Arial"/>
          <w:lang w:val="es-ES_tradnl"/>
        </w:rPr>
        <w:t xml:space="preserve"> </w:t>
      </w:r>
      <w:r w:rsidR="00E373EC">
        <w:rPr>
          <w:rFonts w:cs="Arial"/>
          <w:lang w:val="es-ES_tradnl"/>
        </w:rPr>
        <w:t xml:space="preserve">de fecha 24 de enero de 2019, la Unidad Centralizada de Adquisiciones, resuelve ampliar </w:t>
      </w:r>
      <w:r w:rsidR="002D70C2">
        <w:rPr>
          <w:rFonts w:cs="Arial"/>
          <w:lang w:val="es-ES_tradnl"/>
        </w:rPr>
        <w:t xml:space="preserve">por segunda vez </w:t>
      </w:r>
      <w:r w:rsidR="00E373EC">
        <w:rPr>
          <w:rFonts w:cs="Arial"/>
          <w:lang w:val="es-ES_tradnl"/>
        </w:rPr>
        <w:t xml:space="preserve">el presente llamado, según el detalle que surge en los Anexos I y II adjuntos a la Resolución, en pesos uruguayos y a valores </w:t>
      </w:r>
      <w:r w:rsidR="00F65295">
        <w:rPr>
          <w:rFonts w:cs="Arial"/>
          <w:lang w:val="es-ES_tradnl"/>
        </w:rPr>
        <w:t>de las ofertas:</w:t>
      </w:r>
    </w:p>
    <w:p w:rsidR="00D60B6E" w:rsidRPr="00D60B6E" w:rsidRDefault="00FF70AD" w:rsidP="00180658">
      <w:pPr>
        <w:spacing w:line="360" w:lineRule="auto"/>
        <w:jc w:val="both"/>
        <w:rPr>
          <w:rFonts w:cs="Arial"/>
          <w:lang w:val="es-ES_tradnl"/>
        </w:rPr>
      </w:pPr>
      <w:r>
        <w:rPr>
          <w:rFonts w:cs="Arial"/>
          <w:b/>
          <w:lang w:val="es-ES_tradnl"/>
        </w:rPr>
        <w:t>6</w:t>
      </w:r>
      <w:r w:rsidR="00726628" w:rsidRPr="00726628">
        <w:rPr>
          <w:rFonts w:cs="Arial"/>
          <w:b/>
          <w:lang w:val="es-ES_tradnl"/>
        </w:rPr>
        <w:t>.1</w:t>
      </w:r>
      <w:r>
        <w:rPr>
          <w:rFonts w:cs="Arial"/>
          <w:b/>
          <w:lang w:val="es-ES_tradnl"/>
        </w:rPr>
        <w:t>)</w:t>
      </w:r>
      <w:r w:rsidR="00F65295">
        <w:rPr>
          <w:rFonts w:cs="Arial"/>
          <w:lang w:val="es-ES_tradnl"/>
        </w:rPr>
        <w:t xml:space="preserve"> </w:t>
      </w:r>
      <w:r w:rsidR="00D60B6E" w:rsidRPr="00D60B6E">
        <w:rPr>
          <w:rFonts w:cs="Arial"/>
          <w:lang w:val="es-ES_tradnl"/>
        </w:rPr>
        <w:t xml:space="preserve">se tramita una </w:t>
      </w:r>
      <w:r w:rsidR="009A587C">
        <w:rPr>
          <w:rFonts w:cs="Arial"/>
          <w:lang w:val="es-ES_tradnl"/>
        </w:rPr>
        <w:t>primera</w:t>
      </w:r>
      <w:r w:rsidR="00D03657">
        <w:rPr>
          <w:rFonts w:cs="Arial"/>
          <w:lang w:val="es-ES_tradnl"/>
        </w:rPr>
        <w:t xml:space="preserve"> ampliación </w:t>
      </w:r>
      <w:r w:rsidR="00F65295">
        <w:rPr>
          <w:rFonts w:cs="Arial"/>
          <w:lang w:val="es-ES_tradnl"/>
        </w:rPr>
        <w:t xml:space="preserve">de </w:t>
      </w:r>
      <w:r w:rsidR="00D60B6E" w:rsidRPr="00D60B6E">
        <w:rPr>
          <w:rFonts w:cs="Arial"/>
          <w:lang w:val="es-ES_tradnl"/>
        </w:rPr>
        <w:t>frutas y hortalizas a favor de DIELMI S</w:t>
      </w:r>
      <w:r w:rsidR="00F65295">
        <w:rPr>
          <w:rFonts w:cs="Arial"/>
          <w:lang w:val="es-ES_tradnl"/>
        </w:rPr>
        <w:t>.</w:t>
      </w:r>
      <w:r w:rsidR="00D60B6E" w:rsidRPr="00D60B6E">
        <w:rPr>
          <w:rFonts w:cs="Arial"/>
          <w:lang w:val="es-ES_tradnl"/>
        </w:rPr>
        <w:t>R</w:t>
      </w:r>
      <w:r w:rsidR="00F65295">
        <w:rPr>
          <w:rFonts w:cs="Arial"/>
          <w:lang w:val="es-ES_tradnl"/>
        </w:rPr>
        <w:t>.</w:t>
      </w:r>
      <w:r w:rsidR="00D60B6E" w:rsidRPr="00D60B6E">
        <w:rPr>
          <w:rFonts w:cs="Arial"/>
          <w:lang w:val="es-ES_tradnl"/>
        </w:rPr>
        <w:t>L</w:t>
      </w:r>
      <w:r w:rsidR="00F65295">
        <w:rPr>
          <w:rFonts w:cs="Arial"/>
          <w:lang w:val="es-ES_tradnl"/>
        </w:rPr>
        <w:t>.</w:t>
      </w:r>
      <w:r w:rsidR="00D60B6E" w:rsidRPr="00D60B6E">
        <w:rPr>
          <w:rFonts w:cs="Arial"/>
          <w:lang w:val="es-ES_tradnl"/>
        </w:rPr>
        <w:t xml:space="preserve"> por $ 4.869.930, ARDIMIL S</w:t>
      </w:r>
      <w:r w:rsidR="00F65295">
        <w:rPr>
          <w:rFonts w:cs="Arial"/>
          <w:lang w:val="es-ES_tradnl"/>
        </w:rPr>
        <w:t>.</w:t>
      </w:r>
      <w:r w:rsidR="00D60B6E" w:rsidRPr="00D60B6E">
        <w:rPr>
          <w:rFonts w:cs="Arial"/>
          <w:lang w:val="es-ES_tradnl"/>
        </w:rPr>
        <w:t>A</w:t>
      </w:r>
      <w:r w:rsidR="00F65295">
        <w:rPr>
          <w:rFonts w:cs="Arial"/>
          <w:lang w:val="es-ES_tradnl"/>
        </w:rPr>
        <w:t>.</w:t>
      </w:r>
      <w:r w:rsidR="00D60B6E" w:rsidRPr="00D60B6E">
        <w:rPr>
          <w:rFonts w:cs="Arial"/>
          <w:lang w:val="es-ES_tradnl"/>
        </w:rPr>
        <w:t xml:space="preserve"> por $ 4.602.076, MAURO ROSA ANDREA NANCY por $ 4.602.076 y LEDIBEL S</w:t>
      </w:r>
      <w:r w:rsidR="00F65295">
        <w:rPr>
          <w:rFonts w:cs="Arial"/>
          <w:lang w:val="es-ES_tradnl"/>
        </w:rPr>
        <w:t>.</w:t>
      </w:r>
      <w:r w:rsidR="00D60B6E" w:rsidRPr="00D60B6E">
        <w:rPr>
          <w:rFonts w:cs="Arial"/>
          <w:lang w:val="es-ES_tradnl"/>
        </w:rPr>
        <w:t>A</w:t>
      </w:r>
      <w:r w:rsidR="00F65295">
        <w:rPr>
          <w:rFonts w:cs="Arial"/>
          <w:lang w:val="es-ES_tradnl"/>
        </w:rPr>
        <w:t>.</w:t>
      </w:r>
      <w:r w:rsidR="00D60B6E" w:rsidRPr="00D60B6E">
        <w:rPr>
          <w:rFonts w:cs="Arial"/>
          <w:lang w:val="es-ES_tradnl"/>
        </w:rPr>
        <w:t xml:space="preserve"> por $ 1.494.180, en un total de $ 15.568.262, y una segunda ampliación de huevos a favor de MARUBY </w:t>
      </w:r>
      <w:r w:rsidR="00726628" w:rsidRPr="00D60B6E">
        <w:rPr>
          <w:rFonts w:cs="Arial"/>
          <w:lang w:val="es-ES_tradnl"/>
        </w:rPr>
        <w:t>S</w:t>
      </w:r>
      <w:r w:rsidR="00726628">
        <w:rPr>
          <w:rFonts w:cs="Arial"/>
          <w:lang w:val="es-ES_tradnl"/>
        </w:rPr>
        <w:t>.</w:t>
      </w:r>
      <w:r w:rsidR="00726628" w:rsidRPr="00D60B6E">
        <w:rPr>
          <w:rFonts w:cs="Arial"/>
          <w:lang w:val="es-ES_tradnl"/>
        </w:rPr>
        <w:t>A. por</w:t>
      </w:r>
      <w:r w:rsidR="00D60B6E" w:rsidRPr="00D60B6E">
        <w:rPr>
          <w:rFonts w:cs="Arial"/>
          <w:lang w:val="es-ES_tradnl"/>
        </w:rPr>
        <w:t xml:space="preserve"> $ 958.635 y de JOSÉ CITTADINO DONATO Y CÍA. por $ 1.194.544, en un total de $ 2.153.179</w:t>
      </w:r>
      <w:r w:rsidR="00726628" w:rsidRPr="00D60B6E">
        <w:rPr>
          <w:rFonts w:cs="Arial"/>
          <w:lang w:val="es-ES_tradnl"/>
        </w:rPr>
        <w:t>, y</w:t>
      </w:r>
      <w:r w:rsidR="00D60B6E" w:rsidRPr="00D60B6E">
        <w:rPr>
          <w:rFonts w:cs="Arial"/>
          <w:lang w:val="es-ES_tradnl"/>
        </w:rPr>
        <w:t xml:space="preserve"> un monto total de esta ampliación de </w:t>
      </w:r>
      <w:r w:rsidR="00180658">
        <w:rPr>
          <w:rFonts w:cs="Arial"/>
          <w:lang w:val="es-ES_tradnl"/>
        </w:rPr>
        <w:t xml:space="preserve">                    </w:t>
      </w:r>
      <w:r w:rsidR="00D60B6E" w:rsidRPr="00D60B6E">
        <w:rPr>
          <w:rFonts w:cs="Arial"/>
          <w:lang w:val="es-ES_tradnl"/>
        </w:rPr>
        <w:t xml:space="preserve">$ </w:t>
      </w:r>
      <w:r w:rsidR="005F090B" w:rsidRPr="00D60B6E">
        <w:rPr>
          <w:rFonts w:cs="Arial"/>
          <w:lang w:val="es-ES_tradnl"/>
        </w:rPr>
        <w:t>17.721.441;</w:t>
      </w:r>
    </w:p>
    <w:p w:rsidR="00D60B6E" w:rsidRDefault="00FF70AD" w:rsidP="005F090B">
      <w:pPr>
        <w:tabs>
          <w:tab w:val="left" w:pos="2410"/>
        </w:tabs>
        <w:spacing w:line="360" w:lineRule="auto"/>
        <w:jc w:val="both"/>
        <w:rPr>
          <w:rFonts w:cs="Arial"/>
          <w:lang w:val="es-ES_tradnl"/>
        </w:rPr>
      </w:pPr>
      <w:r>
        <w:rPr>
          <w:rFonts w:cs="Arial"/>
          <w:b/>
          <w:lang w:val="es-ES_tradnl"/>
        </w:rPr>
        <w:t>6</w:t>
      </w:r>
      <w:r w:rsidR="00F65295" w:rsidRPr="005F090B">
        <w:rPr>
          <w:rFonts w:cs="Arial"/>
          <w:b/>
          <w:lang w:val="es-ES_tradnl"/>
        </w:rPr>
        <w:t>.</w:t>
      </w:r>
      <w:r>
        <w:rPr>
          <w:rFonts w:cs="Arial"/>
          <w:b/>
          <w:lang w:val="es-ES_tradnl"/>
        </w:rPr>
        <w:t>2)</w:t>
      </w:r>
      <w:r w:rsidR="00F65295">
        <w:rPr>
          <w:rFonts w:cs="Arial"/>
          <w:lang w:val="es-ES_tradnl"/>
        </w:rPr>
        <w:t xml:space="preserve"> </w:t>
      </w:r>
      <w:r w:rsidR="00D60B6E" w:rsidRPr="00D60B6E">
        <w:rPr>
          <w:rFonts w:cs="Arial"/>
          <w:lang w:val="es-ES_tradnl"/>
        </w:rPr>
        <w:t xml:space="preserve">la </w:t>
      </w:r>
      <w:r w:rsidR="00CB13CB" w:rsidRPr="00D60B6E">
        <w:rPr>
          <w:rFonts w:cs="Arial"/>
          <w:lang w:val="es-ES_tradnl"/>
        </w:rPr>
        <w:t xml:space="preserve">demanda </w:t>
      </w:r>
      <w:r w:rsidR="00CB13CB">
        <w:rPr>
          <w:rFonts w:cs="Arial"/>
          <w:lang w:val="es-ES_tradnl"/>
        </w:rPr>
        <w:t>por</w:t>
      </w:r>
      <w:r w:rsidR="00D60B6E" w:rsidRPr="00D60B6E">
        <w:rPr>
          <w:rFonts w:cs="Arial"/>
          <w:lang w:val="es-ES_tradnl"/>
        </w:rPr>
        <w:t xml:space="preserve"> Organismo es la siguiente: M</w:t>
      </w:r>
      <w:r w:rsidR="00CB13CB">
        <w:rPr>
          <w:rFonts w:cs="Arial"/>
          <w:lang w:val="es-ES_tradnl"/>
        </w:rPr>
        <w:t xml:space="preserve">inisterio de </w:t>
      </w:r>
      <w:r w:rsidR="00D60B6E" w:rsidRPr="00D60B6E">
        <w:rPr>
          <w:rFonts w:cs="Arial"/>
          <w:lang w:val="es-ES_tradnl"/>
        </w:rPr>
        <w:t>D</w:t>
      </w:r>
      <w:r w:rsidR="00CB13CB">
        <w:rPr>
          <w:rFonts w:cs="Arial"/>
          <w:lang w:val="es-ES_tradnl"/>
        </w:rPr>
        <w:t xml:space="preserve">efensa </w:t>
      </w:r>
      <w:r w:rsidR="00D60B6E" w:rsidRPr="00D60B6E">
        <w:rPr>
          <w:rFonts w:cs="Arial"/>
          <w:lang w:val="es-ES_tradnl"/>
        </w:rPr>
        <w:t>N</w:t>
      </w:r>
      <w:r w:rsidR="00CB13CB">
        <w:rPr>
          <w:rFonts w:cs="Arial"/>
          <w:lang w:val="es-ES_tradnl"/>
        </w:rPr>
        <w:t>acional</w:t>
      </w:r>
      <w:r w:rsidR="0043544E">
        <w:rPr>
          <w:rFonts w:cs="Arial"/>
          <w:lang w:val="es-ES_tradnl"/>
        </w:rPr>
        <w:t xml:space="preserve"> (M.D.F)</w:t>
      </w:r>
      <w:r w:rsidR="00D60B6E" w:rsidRPr="00D60B6E">
        <w:rPr>
          <w:rFonts w:cs="Arial"/>
          <w:lang w:val="es-ES_tradnl"/>
        </w:rPr>
        <w:t xml:space="preserve"> por $ 15.682.958, M</w:t>
      </w:r>
      <w:r w:rsidR="00CB13CB">
        <w:rPr>
          <w:rFonts w:cs="Arial"/>
          <w:lang w:val="es-ES_tradnl"/>
        </w:rPr>
        <w:t xml:space="preserve">inisterio del </w:t>
      </w:r>
      <w:r w:rsidR="00D60B6E" w:rsidRPr="00D60B6E">
        <w:rPr>
          <w:rFonts w:cs="Arial"/>
          <w:lang w:val="es-ES_tradnl"/>
        </w:rPr>
        <w:t>I</w:t>
      </w:r>
      <w:r w:rsidR="00CB13CB">
        <w:rPr>
          <w:rFonts w:cs="Arial"/>
          <w:lang w:val="es-ES_tradnl"/>
        </w:rPr>
        <w:t>nterior</w:t>
      </w:r>
      <w:r w:rsidR="00D60B6E" w:rsidRPr="00D60B6E">
        <w:rPr>
          <w:rFonts w:cs="Arial"/>
          <w:lang w:val="es-ES_tradnl"/>
        </w:rPr>
        <w:t xml:space="preserve"> </w:t>
      </w:r>
      <w:r w:rsidR="0043544E">
        <w:rPr>
          <w:rFonts w:cs="Arial"/>
          <w:lang w:val="es-ES_tradnl"/>
        </w:rPr>
        <w:t xml:space="preserve">(M.I) </w:t>
      </w:r>
      <w:r w:rsidR="00D60B6E" w:rsidRPr="00D60B6E">
        <w:rPr>
          <w:rFonts w:cs="Arial"/>
          <w:lang w:val="es-ES_tradnl"/>
        </w:rPr>
        <w:t xml:space="preserve">por $ 1.070.618, </w:t>
      </w:r>
      <w:r w:rsidR="00CB13CB" w:rsidRPr="00D60B6E">
        <w:rPr>
          <w:rFonts w:cs="Arial"/>
          <w:lang w:val="es-ES_tradnl"/>
        </w:rPr>
        <w:t>M</w:t>
      </w:r>
      <w:r w:rsidR="00CB13CB">
        <w:rPr>
          <w:rFonts w:cs="Arial"/>
          <w:lang w:val="es-ES_tradnl"/>
        </w:rPr>
        <w:t xml:space="preserve">inisterio de </w:t>
      </w:r>
      <w:r w:rsidR="00D60B6E" w:rsidRPr="00D60B6E">
        <w:rPr>
          <w:rFonts w:cs="Arial"/>
          <w:lang w:val="es-ES_tradnl"/>
        </w:rPr>
        <w:t>D</w:t>
      </w:r>
      <w:r w:rsidR="00CB13CB">
        <w:rPr>
          <w:rFonts w:cs="Arial"/>
          <w:lang w:val="es-ES_tradnl"/>
        </w:rPr>
        <w:t xml:space="preserve">esarrollo </w:t>
      </w:r>
      <w:r w:rsidR="00D60B6E" w:rsidRPr="00D60B6E">
        <w:rPr>
          <w:rFonts w:cs="Arial"/>
          <w:lang w:val="es-ES_tradnl"/>
        </w:rPr>
        <w:t>S</w:t>
      </w:r>
      <w:r w:rsidR="00CB13CB">
        <w:rPr>
          <w:rFonts w:cs="Arial"/>
          <w:lang w:val="es-ES_tradnl"/>
        </w:rPr>
        <w:t>ocial</w:t>
      </w:r>
      <w:r w:rsidR="0043544E">
        <w:rPr>
          <w:rFonts w:cs="Arial"/>
          <w:lang w:val="es-ES_tradnl"/>
        </w:rPr>
        <w:t xml:space="preserve"> (M.I.D.E.S)</w:t>
      </w:r>
      <w:r w:rsidR="00D60B6E" w:rsidRPr="00D60B6E">
        <w:rPr>
          <w:rFonts w:cs="Arial"/>
          <w:lang w:val="es-ES_tradnl"/>
        </w:rPr>
        <w:t xml:space="preserve"> por $ 12.011, U</w:t>
      </w:r>
      <w:r w:rsidR="00CB13CB">
        <w:rPr>
          <w:rFonts w:cs="Arial"/>
          <w:lang w:val="es-ES_tradnl"/>
        </w:rPr>
        <w:t xml:space="preserve">niversidad </w:t>
      </w:r>
      <w:r w:rsidR="00A249BB">
        <w:rPr>
          <w:rFonts w:cs="Arial"/>
          <w:lang w:val="es-ES_tradnl"/>
        </w:rPr>
        <w:t>d</w:t>
      </w:r>
      <w:r w:rsidR="00CB13CB">
        <w:rPr>
          <w:rFonts w:cs="Arial"/>
          <w:lang w:val="es-ES_tradnl"/>
        </w:rPr>
        <w:t xml:space="preserve">e </w:t>
      </w:r>
      <w:r w:rsidR="00A249BB">
        <w:rPr>
          <w:rFonts w:cs="Arial"/>
          <w:lang w:val="es-ES_tradnl"/>
        </w:rPr>
        <w:t>l</w:t>
      </w:r>
      <w:r w:rsidR="00CB13CB">
        <w:rPr>
          <w:rFonts w:cs="Arial"/>
          <w:lang w:val="es-ES_tradnl"/>
        </w:rPr>
        <w:t xml:space="preserve">a </w:t>
      </w:r>
      <w:r w:rsidR="00D60B6E" w:rsidRPr="00D60B6E">
        <w:rPr>
          <w:rFonts w:cs="Arial"/>
          <w:lang w:val="es-ES_tradnl"/>
        </w:rPr>
        <w:t>R</w:t>
      </w:r>
      <w:r w:rsidR="00CB13CB">
        <w:rPr>
          <w:rFonts w:cs="Arial"/>
          <w:lang w:val="es-ES_tradnl"/>
        </w:rPr>
        <w:t>epública</w:t>
      </w:r>
      <w:r w:rsidR="0043544E">
        <w:rPr>
          <w:rFonts w:cs="Arial"/>
          <w:lang w:val="es-ES_tradnl"/>
        </w:rPr>
        <w:t xml:space="preserve"> (</w:t>
      </w:r>
      <w:proofErr w:type="spellStart"/>
      <w:r w:rsidR="0043544E">
        <w:rPr>
          <w:rFonts w:cs="Arial"/>
          <w:lang w:val="es-ES_tradnl"/>
        </w:rPr>
        <w:t>U.</w:t>
      </w:r>
      <w:r w:rsidR="00A249BB">
        <w:rPr>
          <w:rFonts w:cs="Arial"/>
          <w:lang w:val="es-ES_tradnl"/>
        </w:rPr>
        <w:t>dela</w:t>
      </w:r>
      <w:r w:rsidR="0043544E">
        <w:rPr>
          <w:rFonts w:cs="Arial"/>
          <w:lang w:val="es-ES_tradnl"/>
        </w:rPr>
        <w:t>R</w:t>
      </w:r>
      <w:proofErr w:type="spellEnd"/>
      <w:r w:rsidR="00A249BB">
        <w:rPr>
          <w:rFonts w:cs="Arial"/>
          <w:lang w:val="es-ES_tradnl"/>
        </w:rPr>
        <w:t>.</w:t>
      </w:r>
      <w:r w:rsidR="0043544E">
        <w:rPr>
          <w:rFonts w:cs="Arial"/>
          <w:lang w:val="es-ES_tradnl"/>
        </w:rPr>
        <w:t>)</w:t>
      </w:r>
      <w:r w:rsidR="00D60B6E" w:rsidRPr="00D60B6E">
        <w:rPr>
          <w:rFonts w:cs="Arial"/>
          <w:lang w:val="es-ES_tradnl"/>
        </w:rPr>
        <w:t xml:space="preserve"> por $ 11.514, I</w:t>
      </w:r>
      <w:r w:rsidR="00CB13CB">
        <w:rPr>
          <w:rFonts w:cs="Arial"/>
          <w:lang w:val="es-ES_tradnl"/>
        </w:rPr>
        <w:t xml:space="preserve">nstituto del </w:t>
      </w:r>
      <w:r w:rsidR="00D60B6E" w:rsidRPr="00D60B6E">
        <w:rPr>
          <w:rFonts w:cs="Arial"/>
          <w:lang w:val="es-ES_tradnl"/>
        </w:rPr>
        <w:t>N</w:t>
      </w:r>
      <w:r w:rsidR="00CB13CB">
        <w:rPr>
          <w:rFonts w:cs="Arial"/>
          <w:lang w:val="es-ES_tradnl"/>
        </w:rPr>
        <w:t xml:space="preserve">iño y </w:t>
      </w:r>
      <w:r w:rsidR="00D60B6E" w:rsidRPr="00D60B6E">
        <w:rPr>
          <w:rFonts w:cs="Arial"/>
          <w:lang w:val="es-ES_tradnl"/>
        </w:rPr>
        <w:t>A</w:t>
      </w:r>
      <w:r w:rsidR="00CB13CB">
        <w:rPr>
          <w:rFonts w:cs="Arial"/>
          <w:lang w:val="es-ES_tradnl"/>
        </w:rPr>
        <w:t xml:space="preserve">dolescente del </w:t>
      </w:r>
      <w:r w:rsidR="00D60B6E" w:rsidRPr="00D60B6E">
        <w:rPr>
          <w:rFonts w:cs="Arial"/>
          <w:lang w:val="es-ES_tradnl"/>
        </w:rPr>
        <w:t>U</w:t>
      </w:r>
      <w:r w:rsidR="00CB13CB">
        <w:rPr>
          <w:rFonts w:cs="Arial"/>
          <w:lang w:val="es-ES_tradnl"/>
        </w:rPr>
        <w:t>ruguay</w:t>
      </w:r>
      <w:r w:rsidR="0043544E">
        <w:rPr>
          <w:rFonts w:cs="Arial"/>
          <w:lang w:val="es-ES_tradnl"/>
        </w:rPr>
        <w:t xml:space="preserve"> (I.N.A.U)</w:t>
      </w:r>
      <w:r w:rsidR="00D60B6E" w:rsidRPr="00D60B6E">
        <w:rPr>
          <w:rFonts w:cs="Arial"/>
          <w:lang w:val="es-ES_tradnl"/>
        </w:rPr>
        <w:t xml:space="preserve"> por $ 631.179 y </w:t>
      </w:r>
      <w:r w:rsidR="00CB13CB" w:rsidRPr="00D60B6E">
        <w:rPr>
          <w:rFonts w:cs="Arial"/>
          <w:lang w:val="es-ES_tradnl"/>
        </w:rPr>
        <w:t>A</w:t>
      </w:r>
      <w:r w:rsidR="00CB13CB">
        <w:rPr>
          <w:rFonts w:cs="Arial"/>
          <w:lang w:val="es-ES_tradnl"/>
        </w:rPr>
        <w:t xml:space="preserve">dministración de los </w:t>
      </w:r>
      <w:r w:rsidR="00CB13CB" w:rsidRPr="00D60B6E">
        <w:rPr>
          <w:rFonts w:cs="Arial"/>
          <w:lang w:val="es-ES_tradnl"/>
        </w:rPr>
        <w:t>S</w:t>
      </w:r>
      <w:r w:rsidR="00CB13CB">
        <w:rPr>
          <w:rFonts w:cs="Arial"/>
          <w:lang w:val="es-ES_tradnl"/>
        </w:rPr>
        <w:t xml:space="preserve">ervicios de </w:t>
      </w:r>
      <w:r w:rsidR="00D60B6E" w:rsidRPr="00D60B6E">
        <w:rPr>
          <w:rFonts w:cs="Arial"/>
          <w:lang w:val="es-ES_tradnl"/>
        </w:rPr>
        <w:t>S</w:t>
      </w:r>
      <w:r w:rsidR="00CB13CB">
        <w:rPr>
          <w:rFonts w:cs="Arial"/>
          <w:lang w:val="es-ES_tradnl"/>
        </w:rPr>
        <w:t xml:space="preserve">alud del </w:t>
      </w:r>
      <w:r w:rsidR="002D70C2" w:rsidRPr="00D60B6E">
        <w:rPr>
          <w:rFonts w:cs="Arial"/>
          <w:lang w:val="es-ES_tradnl"/>
        </w:rPr>
        <w:t>E</w:t>
      </w:r>
      <w:r w:rsidR="002D70C2">
        <w:rPr>
          <w:rFonts w:cs="Arial"/>
          <w:lang w:val="es-ES_tradnl"/>
        </w:rPr>
        <w:t>stado</w:t>
      </w:r>
      <w:r w:rsidR="002D70C2" w:rsidRPr="00D60B6E">
        <w:rPr>
          <w:rFonts w:cs="Arial"/>
          <w:lang w:val="es-ES_tradnl"/>
        </w:rPr>
        <w:t xml:space="preserve"> </w:t>
      </w:r>
      <w:r w:rsidR="002D70C2">
        <w:rPr>
          <w:rFonts w:cs="Arial"/>
          <w:lang w:val="es-ES_tradnl"/>
        </w:rPr>
        <w:t>(</w:t>
      </w:r>
      <w:r w:rsidR="0043544E">
        <w:rPr>
          <w:rFonts w:cs="Arial"/>
          <w:lang w:val="es-ES_tradnl"/>
        </w:rPr>
        <w:t xml:space="preserve">A.S.S.E) </w:t>
      </w:r>
      <w:r w:rsidR="00D60B6E" w:rsidRPr="00D60B6E">
        <w:rPr>
          <w:rFonts w:cs="Arial"/>
          <w:lang w:val="es-ES_tradnl"/>
        </w:rPr>
        <w:t xml:space="preserve">por $ </w:t>
      </w:r>
      <w:r w:rsidR="00F65295" w:rsidRPr="00D60B6E">
        <w:rPr>
          <w:rFonts w:cs="Arial"/>
          <w:lang w:val="es-ES_tradnl"/>
        </w:rPr>
        <w:t>313.160;</w:t>
      </w:r>
    </w:p>
    <w:p w:rsidR="00F65295" w:rsidRPr="00D60B6E" w:rsidRDefault="00FF70AD" w:rsidP="005F090B">
      <w:pPr>
        <w:tabs>
          <w:tab w:val="left" w:pos="2410"/>
        </w:tabs>
        <w:spacing w:line="360" w:lineRule="auto"/>
        <w:jc w:val="both"/>
        <w:rPr>
          <w:rFonts w:cs="Arial"/>
          <w:lang w:val="es-ES_tradnl"/>
        </w:rPr>
      </w:pPr>
      <w:r>
        <w:rPr>
          <w:rFonts w:cs="Arial"/>
          <w:b/>
          <w:lang w:val="es-ES_tradnl"/>
        </w:rPr>
        <w:t>6</w:t>
      </w:r>
      <w:r w:rsidR="005F090B" w:rsidRPr="005F090B">
        <w:rPr>
          <w:rFonts w:cs="Arial"/>
          <w:b/>
          <w:lang w:val="es-ES_tradnl"/>
        </w:rPr>
        <w:t>.</w:t>
      </w:r>
      <w:r>
        <w:rPr>
          <w:rFonts w:cs="Arial"/>
          <w:b/>
          <w:lang w:val="es-ES_tradnl"/>
        </w:rPr>
        <w:t>3)</w:t>
      </w:r>
      <w:r w:rsidR="005F090B">
        <w:rPr>
          <w:rFonts w:cs="Arial"/>
          <w:lang w:val="es-ES_tradnl"/>
        </w:rPr>
        <w:t xml:space="preserve"> </w:t>
      </w:r>
      <w:r>
        <w:rPr>
          <w:rFonts w:cs="Arial"/>
          <w:lang w:val="es-ES_tradnl"/>
        </w:rPr>
        <w:t>que</w:t>
      </w:r>
      <w:r w:rsidR="00F65295">
        <w:rPr>
          <w:rFonts w:cs="Arial"/>
          <w:lang w:val="es-ES_tradnl"/>
        </w:rPr>
        <w:t xml:space="preserve"> para este caso,</w:t>
      </w:r>
      <w:r w:rsidR="00F65295" w:rsidRPr="00D60B6E">
        <w:rPr>
          <w:rFonts w:cs="Arial"/>
          <w:lang w:val="es-ES_tradnl"/>
        </w:rPr>
        <w:t xml:space="preserve"> consta la co</w:t>
      </w:r>
      <w:r w:rsidR="00F65295">
        <w:rPr>
          <w:rFonts w:cs="Arial"/>
          <w:lang w:val="es-ES_tradnl"/>
        </w:rPr>
        <w:t xml:space="preserve">nformidad de los adjudicatarios, no acompañándose las </w:t>
      </w:r>
      <w:r w:rsidR="004141EE">
        <w:rPr>
          <w:rFonts w:cs="Arial"/>
          <w:lang w:val="es-ES_tradnl"/>
        </w:rPr>
        <w:t>respectivas</w:t>
      </w:r>
      <w:r w:rsidR="00F65295">
        <w:rPr>
          <w:rFonts w:cs="Arial"/>
          <w:lang w:val="es-ES_tradnl"/>
        </w:rPr>
        <w:t xml:space="preserve"> constancias de </w:t>
      </w:r>
      <w:r w:rsidR="004141EE">
        <w:rPr>
          <w:rFonts w:cs="Arial"/>
          <w:lang w:val="es-ES_tradnl"/>
        </w:rPr>
        <w:t xml:space="preserve">disponibilidad </w:t>
      </w:r>
      <w:r w:rsidR="00F65295">
        <w:rPr>
          <w:rFonts w:cs="Arial"/>
          <w:lang w:val="es-ES_tradnl"/>
        </w:rPr>
        <w:t xml:space="preserve">de créditos </w:t>
      </w:r>
      <w:r w:rsidR="004141EE">
        <w:rPr>
          <w:rFonts w:cs="Arial"/>
          <w:lang w:val="es-ES_tradnl"/>
        </w:rPr>
        <w:t>suficientes</w:t>
      </w:r>
      <w:r w:rsidR="00F65295">
        <w:rPr>
          <w:rFonts w:cs="Arial"/>
          <w:lang w:val="es-ES_tradnl"/>
        </w:rPr>
        <w:t xml:space="preserve"> para atender la erogación </w:t>
      </w:r>
      <w:r w:rsidR="004141EE">
        <w:rPr>
          <w:rFonts w:cs="Arial"/>
          <w:lang w:val="es-ES_tradnl"/>
        </w:rPr>
        <w:t>comprometida</w:t>
      </w:r>
      <w:r w:rsidR="00F65295">
        <w:rPr>
          <w:rFonts w:cs="Arial"/>
          <w:lang w:val="es-ES_tradnl"/>
        </w:rPr>
        <w:t xml:space="preserve"> por parte de los Gerentes Financiero</w:t>
      </w:r>
      <w:r w:rsidR="006D7C7F">
        <w:rPr>
          <w:rFonts w:cs="Arial"/>
          <w:lang w:val="es-ES_tradnl"/>
        </w:rPr>
        <w:t>s de los Organismos adquirentes;</w:t>
      </w:r>
    </w:p>
    <w:p w:rsidR="00D60B6E" w:rsidRDefault="00FF70AD" w:rsidP="00180658">
      <w:pPr>
        <w:spacing w:line="360" w:lineRule="auto"/>
        <w:ind w:firstLine="2835"/>
        <w:jc w:val="both"/>
        <w:rPr>
          <w:rFonts w:cs="Arial"/>
          <w:lang w:val="es-ES_tradnl"/>
        </w:rPr>
      </w:pPr>
      <w:r>
        <w:rPr>
          <w:rFonts w:cs="Arial"/>
          <w:b/>
          <w:lang w:val="es-ES_tradnl"/>
        </w:rPr>
        <w:t>7</w:t>
      </w:r>
      <w:r w:rsidR="00F65295" w:rsidRPr="00D27E9C">
        <w:rPr>
          <w:rFonts w:cs="Arial"/>
          <w:b/>
          <w:lang w:val="es-ES_tradnl"/>
        </w:rPr>
        <w:t>)</w:t>
      </w:r>
      <w:r w:rsidR="00F65295">
        <w:rPr>
          <w:rFonts w:cs="Arial"/>
          <w:lang w:val="es-ES_tradnl"/>
        </w:rPr>
        <w:t xml:space="preserve"> que en virtud de</w:t>
      </w:r>
      <w:r w:rsidR="00D60B6E" w:rsidRPr="00D60B6E">
        <w:rPr>
          <w:rFonts w:cs="Arial"/>
          <w:lang w:val="es-ES_tradnl"/>
        </w:rPr>
        <w:t xml:space="preserve"> que las ampliaciones relacionadas derivan de un procedimiento cuyo gasto </w:t>
      </w:r>
      <w:r w:rsidR="0085618F">
        <w:rPr>
          <w:rFonts w:cs="Arial"/>
          <w:lang w:val="es-ES_tradnl"/>
        </w:rPr>
        <w:t>había sido</w:t>
      </w:r>
      <w:r w:rsidR="00D60B6E" w:rsidRPr="00D60B6E">
        <w:rPr>
          <w:rFonts w:cs="Arial"/>
          <w:lang w:val="es-ES_tradnl"/>
        </w:rPr>
        <w:t xml:space="preserve"> observado</w:t>
      </w:r>
      <w:r w:rsidR="00F65295">
        <w:rPr>
          <w:rFonts w:cs="Arial"/>
          <w:lang w:val="es-ES_tradnl"/>
        </w:rPr>
        <w:t xml:space="preserve"> y</w:t>
      </w:r>
      <w:r w:rsidR="00D60B6E" w:rsidRPr="00D60B6E">
        <w:rPr>
          <w:rFonts w:cs="Arial"/>
          <w:lang w:val="es-ES_tradnl"/>
        </w:rPr>
        <w:t xml:space="preserve"> re</w:t>
      </w:r>
      <w:r w:rsidR="00F65295">
        <w:rPr>
          <w:rFonts w:cs="Arial"/>
          <w:lang w:val="es-ES_tradnl"/>
        </w:rPr>
        <w:t xml:space="preserve">iterado por la Administración siendo posteriormente </w:t>
      </w:r>
      <w:r w:rsidR="00D60B6E" w:rsidRPr="00D60B6E">
        <w:rPr>
          <w:rFonts w:cs="Arial"/>
          <w:lang w:val="es-ES_tradnl"/>
        </w:rPr>
        <w:t>mantenido por este Tribunal</w:t>
      </w:r>
      <w:r w:rsidR="006D7C7F">
        <w:rPr>
          <w:rFonts w:cs="Arial"/>
          <w:lang w:val="es-ES_tradnl"/>
        </w:rPr>
        <w:t>,</w:t>
      </w:r>
      <w:r w:rsidR="00F65295">
        <w:rPr>
          <w:rFonts w:cs="Arial"/>
          <w:lang w:val="es-ES_tradnl"/>
        </w:rPr>
        <w:t xml:space="preserve"> y que la primera ampliación no fue remitida en tiempo y forma a este Tribunal, </w:t>
      </w:r>
      <w:r w:rsidR="00D7094E">
        <w:rPr>
          <w:rFonts w:cs="Arial"/>
          <w:lang w:val="es-ES_tradnl"/>
        </w:rPr>
        <w:t xml:space="preserve">en Sesión de </w:t>
      </w:r>
      <w:r w:rsidR="00D03657">
        <w:rPr>
          <w:rFonts w:cs="Arial"/>
          <w:lang w:val="es-ES_tradnl"/>
        </w:rPr>
        <w:t>7 de marzo de 2019,</w:t>
      </w:r>
      <w:r w:rsidR="00F65295">
        <w:rPr>
          <w:rFonts w:cs="Arial"/>
          <w:lang w:val="es-ES_tradnl"/>
        </w:rPr>
        <w:t xml:space="preserve"> </w:t>
      </w:r>
      <w:r w:rsidR="00D7094E">
        <w:rPr>
          <w:rFonts w:cs="Arial"/>
          <w:lang w:val="es-ES_tradnl"/>
        </w:rPr>
        <w:t>este Tribunal acordó ob</w:t>
      </w:r>
      <w:r w:rsidR="00F65295">
        <w:rPr>
          <w:rFonts w:cs="Arial"/>
          <w:lang w:val="es-ES_tradnl"/>
        </w:rPr>
        <w:t xml:space="preserve">servar los gastos de las respectivas ampliaciones por los montos </w:t>
      </w:r>
      <w:r w:rsidR="00D03657">
        <w:rPr>
          <w:rFonts w:cs="Arial"/>
          <w:lang w:val="es-ES_tradnl"/>
        </w:rPr>
        <w:t>totales</w:t>
      </w:r>
      <w:r w:rsidR="00F65295">
        <w:rPr>
          <w:rFonts w:cs="Arial"/>
          <w:lang w:val="es-ES_tradnl"/>
        </w:rPr>
        <w:t xml:space="preserve"> de $</w:t>
      </w:r>
      <w:r>
        <w:rPr>
          <w:rFonts w:cs="Arial"/>
          <w:lang w:val="es-ES_tradnl"/>
        </w:rPr>
        <w:t xml:space="preserve"> </w:t>
      </w:r>
      <w:r w:rsidR="00F65295">
        <w:rPr>
          <w:rFonts w:cs="Arial"/>
          <w:lang w:val="es-ES_tradnl"/>
        </w:rPr>
        <w:t xml:space="preserve">612.759,30 y </w:t>
      </w:r>
      <w:r w:rsidR="006D7C7F">
        <w:rPr>
          <w:rFonts w:cs="Arial"/>
          <w:lang w:val="es-ES_tradnl"/>
        </w:rPr>
        <w:t>$</w:t>
      </w:r>
      <w:r w:rsidR="00D7094E">
        <w:rPr>
          <w:rFonts w:cs="Arial"/>
          <w:lang w:val="es-ES_tradnl"/>
        </w:rPr>
        <w:t xml:space="preserve"> </w:t>
      </w:r>
      <w:r w:rsidR="00F65295">
        <w:rPr>
          <w:rFonts w:cs="Arial"/>
          <w:lang w:val="es-ES_tradnl"/>
        </w:rPr>
        <w:t>17.721. 441</w:t>
      </w:r>
      <w:r w:rsidR="00D7094E">
        <w:rPr>
          <w:rFonts w:cs="Arial"/>
          <w:lang w:val="es-ES_tradnl"/>
        </w:rPr>
        <w:t xml:space="preserve"> respectivamente</w:t>
      </w:r>
      <w:r w:rsidR="006D7C7F">
        <w:rPr>
          <w:rFonts w:cs="Arial"/>
          <w:lang w:val="es-ES_tradnl"/>
        </w:rPr>
        <w:t>;</w:t>
      </w:r>
    </w:p>
    <w:p w:rsidR="00E57ABC" w:rsidRDefault="00D7094E" w:rsidP="00D27E9C">
      <w:pPr>
        <w:spacing w:line="360" w:lineRule="auto"/>
        <w:ind w:firstLine="2410"/>
        <w:jc w:val="both"/>
        <w:rPr>
          <w:rFonts w:cs="Arial"/>
          <w:lang w:val="es-ES_tradnl"/>
        </w:rPr>
      </w:pPr>
      <w:r>
        <w:rPr>
          <w:rFonts w:cs="Arial"/>
          <w:b/>
          <w:lang w:val="es-ES_tradnl"/>
        </w:rPr>
        <w:t xml:space="preserve"> 8</w:t>
      </w:r>
      <w:r w:rsidR="00E57ABC" w:rsidRPr="00D27E9C">
        <w:rPr>
          <w:rFonts w:cs="Arial"/>
          <w:b/>
          <w:lang w:val="es-ES_tradnl"/>
        </w:rPr>
        <w:t>)</w:t>
      </w:r>
      <w:r w:rsidR="00E57ABC">
        <w:rPr>
          <w:rFonts w:cs="Arial"/>
          <w:lang w:val="es-ES_tradnl"/>
        </w:rPr>
        <w:t xml:space="preserve"> que por Resolución Nº 31/019 de fecha 29 de marzo de 2019, la Unidad Centralizada de Adquisiciones, expresa que:</w:t>
      </w:r>
    </w:p>
    <w:p w:rsidR="00E57ABC" w:rsidRDefault="00D7094E" w:rsidP="00180658">
      <w:pPr>
        <w:spacing w:line="360" w:lineRule="auto"/>
        <w:jc w:val="both"/>
        <w:rPr>
          <w:rFonts w:cs="Arial"/>
          <w:lang w:val="es-ES_tradnl"/>
        </w:rPr>
      </w:pPr>
      <w:r>
        <w:rPr>
          <w:rFonts w:cs="Arial"/>
          <w:b/>
          <w:lang w:val="es-ES_tradnl"/>
        </w:rPr>
        <w:t>8</w:t>
      </w:r>
      <w:r w:rsidR="00E57ABC" w:rsidRPr="00D27E9C">
        <w:rPr>
          <w:rFonts w:cs="Arial"/>
          <w:b/>
          <w:lang w:val="es-ES_tradnl"/>
        </w:rPr>
        <w:t>.1</w:t>
      </w:r>
      <w:r>
        <w:rPr>
          <w:rFonts w:cs="Arial"/>
          <w:b/>
          <w:lang w:val="es-ES_tradnl"/>
        </w:rPr>
        <w:t>)</w:t>
      </w:r>
      <w:r w:rsidR="00E57ABC">
        <w:rPr>
          <w:rFonts w:cs="Arial"/>
          <w:lang w:val="es-ES_tradnl"/>
        </w:rPr>
        <w:t xml:space="preserve"> la primera ampliación del presente Llamado -dispuesta por Resolución </w:t>
      </w:r>
      <w:r w:rsidR="00180658">
        <w:rPr>
          <w:rFonts w:cs="Arial"/>
          <w:lang w:val="es-ES_tradnl"/>
        </w:rPr>
        <w:t xml:space="preserve">     </w:t>
      </w:r>
      <w:r w:rsidR="00E57ABC">
        <w:rPr>
          <w:rFonts w:cs="Arial"/>
          <w:lang w:val="es-ES_tradnl"/>
        </w:rPr>
        <w:t>Nº 103/018 de fecha 17 de setiembre de 2018 – fue remitida a este</w:t>
      </w:r>
      <w:r w:rsidR="006D7C7F">
        <w:rPr>
          <w:rFonts w:cs="Arial"/>
          <w:lang w:val="es-ES_tradnl"/>
        </w:rPr>
        <w:t xml:space="preserve"> </w:t>
      </w:r>
      <w:r w:rsidR="00E57ABC">
        <w:rPr>
          <w:rFonts w:cs="Arial"/>
          <w:lang w:val="es-ES_tradnl"/>
        </w:rPr>
        <w:t>Tribunal que fuere observada por Resolución Nº 3527/018 y su gasto fue reiterado por dicha Unidad por Resolución 132/018 de fecha 5 de noviembre de 2018;</w:t>
      </w:r>
    </w:p>
    <w:p w:rsidR="00E57ABC" w:rsidRDefault="00D7094E" w:rsidP="00180658">
      <w:pPr>
        <w:spacing w:line="360" w:lineRule="auto"/>
        <w:jc w:val="both"/>
        <w:rPr>
          <w:rFonts w:cs="Arial"/>
          <w:lang w:val="es-ES_tradnl"/>
        </w:rPr>
      </w:pPr>
      <w:r>
        <w:rPr>
          <w:rFonts w:cs="Arial"/>
          <w:b/>
          <w:lang w:val="es-ES_tradnl"/>
        </w:rPr>
        <w:t>8</w:t>
      </w:r>
      <w:r w:rsidR="00E57ABC" w:rsidRPr="000F5A20">
        <w:rPr>
          <w:rFonts w:cs="Arial"/>
          <w:b/>
          <w:lang w:val="es-ES_tradnl"/>
        </w:rPr>
        <w:t>.2</w:t>
      </w:r>
      <w:r>
        <w:rPr>
          <w:rFonts w:cs="Arial"/>
          <w:b/>
          <w:lang w:val="es-ES_tradnl"/>
        </w:rPr>
        <w:t>)</w:t>
      </w:r>
      <w:r w:rsidR="00E57ABC">
        <w:rPr>
          <w:rFonts w:cs="Arial"/>
          <w:lang w:val="es-ES_tradnl"/>
        </w:rPr>
        <w:t xml:space="preserve"> se entiende pertinente </w:t>
      </w:r>
      <w:r w:rsidR="004141EE">
        <w:rPr>
          <w:rFonts w:cs="Arial"/>
          <w:lang w:val="es-ES_tradnl"/>
        </w:rPr>
        <w:t>insistir</w:t>
      </w:r>
      <w:r w:rsidR="00E57ABC">
        <w:rPr>
          <w:rFonts w:cs="Arial"/>
          <w:lang w:val="es-ES_tradnl"/>
        </w:rPr>
        <w:t xml:space="preserve"> </w:t>
      </w:r>
      <w:r w:rsidR="004141EE">
        <w:rPr>
          <w:rFonts w:cs="Arial"/>
          <w:lang w:val="es-ES_tradnl"/>
        </w:rPr>
        <w:t>en</w:t>
      </w:r>
      <w:r w:rsidR="00E57ABC">
        <w:rPr>
          <w:rFonts w:cs="Arial"/>
          <w:lang w:val="es-ES_tradnl"/>
        </w:rPr>
        <w:t xml:space="preserve"> el gasto, teniendo en cuenta los requerimientos imp</w:t>
      </w:r>
      <w:r w:rsidR="00C27795">
        <w:rPr>
          <w:rFonts w:cs="Arial"/>
          <w:lang w:val="es-ES_tradnl"/>
        </w:rPr>
        <w:t xml:space="preserve">ostergables de los Organismos en </w:t>
      </w:r>
      <w:r w:rsidR="004141EE">
        <w:rPr>
          <w:rFonts w:cs="Arial"/>
          <w:lang w:val="es-ES_tradnl"/>
        </w:rPr>
        <w:t>relación</w:t>
      </w:r>
      <w:r w:rsidR="00C27795">
        <w:rPr>
          <w:rFonts w:cs="Arial"/>
          <w:lang w:val="es-ES_tradnl"/>
        </w:rPr>
        <w:t xml:space="preserve"> al a</w:t>
      </w:r>
      <w:r w:rsidR="006D7C7F">
        <w:rPr>
          <w:rFonts w:cs="Arial"/>
          <w:lang w:val="es-ES_tradnl"/>
        </w:rPr>
        <w:t>bastecimiento de esos alimentos;</w:t>
      </w:r>
    </w:p>
    <w:p w:rsidR="00C27795" w:rsidRDefault="00D7094E" w:rsidP="00180658">
      <w:pPr>
        <w:spacing w:line="360" w:lineRule="auto"/>
        <w:jc w:val="both"/>
        <w:rPr>
          <w:rFonts w:cs="Arial"/>
          <w:lang w:val="es-ES_tradnl"/>
        </w:rPr>
      </w:pPr>
      <w:r>
        <w:rPr>
          <w:rFonts w:cs="Arial"/>
          <w:b/>
          <w:lang w:val="es-ES_tradnl"/>
        </w:rPr>
        <w:t>8</w:t>
      </w:r>
      <w:r w:rsidR="00C27795" w:rsidRPr="000F5A20">
        <w:rPr>
          <w:rFonts w:cs="Arial"/>
          <w:b/>
          <w:lang w:val="es-ES_tradnl"/>
        </w:rPr>
        <w:t>.3</w:t>
      </w:r>
      <w:r>
        <w:rPr>
          <w:rFonts w:cs="Arial"/>
          <w:b/>
          <w:lang w:val="es-ES_tradnl"/>
        </w:rPr>
        <w:t>)</w:t>
      </w:r>
      <w:r w:rsidR="00C27795">
        <w:rPr>
          <w:rFonts w:cs="Arial"/>
          <w:lang w:val="es-ES_tradnl"/>
        </w:rPr>
        <w:t xml:space="preserve"> en </w:t>
      </w:r>
      <w:r w:rsidR="004141EE">
        <w:rPr>
          <w:rFonts w:cs="Arial"/>
          <w:lang w:val="es-ES_tradnl"/>
        </w:rPr>
        <w:t>conclusión</w:t>
      </w:r>
      <w:r w:rsidR="00630116">
        <w:rPr>
          <w:rFonts w:cs="Arial"/>
          <w:lang w:val="es-ES_tradnl"/>
        </w:rPr>
        <w:t>, resuelve reiterar e</w:t>
      </w:r>
      <w:r w:rsidR="00C27795">
        <w:rPr>
          <w:rFonts w:cs="Arial"/>
          <w:lang w:val="es-ES_tradnl"/>
        </w:rPr>
        <w:t xml:space="preserve">l gasto dispuesto por la </w:t>
      </w:r>
      <w:r>
        <w:rPr>
          <w:rFonts w:cs="Arial"/>
          <w:lang w:val="es-ES_tradnl"/>
        </w:rPr>
        <w:t>R</w:t>
      </w:r>
      <w:r w:rsidR="00C27795">
        <w:rPr>
          <w:rFonts w:cs="Arial"/>
          <w:lang w:val="es-ES_tradnl"/>
        </w:rPr>
        <w:t xml:space="preserve">esolución </w:t>
      </w:r>
      <w:r w:rsidR="00180658">
        <w:rPr>
          <w:rFonts w:cs="Arial"/>
          <w:lang w:val="es-ES_tradnl"/>
        </w:rPr>
        <w:t xml:space="preserve">        </w:t>
      </w:r>
      <w:r w:rsidR="00C27795">
        <w:rPr>
          <w:rFonts w:cs="Arial"/>
          <w:lang w:val="es-ES_tradnl"/>
        </w:rPr>
        <w:t xml:space="preserve">Nº 8/019 de fecha 24 de </w:t>
      </w:r>
      <w:r w:rsidR="004141EE">
        <w:rPr>
          <w:rFonts w:cs="Arial"/>
          <w:lang w:val="es-ES_tradnl"/>
        </w:rPr>
        <w:t>enero</w:t>
      </w:r>
      <w:r w:rsidR="00C27795">
        <w:rPr>
          <w:rFonts w:cs="Arial"/>
          <w:lang w:val="es-ES_tradnl"/>
        </w:rPr>
        <w:t xml:space="preserve"> de 2019</w:t>
      </w:r>
      <w:r>
        <w:rPr>
          <w:rFonts w:cs="Arial"/>
          <w:lang w:val="es-ES_tradnl"/>
        </w:rPr>
        <w:t>,</w:t>
      </w:r>
      <w:r w:rsidR="00C27795">
        <w:rPr>
          <w:rFonts w:cs="Arial"/>
          <w:lang w:val="es-ES_tradnl"/>
        </w:rPr>
        <w:t xml:space="preserve"> que </w:t>
      </w:r>
      <w:r w:rsidR="004141EE">
        <w:rPr>
          <w:rFonts w:cs="Arial"/>
          <w:lang w:val="es-ES_tradnl"/>
        </w:rPr>
        <w:t>amplió</w:t>
      </w:r>
      <w:r w:rsidR="006D7C7F">
        <w:rPr>
          <w:rFonts w:cs="Arial"/>
          <w:lang w:val="es-ES_tradnl"/>
        </w:rPr>
        <w:t xml:space="preserve"> el llamado;</w:t>
      </w:r>
    </w:p>
    <w:p w:rsidR="00C27795" w:rsidRDefault="00D7094E" w:rsidP="00180658">
      <w:pPr>
        <w:spacing w:line="360" w:lineRule="auto"/>
        <w:ind w:firstLine="2835"/>
        <w:jc w:val="both"/>
        <w:rPr>
          <w:rFonts w:cs="Arial"/>
          <w:lang w:val="es-ES_tradnl"/>
        </w:rPr>
      </w:pPr>
      <w:r>
        <w:rPr>
          <w:rFonts w:cs="Arial"/>
          <w:b/>
          <w:lang w:val="es-ES_tradnl"/>
        </w:rPr>
        <w:t>9</w:t>
      </w:r>
      <w:r w:rsidR="00C27795" w:rsidRPr="000F5A20">
        <w:rPr>
          <w:rFonts w:cs="Arial"/>
          <w:b/>
          <w:lang w:val="es-ES_tradnl"/>
        </w:rPr>
        <w:t>)</w:t>
      </w:r>
      <w:r w:rsidR="00C27795">
        <w:rPr>
          <w:rFonts w:cs="Arial"/>
          <w:lang w:val="es-ES_tradnl"/>
        </w:rPr>
        <w:t xml:space="preserve"> que</w:t>
      </w:r>
      <w:r w:rsidR="00E31B6A">
        <w:rPr>
          <w:rFonts w:cs="Arial"/>
          <w:lang w:val="es-ES_tradnl"/>
        </w:rPr>
        <w:t xml:space="preserve"> en</w:t>
      </w:r>
      <w:r>
        <w:rPr>
          <w:rFonts w:cs="Arial"/>
          <w:lang w:val="es-ES_tradnl"/>
        </w:rPr>
        <w:t xml:space="preserve"> esta </w:t>
      </w:r>
      <w:r w:rsidR="00E31B6A">
        <w:rPr>
          <w:rFonts w:cs="Arial"/>
          <w:lang w:val="es-ES_tradnl"/>
        </w:rPr>
        <w:t>oportunidad</w:t>
      </w:r>
      <w:r>
        <w:rPr>
          <w:rFonts w:cs="Arial"/>
          <w:lang w:val="es-ES_tradnl"/>
        </w:rPr>
        <w:t>,</w:t>
      </w:r>
      <w:r w:rsidR="00E31B6A">
        <w:rPr>
          <w:rFonts w:cs="Arial"/>
          <w:lang w:val="es-ES_tradnl"/>
        </w:rPr>
        <w:t xml:space="preserve"> se remite la</w:t>
      </w:r>
      <w:r w:rsidR="004141EE">
        <w:rPr>
          <w:rFonts w:cs="Arial"/>
          <w:lang w:val="es-ES_tradnl"/>
        </w:rPr>
        <w:t xml:space="preserve"> Resolución</w:t>
      </w:r>
      <w:r w:rsidR="00C27795">
        <w:rPr>
          <w:rFonts w:cs="Arial"/>
          <w:lang w:val="es-ES_tradnl"/>
        </w:rPr>
        <w:t xml:space="preserve"> Nº 35/01</w:t>
      </w:r>
      <w:r w:rsidR="008509D9">
        <w:rPr>
          <w:rFonts w:cs="Arial"/>
          <w:lang w:val="es-ES_tradnl"/>
        </w:rPr>
        <w:t>9 con fecha 12 de abril de 2019,</w:t>
      </w:r>
      <w:r w:rsidR="00C27795">
        <w:rPr>
          <w:rFonts w:cs="Arial"/>
          <w:lang w:val="es-ES_tradnl"/>
        </w:rPr>
        <w:t xml:space="preserve"> </w:t>
      </w:r>
      <w:r w:rsidR="006D7C7F">
        <w:rPr>
          <w:rFonts w:cs="Arial"/>
          <w:lang w:val="es-ES_tradnl"/>
        </w:rPr>
        <w:t xml:space="preserve">de </w:t>
      </w:r>
      <w:r w:rsidR="00C27795">
        <w:rPr>
          <w:rFonts w:cs="Arial"/>
          <w:lang w:val="es-ES_tradnl"/>
        </w:rPr>
        <w:t xml:space="preserve">la Unidad Centralizada de </w:t>
      </w:r>
      <w:r w:rsidR="00E31B6A">
        <w:rPr>
          <w:rFonts w:cs="Arial"/>
          <w:lang w:val="es-ES_tradnl"/>
        </w:rPr>
        <w:t>Adquisiciones</w:t>
      </w:r>
      <w:r w:rsidR="006D7C7F">
        <w:rPr>
          <w:rFonts w:cs="Arial"/>
          <w:lang w:val="es-ES_tradnl"/>
        </w:rPr>
        <w:t xml:space="preserve"> </w:t>
      </w:r>
      <w:r w:rsidR="008509D9">
        <w:rPr>
          <w:rFonts w:cs="Arial"/>
          <w:lang w:val="es-ES_tradnl"/>
        </w:rPr>
        <w:t xml:space="preserve">referente a una tercera ampliación, </w:t>
      </w:r>
      <w:r w:rsidR="006D7C7F">
        <w:rPr>
          <w:rFonts w:cs="Arial"/>
          <w:lang w:val="es-ES_tradnl"/>
        </w:rPr>
        <w:t>en donde se</w:t>
      </w:r>
      <w:r w:rsidR="00E31B6A">
        <w:rPr>
          <w:rFonts w:cs="Arial"/>
          <w:lang w:val="es-ES_tradnl"/>
        </w:rPr>
        <w:t xml:space="preserve"> expresa</w:t>
      </w:r>
      <w:r w:rsidR="00C27795">
        <w:rPr>
          <w:rFonts w:cs="Arial"/>
          <w:lang w:val="es-ES_tradnl"/>
        </w:rPr>
        <w:t>:</w:t>
      </w:r>
    </w:p>
    <w:p w:rsidR="00C27795" w:rsidRDefault="00D7094E" w:rsidP="00180658">
      <w:pPr>
        <w:spacing w:line="360" w:lineRule="auto"/>
        <w:jc w:val="both"/>
        <w:rPr>
          <w:rFonts w:cs="Arial"/>
          <w:lang w:val="es-ES_tradnl"/>
        </w:rPr>
      </w:pPr>
      <w:r>
        <w:rPr>
          <w:rFonts w:cs="Arial"/>
          <w:b/>
          <w:lang w:val="es-ES_tradnl"/>
        </w:rPr>
        <w:t>9</w:t>
      </w:r>
      <w:r w:rsidR="00C27795" w:rsidRPr="000F5A20">
        <w:rPr>
          <w:rFonts w:cs="Arial"/>
          <w:b/>
          <w:lang w:val="es-ES_tradnl"/>
        </w:rPr>
        <w:t>.1</w:t>
      </w:r>
      <w:r>
        <w:rPr>
          <w:rFonts w:cs="Arial"/>
          <w:b/>
          <w:lang w:val="es-ES_tradnl"/>
        </w:rPr>
        <w:t>)</w:t>
      </w:r>
      <w:r w:rsidR="00C27795">
        <w:rPr>
          <w:rFonts w:cs="Arial"/>
          <w:lang w:val="es-ES_tradnl"/>
        </w:rPr>
        <w:t xml:space="preserve"> </w:t>
      </w:r>
      <w:r w:rsidR="00264CE3">
        <w:rPr>
          <w:rFonts w:cs="Arial"/>
          <w:lang w:val="es-ES_tradnl"/>
        </w:rPr>
        <w:t>que</w:t>
      </w:r>
      <w:r w:rsidR="00C27795">
        <w:rPr>
          <w:rFonts w:cs="Arial"/>
          <w:lang w:val="es-ES_tradnl"/>
        </w:rPr>
        <w:t xml:space="preserve"> del análisis efectuado por el Sector Alimentos sobre los </w:t>
      </w:r>
      <w:r w:rsidR="004141EE">
        <w:rPr>
          <w:rFonts w:cs="Arial"/>
          <w:lang w:val="es-ES_tradnl"/>
        </w:rPr>
        <w:t>saldos</w:t>
      </w:r>
      <w:r w:rsidR="00C27795">
        <w:rPr>
          <w:rFonts w:cs="Arial"/>
          <w:lang w:val="es-ES_tradnl"/>
        </w:rPr>
        <w:t xml:space="preserve"> existentes a </w:t>
      </w:r>
      <w:r w:rsidR="004141EE">
        <w:rPr>
          <w:rFonts w:cs="Arial"/>
          <w:lang w:val="es-ES_tradnl"/>
        </w:rPr>
        <w:t>la</w:t>
      </w:r>
      <w:r w:rsidR="00C27795">
        <w:rPr>
          <w:rFonts w:cs="Arial"/>
          <w:lang w:val="es-ES_tradnl"/>
        </w:rPr>
        <w:t xml:space="preserve"> fecha, se constató que es necesario realizar una nueva ampliación de las cantidades adjudicadas, con el fin de atender los </w:t>
      </w:r>
      <w:r w:rsidR="004141EE">
        <w:rPr>
          <w:rFonts w:cs="Arial"/>
          <w:lang w:val="es-ES_tradnl"/>
        </w:rPr>
        <w:t>requerimientos</w:t>
      </w:r>
      <w:r w:rsidR="00C27795">
        <w:rPr>
          <w:rFonts w:cs="Arial"/>
          <w:lang w:val="es-ES_tradnl"/>
        </w:rPr>
        <w:t xml:space="preserve"> de los Organismos usuarios y la </w:t>
      </w:r>
      <w:r w:rsidR="004141EE">
        <w:rPr>
          <w:rFonts w:cs="Arial"/>
          <w:lang w:val="es-ES_tradnl"/>
        </w:rPr>
        <w:t>solicitud</w:t>
      </w:r>
      <w:r w:rsidR="00C27795">
        <w:rPr>
          <w:rFonts w:cs="Arial"/>
          <w:lang w:val="es-ES_tradnl"/>
        </w:rPr>
        <w:t xml:space="preserve"> de </w:t>
      </w:r>
      <w:r w:rsidR="004141EE">
        <w:rPr>
          <w:rFonts w:cs="Arial"/>
          <w:lang w:val="es-ES_tradnl"/>
        </w:rPr>
        <w:t>ampliación</w:t>
      </w:r>
      <w:r w:rsidR="00C27795">
        <w:rPr>
          <w:rFonts w:cs="Arial"/>
          <w:lang w:val="es-ES_tradnl"/>
        </w:rPr>
        <w:t xml:space="preserve"> del Comando General del Ejército para el próximo bimestre, al estar en proceso de </w:t>
      </w:r>
      <w:r w:rsidR="004141EE">
        <w:rPr>
          <w:rFonts w:cs="Arial"/>
          <w:lang w:val="es-ES_tradnl"/>
        </w:rPr>
        <w:t>planificación</w:t>
      </w:r>
      <w:r w:rsidR="00C27795">
        <w:rPr>
          <w:rFonts w:cs="Arial"/>
          <w:lang w:val="es-ES_tradnl"/>
        </w:rPr>
        <w:t xml:space="preserve"> de un nuevo Llamado</w:t>
      </w:r>
      <w:r>
        <w:rPr>
          <w:rFonts w:cs="Arial"/>
          <w:lang w:val="es-ES_tradnl"/>
        </w:rPr>
        <w:t>;</w:t>
      </w:r>
    </w:p>
    <w:p w:rsidR="00C27795" w:rsidRDefault="00D7094E" w:rsidP="00180658">
      <w:pPr>
        <w:spacing w:line="360" w:lineRule="auto"/>
        <w:jc w:val="both"/>
        <w:rPr>
          <w:rFonts w:cs="Arial"/>
          <w:lang w:val="es-ES_tradnl"/>
        </w:rPr>
      </w:pPr>
      <w:r>
        <w:rPr>
          <w:rFonts w:cs="Arial"/>
          <w:b/>
          <w:lang w:val="es-ES_tradnl"/>
        </w:rPr>
        <w:t>9</w:t>
      </w:r>
      <w:r w:rsidR="00C27795" w:rsidRPr="00264CE3">
        <w:rPr>
          <w:rFonts w:cs="Arial"/>
          <w:b/>
          <w:lang w:val="es-ES_tradnl"/>
        </w:rPr>
        <w:t>.2</w:t>
      </w:r>
      <w:r>
        <w:rPr>
          <w:rFonts w:cs="Arial"/>
          <w:b/>
          <w:lang w:val="es-ES_tradnl"/>
        </w:rPr>
        <w:t>)</w:t>
      </w:r>
      <w:r w:rsidR="00C27795">
        <w:rPr>
          <w:rFonts w:cs="Arial"/>
          <w:lang w:val="es-ES_tradnl"/>
        </w:rPr>
        <w:t xml:space="preserve"> que dicha ampliación se ampara en el </w:t>
      </w:r>
      <w:r w:rsidR="004141EE">
        <w:rPr>
          <w:rFonts w:cs="Arial"/>
          <w:lang w:val="es-ES_tradnl"/>
        </w:rPr>
        <w:t>mecanismo</w:t>
      </w:r>
      <w:r w:rsidR="00C27795">
        <w:rPr>
          <w:rFonts w:cs="Arial"/>
          <w:lang w:val="es-ES_tradnl"/>
        </w:rPr>
        <w:t xml:space="preserve"> previsto en el </w:t>
      </w:r>
      <w:r w:rsidR="004141EE">
        <w:rPr>
          <w:rFonts w:cs="Arial"/>
          <w:lang w:val="es-ES_tradnl"/>
        </w:rPr>
        <w:t>artículo</w:t>
      </w:r>
      <w:r w:rsidR="00C27795">
        <w:rPr>
          <w:rFonts w:cs="Arial"/>
          <w:lang w:val="es-ES_tradnl"/>
        </w:rPr>
        <w:t xml:space="preserve"> 74 del T.O.C.A.F., contándose para ello con la conformidad de las firmas </w:t>
      </w:r>
      <w:r w:rsidR="00630116">
        <w:rPr>
          <w:rFonts w:cs="Arial"/>
          <w:lang w:val="es-ES_tradnl"/>
        </w:rPr>
        <w:t>adjudicataria</w:t>
      </w:r>
      <w:r w:rsidR="00B25095">
        <w:rPr>
          <w:rFonts w:cs="Arial"/>
          <w:lang w:val="es-ES_tradnl"/>
        </w:rPr>
        <w:t>s,</w:t>
      </w:r>
      <w:r w:rsidR="00630116">
        <w:rPr>
          <w:rFonts w:cs="Arial"/>
          <w:lang w:val="es-ES_tradnl"/>
        </w:rPr>
        <w:t xml:space="preserve"> </w:t>
      </w:r>
      <w:r w:rsidR="00C27795">
        <w:rPr>
          <w:rFonts w:cs="Arial"/>
          <w:lang w:val="es-ES_tradnl"/>
        </w:rPr>
        <w:t xml:space="preserve">con </w:t>
      </w:r>
      <w:r w:rsidR="004141EE">
        <w:rPr>
          <w:rFonts w:cs="Arial"/>
          <w:lang w:val="es-ES_tradnl"/>
        </w:rPr>
        <w:t>excepción</w:t>
      </w:r>
      <w:r w:rsidR="00C27795">
        <w:rPr>
          <w:rFonts w:cs="Arial"/>
          <w:lang w:val="es-ES_tradnl"/>
        </w:rPr>
        <w:t xml:space="preserve"> de las firmas LEDIBEL S.A. y RUDELI S.R.L.;</w:t>
      </w:r>
    </w:p>
    <w:p w:rsidR="00C27795" w:rsidRPr="00E9384D" w:rsidRDefault="00D7094E" w:rsidP="00180658">
      <w:pPr>
        <w:spacing w:line="360" w:lineRule="auto"/>
        <w:jc w:val="both"/>
        <w:rPr>
          <w:rFonts w:cs="Arial"/>
          <w:lang w:val="es-ES_tradnl"/>
        </w:rPr>
      </w:pPr>
      <w:r>
        <w:rPr>
          <w:rFonts w:cs="Arial"/>
          <w:b/>
          <w:lang w:val="es-ES_tradnl"/>
        </w:rPr>
        <w:t>9</w:t>
      </w:r>
      <w:r w:rsidR="00C27795" w:rsidRPr="00264CE3">
        <w:rPr>
          <w:rFonts w:cs="Arial"/>
          <w:b/>
          <w:lang w:val="es-ES_tradnl"/>
        </w:rPr>
        <w:t>.3</w:t>
      </w:r>
      <w:r>
        <w:rPr>
          <w:rFonts w:cs="Arial"/>
          <w:b/>
          <w:lang w:val="es-ES_tradnl"/>
        </w:rPr>
        <w:t>)</w:t>
      </w:r>
      <w:r w:rsidR="00C27795">
        <w:rPr>
          <w:rFonts w:cs="Arial"/>
          <w:lang w:val="es-ES_tradnl"/>
        </w:rPr>
        <w:t xml:space="preserve"> </w:t>
      </w:r>
      <w:r w:rsidR="00C27795" w:rsidRPr="00B25095">
        <w:rPr>
          <w:rFonts w:cs="Arial"/>
          <w:lang w:val="es-ES_tradnl"/>
        </w:rPr>
        <w:t xml:space="preserve">que en virtud de haberse </w:t>
      </w:r>
      <w:r w:rsidR="004141EE" w:rsidRPr="00B25095">
        <w:rPr>
          <w:rFonts w:cs="Arial"/>
          <w:lang w:val="es-ES_tradnl"/>
        </w:rPr>
        <w:t>consumido</w:t>
      </w:r>
      <w:r w:rsidR="00C27795" w:rsidRPr="00B25095">
        <w:rPr>
          <w:rFonts w:cs="Arial"/>
          <w:lang w:val="es-ES_tradnl"/>
        </w:rPr>
        <w:t xml:space="preserve"> en promedio </w:t>
      </w:r>
      <w:r w:rsidR="004141EE" w:rsidRPr="00B25095">
        <w:rPr>
          <w:rFonts w:cs="Arial"/>
          <w:lang w:val="es-ES_tradnl"/>
        </w:rPr>
        <w:t>más</w:t>
      </w:r>
      <w:r w:rsidR="00C27795" w:rsidRPr="00B25095">
        <w:rPr>
          <w:rFonts w:cs="Arial"/>
          <w:lang w:val="es-ES_tradnl"/>
        </w:rPr>
        <w:t xml:space="preserve"> del 90% de la cantidad adjudicada para el ítem, no resulta </w:t>
      </w:r>
      <w:r w:rsidR="0085618F">
        <w:rPr>
          <w:rFonts w:cs="Arial"/>
          <w:lang w:val="es-ES_tradnl"/>
        </w:rPr>
        <w:t xml:space="preserve">necesario </w:t>
      </w:r>
      <w:r w:rsidR="004141EE" w:rsidRPr="00B25095">
        <w:rPr>
          <w:rFonts w:cs="Arial"/>
          <w:lang w:val="es-ES_tradnl"/>
        </w:rPr>
        <w:t>solicitar</w:t>
      </w:r>
      <w:r w:rsidR="00C27795" w:rsidRPr="00B25095">
        <w:rPr>
          <w:rFonts w:cs="Arial"/>
          <w:lang w:val="es-ES_tradnl"/>
        </w:rPr>
        <w:t xml:space="preserve"> integración de nuevas </w:t>
      </w:r>
      <w:r w:rsidR="004141EE" w:rsidRPr="00B25095">
        <w:rPr>
          <w:rFonts w:cs="Arial"/>
          <w:lang w:val="es-ES_tradnl"/>
        </w:rPr>
        <w:t>Garantías</w:t>
      </w:r>
      <w:r w:rsidR="00C27795" w:rsidRPr="00B25095">
        <w:rPr>
          <w:rFonts w:cs="Arial"/>
          <w:lang w:val="es-ES_tradnl"/>
        </w:rPr>
        <w:t xml:space="preserve"> de Fiel Cumplimiento del Contrato, al mantenerse las presentadas originalmente, con excepción de la firma MARUBY S.A</w:t>
      </w:r>
      <w:r w:rsidR="00B25095" w:rsidRPr="00B25095">
        <w:rPr>
          <w:rFonts w:cs="Arial"/>
          <w:lang w:val="es-ES_tradnl"/>
        </w:rPr>
        <w:t>;</w:t>
      </w:r>
    </w:p>
    <w:p w:rsidR="00C27795" w:rsidRPr="00E9384D" w:rsidRDefault="00D7094E" w:rsidP="00180658">
      <w:pPr>
        <w:spacing w:line="360" w:lineRule="auto"/>
        <w:jc w:val="both"/>
        <w:rPr>
          <w:rFonts w:cs="Arial"/>
          <w:lang w:val="es-ES_tradnl"/>
        </w:rPr>
      </w:pPr>
      <w:r>
        <w:rPr>
          <w:rFonts w:cs="Arial"/>
          <w:b/>
          <w:lang w:val="es-ES_tradnl"/>
        </w:rPr>
        <w:t>9</w:t>
      </w:r>
      <w:r w:rsidR="00630116" w:rsidRPr="00630116">
        <w:rPr>
          <w:rFonts w:cs="Arial"/>
          <w:b/>
          <w:lang w:val="es-ES_tradnl"/>
        </w:rPr>
        <w:t>.4</w:t>
      </w:r>
      <w:r>
        <w:rPr>
          <w:rFonts w:cs="Arial"/>
          <w:b/>
          <w:lang w:val="es-ES_tradnl"/>
        </w:rPr>
        <w:t>)</w:t>
      </w:r>
      <w:r w:rsidR="00C27795" w:rsidRPr="00E9384D">
        <w:rPr>
          <w:rFonts w:cs="Arial"/>
          <w:lang w:val="es-ES_tradnl"/>
        </w:rPr>
        <w:t xml:space="preserve"> que </w:t>
      </w:r>
      <w:r w:rsidR="00B25095">
        <w:rPr>
          <w:rFonts w:cs="Arial"/>
          <w:lang w:val="es-ES_tradnl"/>
        </w:rPr>
        <w:t xml:space="preserve">se </w:t>
      </w:r>
      <w:r w:rsidR="00C27795" w:rsidRPr="00E9384D">
        <w:rPr>
          <w:rFonts w:cs="Arial"/>
          <w:lang w:val="es-ES_tradnl"/>
        </w:rPr>
        <w:t xml:space="preserve">resuelve ampliar la </w:t>
      </w:r>
      <w:r w:rsidR="004141EE" w:rsidRPr="00E9384D">
        <w:rPr>
          <w:rFonts w:cs="Arial"/>
          <w:lang w:val="es-ES_tradnl"/>
        </w:rPr>
        <w:t>adjudicación</w:t>
      </w:r>
      <w:r w:rsidR="00C27795" w:rsidRPr="00E9384D">
        <w:rPr>
          <w:rFonts w:cs="Arial"/>
          <w:lang w:val="es-ES_tradnl"/>
        </w:rPr>
        <w:t xml:space="preserve"> del Llamado Nº 22/017, seg</w:t>
      </w:r>
      <w:r w:rsidR="00A249BB">
        <w:rPr>
          <w:rFonts w:cs="Arial"/>
          <w:lang w:val="es-ES_tradnl"/>
        </w:rPr>
        <w:t xml:space="preserve">ún </w:t>
      </w:r>
      <w:r w:rsidR="00C27795" w:rsidRPr="00E9384D">
        <w:rPr>
          <w:rFonts w:cs="Arial"/>
          <w:lang w:val="es-ES_tradnl"/>
        </w:rPr>
        <w:t xml:space="preserve">el detalle que surge en los Anexos I y II adjuntos, que forman parte de la presente </w:t>
      </w:r>
      <w:r w:rsidR="004141EE" w:rsidRPr="00E9384D">
        <w:rPr>
          <w:rFonts w:cs="Arial"/>
          <w:lang w:val="es-ES_tradnl"/>
        </w:rPr>
        <w:t>Resolución</w:t>
      </w:r>
      <w:r w:rsidR="00C27795" w:rsidRPr="00E9384D">
        <w:rPr>
          <w:rFonts w:cs="Arial"/>
          <w:lang w:val="es-ES_tradnl"/>
        </w:rPr>
        <w:t>, en pesos uruguayos y a valores de las ofertas</w:t>
      </w:r>
      <w:r w:rsidR="00E31B6A" w:rsidRPr="00E9384D">
        <w:rPr>
          <w:rFonts w:cs="Arial"/>
          <w:lang w:val="es-ES_tradnl"/>
        </w:rPr>
        <w:t>;</w:t>
      </w:r>
    </w:p>
    <w:p w:rsidR="00E31B6A" w:rsidRPr="00E9384D" w:rsidRDefault="00D7094E" w:rsidP="00180658">
      <w:pPr>
        <w:spacing w:line="360" w:lineRule="auto"/>
        <w:jc w:val="both"/>
        <w:rPr>
          <w:rFonts w:cs="Arial"/>
          <w:lang w:val="es-ES_tradnl"/>
        </w:rPr>
      </w:pPr>
      <w:r>
        <w:rPr>
          <w:rFonts w:cs="Arial"/>
          <w:b/>
          <w:lang w:val="es-ES_tradnl"/>
        </w:rPr>
        <w:t>9</w:t>
      </w:r>
      <w:r w:rsidR="00E31B6A" w:rsidRPr="00630116">
        <w:rPr>
          <w:rFonts w:cs="Arial"/>
          <w:b/>
          <w:lang w:val="es-ES_tradnl"/>
        </w:rPr>
        <w:t>.5</w:t>
      </w:r>
      <w:r>
        <w:rPr>
          <w:rFonts w:cs="Arial"/>
          <w:b/>
          <w:lang w:val="es-ES_tradnl"/>
        </w:rPr>
        <w:t>)</w:t>
      </w:r>
      <w:r w:rsidR="00E31B6A" w:rsidRPr="00E9384D">
        <w:rPr>
          <w:rFonts w:cs="Arial"/>
          <w:lang w:val="es-ES_tradnl"/>
        </w:rPr>
        <w:t xml:space="preserve"> que del Anexo I – ítems ampliados -  que acompaña esta última Resolución de ampliación</w:t>
      </w:r>
      <w:r w:rsidR="006D7C7F">
        <w:rPr>
          <w:rFonts w:cs="Arial"/>
          <w:lang w:val="es-ES_tradnl"/>
        </w:rPr>
        <w:t>,</w:t>
      </w:r>
      <w:r w:rsidR="00E31B6A" w:rsidRPr="00E9384D">
        <w:rPr>
          <w:rFonts w:cs="Arial"/>
          <w:lang w:val="es-ES_tradnl"/>
        </w:rPr>
        <w:t xml:space="preserve"> se establece que: </w:t>
      </w:r>
    </w:p>
    <w:p w:rsidR="00E9384D" w:rsidRDefault="00D7094E" w:rsidP="00180658">
      <w:pPr>
        <w:spacing w:line="360" w:lineRule="auto"/>
        <w:jc w:val="both"/>
        <w:rPr>
          <w:rFonts w:cs="Arial"/>
          <w:b/>
          <w:bCs/>
          <w:color w:val="000000"/>
          <w:lang w:val="es-UY" w:eastAsia="es-UY"/>
        </w:rPr>
      </w:pPr>
      <w:r>
        <w:rPr>
          <w:rFonts w:cs="Arial"/>
          <w:b/>
          <w:lang w:val="es-ES_tradnl"/>
        </w:rPr>
        <w:t>9</w:t>
      </w:r>
      <w:r w:rsidR="00E31B6A" w:rsidRPr="00630116">
        <w:rPr>
          <w:rFonts w:cs="Arial"/>
          <w:b/>
          <w:lang w:val="es-ES_tradnl"/>
        </w:rPr>
        <w:t>.5.1</w:t>
      </w:r>
      <w:r>
        <w:rPr>
          <w:rFonts w:cs="Arial"/>
          <w:b/>
          <w:lang w:val="es-ES_tradnl"/>
        </w:rPr>
        <w:t>)</w:t>
      </w:r>
      <w:r w:rsidR="00E31B6A" w:rsidRPr="00E9384D">
        <w:rPr>
          <w:rFonts w:cs="Arial"/>
          <w:lang w:val="es-ES_tradnl"/>
        </w:rPr>
        <w:t xml:space="preserve"> para los productos frutas y hortalizas</w:t>
      </w:r>
      <w:r w:rsidR="006D7C7F">
        <w:rPr>
          <w:rFonts w:cs="Arial"/>
          <w:lang w:val="es-ES_tradnl"/>
        </w:rPr>
        <w:t xml:space="preserve"> para </w:t>
      </w:r>
      <w:r w:rsidR="00030832" w:rsidRPr="00E9384D">
        <w:rPr>
          <w:rFonts w:cs="Arial"/>
          <w:lang w:val="es-ES_tradnl"/>
        </w:rPr>
        <w:t>Z</w:t>
      </w:r>
      <w:r w:rsidR="00E31B6A" w:rsidRPr="00E9384D">
        <w:rPr>
          <w:rFonts w:cs="Arial"/>
          <w:lang w:val="es-ES_tradnl"/>
        </w:rPr>
        <w:t>ona 1</w:t>
      </w:r>
      <w:r w:rsidR="004141EE" w:rsidRPr="00E9384D">
        <w:rPr>
          <w:rFonts w:cs="Arial"/>
          <w:lang w:val="es-ES_tradnl"/>
        </w:rPr>
        <w:t>A</w:t>
      </w:r>
      <w:r w:rsidR="004141EE">
        <w:rPr>
          <w:rFonts w:cs="Arial"/>
          <w:lang w:val="es-ES_tradnl"/>
        </w:rPr>
        <w:t>,</w:t>
      </w:r>
      <w:r w:rsidR="00030832" w:rsidRPr="00E9384D">
        <w:rPr>
          <w:rFonts w:cs="Arial"/>
          <w:lang w:val="es-ES_tradnl"/>
        </w:rPr>
        <w:t xml:space="preserve"> Z</w:t>
      </w:r>
      <w:r w:rsidR="00E31B6A" w:rsidRPr="00E9384D">
        <w:rPr>
          <w:rFonts w:cs="Arial"/>
          <w:lang w:val="es-ES_tradnl"/>
        </w:rPr>
        <w:t>ona 2A y Zona 4A, la ampliación es a favor de DIELMI S.R.L.</w:t>
      </w:r>
      <w:r w:rsidR="00030832" w:rsidRPr="00E9384D">
        <w:rPr>
          <w:rFonts w:cs="Arial"/>
          <w:lang w:val="es-ES_tradnl"/>
        </w:rPr>
        <w:t xml:space="preserve"> por los </w:t>
      </w:r>
      <w:r w:rsidR="0088351E">
        <w:rPr>
          <w:rFonts w:cs="Arial"/>
          <w:lang w:val="es-ES_tradnl"/>
        </w:rPr>
        <w:t xml:space="preserve">montos </w:t>
      </w:r>
      <w:r w:rsidR="00030832" w:rsidRPr="00E9384D">
        <w:rPr>
          <w:rFonts w:cs="Arial"/>
          <w:lang w:val="es-ES_tradnl"/>
        </w:rPr>
        <w:t xml:space="preserve">de Zona </w:t>
      </w:r>
      <w:r w:rsidR="008F497D" w:rsidRPr="00E9384D">
        <w:rPr>
          <w:rFonts w:cs="Arial"/>
          <w:lang w:val="es-ES_tradnl"/>
        </w:rPr>
        <w:t xml:space="preserve">1A </w:t>
      </w:r>
      <w:r w:rsidR="00180658">
        <w:rPr>
          <w:rFonts w:cs="Arial"/>
          <w:lang w:val="es-ES_tradnl"/>
        </w:rPr>
        <w:t xml:space="preserve">               </w:t>
      </w:r>
      <w:r w:rsidR="00030832" w:rsidRPr="00E9384D">
        <w:rPr>
          <w:rFonts w:cs="Arial"/>
          <w:lang w:val="es-ES_tradnl"/>
        </w:rPr>
        <w:t>$ 1.245.129</w:t>
      </w:r>
      <w:r w:rsidR="008F497D" w:rsidRPr="00E9384D">
        <w:rPr>
          <w:rFonts w:cs="Arial"/>
          <w:lang w:val="es-ES_tradnl"/>
        </w:rPr>
        <w:t>, Zona 2A</w:t>
      </w:r>
      <w:r w:rsidR="00E9384D">
        <w:rPr>
          <w:rFonts w:cs="Arial"/>
          <w:lang w:val="es-ES_tradnl"/>
        </w:rPr>
        <w:t xml:space="preserve"> $3.463.08</w:t>
      </w:r>
      <w:r w:rsidR="008F497D" w:rsidRPr="00E9384D">
        <w:rPr>
          <w:rFonts w:cs="Arial"/>
          <w:lang w:val="es-ES_tradnl"/>
        </w:rPr>
        <w:t>6</w:t>
      </w:r>
      <w:r w:rsidR="00EB1D90" w:rsidRPr="00E9384D">
        <w:rPr>
          <w:rFonts w:cs="Arial"/>
          <w:lang w:val="es-ES_tradnl"/>
        </w:rPr>
        <w:t xml:space="preserve"> y Zona 4A $ 968.011. Para la Zona 3A la ampliación es a favor de ARDIMIL S.A. y MAURO ROSA ANDREA NANCY por el monto de $ 2.761.246 para cada proveedor; siendo un total para el ítem Frutas y Hortalizas </w:t>
      </w:r>
      <w:r w:rsidR="00EB1D90" w:rsidRPr="00630116">
        <w:rPr>
          <w:rFonts w:cs="Arial"/>
          <w:lang w:val="es-ES_tradnl"/>
        </w:rPr>
        <w:t xml:space="preserve">de $ </w:t>
      </w:r>
      <w:r w:rsidR="00E9384D" w:rsidRPr="00630116">
        <w:rPr>
          <w:rFonts w:cs="Arial"/>
          <w:bCs/>
          <w:color w:val="000000"/>
          <w:lang w:val="es-UY" w:eastAsia="es-UY"/>
        </w:rPr>
        <w:t>11.198.718</w:t>
      </w:r>
      <w:r>
        <w:rPr>
          <w:rFonts w:cs="Arial"/>
          <w:bCs/>
          <w:color w:val="000000"/>
          <w:lang w:val="es-UY" w:eastAsia="es-UY"/>
        </w:rPr>
        <w:t>;</w:t>
      </w:r>
    </w:p>
    <w:p w:rsidR="00D77265" w:rsidRDefault="00D7094E" w:rsidP="00180658">
      <w:pPr>
        <w:spacing w:line="360" w:lineRule="auto"/>
        <w:jc w:val="both"/>
        <w:rPr>
          <w:rFonts w:cs="Arial"/>
          <w:b/>
          <w:bCs/>
          <w:color w:val="000000"/>
          <w:lang w:val="es-UY" w:eastAsia="es-UY"/>
        </w:rPr>
      </w:pPr>
      <w:r>
        <w:rPr>
          <w:rFonts w:cs="Arial"/>
          <w:b/>
          <w:bCs/>
          <w:color w:val="000000"/>
          <w:lang w:val="es-UY" w:eastAsia="es-UY"/>
        </w:rPr>
        <w:t>9</w:t>
      </w:r>
      <w:r w:rsidR="00D77265">
        <w:rPr>
          <w:rFonts w:cs="Arial"/>
          <w:b/>
          <w:bCs/>
          <w:color w:val="000000"/>
          <w:lang w:val="es-UY" w:eastAsia="es-UY"/>
        </w:rPr>
        <w:t>.5.2</w:t>
      </w:r>
      <w:r>
        <w:rPr>
          <w:rFonts w:cs="Arial"/>
          <w:b/>
          <w:bCs/>
          <w:color w:val="000000"/>
          <w:lang w:val="es-UY" w:eastAsia="es-UY"/>
        </w:rPr>
        <w:t>)</w:t>
      </w:r>
      <w:r w:rsidR="0088351E">
        <w:rPr>
          <w:rFonts w:cs="Arial"/>
          <w:b/>
          <w:bCs/>
          <w:color w:val="000000"/>
          <w:lang w:val="es-UY" w:eastAsia="es-UY"/>
        </w:rPr>
        <w:t xml:space="preserve"> </w:t>
      </w:r>
      <w:r w:rsidR="00D77265" w:rsidRPr="00E9384D">
        <w:rPr>
          <w:rFonts w:cs="Arial"/>
          <w:lang w:val="es-ES_tradnl"/>
        </w:rPr>
        <w:t xml:space="preserve">para </w:t>
      </w:r>
      <w:r w:rsidR="00D77265">
        <w:rPr>
          <w:rFonts w:cs="Arial"/>
          <w:lang w:val="es-ES_tradnl"/>
        </w:rPr>
        <w:t xml:space="preserve">el producto Huevos, </w:t>
      </w:r>
      <w:r w:rsidR="00D77265" w:rsidRPr="00E9384D">
        <w:rPr>
          <w:rFonts w:cs="Arial"/>
          <w:lang w:val="es-ES_tradnl"/>
        </w:rPr>
        <w:t>Zona 1</w:t>
      </w:r>
      <w:r w:rsidR="00D77265">
        <w:rPr>
          <w:rFonts w:cs="Arial"/>
          <w:lang w:val="es-ES_tradnl"/>
        </w:rPr>
        <w:t xml:space="preserve"> </w:t>
      </w:r>
      <w:r w:rsidR="00256E1B">
        <w:rPr>
          <w:rFonts w:cs="Arial"/>
          <w:lang w:val="es-ES_tradnl"/>
        </w:rPr>
        <w:t xml:space="preserve">y </w:t>
      </w:r>
      <w:r w:rsidR="00256E1B" w:rsidRPr="00E9384D">
        <w:rPr>
          <w:rFonts w:cs="Arial"/>
          <w:lang w:val="es-ES_tradnl"/>
        </w:rPr>
        <w:t>Zona</w:t>
      </w:r>
      <w:r w:rsidR="00D77265">
        <w:rPr>
          <w:rFonts w:cs="Arial"/>
          <w:lang w:val="es-ES_tradnl"/>
        </w:rPr>
        <w:t xml:space="preserve"> 4</w:t>
      </w:r>
      <w:r w:rsidR="006D7C7F">
        <w:rPr>
          <w:rFonts w:cs="Arial"/>
          <w:lang w:val="es-ES_tradnl"/>
        </w:rPr>
        <w:t>,</w:t>
      </w:r>
      <w:r w:rsidR="00D77265">
        <w:rPr>
          <w:rFonts w:cs="Arial"/>
          <w:lang w:val="es-ES_tradnl"/>
        </w:rPr>
        <w:t xml:space="preserve"> </w:t>
      </w:r>
      <w:r w:rsidR="00D77265" w:rsidRPr="00E9384D">
        <w:rPr>
          <w:rFonts w:cs="Arial"/>
          <w:lang w:val="es-ES_tradnl"/>
        </w:rPr>
        <w:t xml:space="preserve">la ampliación es a favor de </w:t>
      </w:r>
      <w:r w:rsidR="00D77265">
        <w:rPr>
          <w:rFonts w:cs="Arial"/>
          <w:lang w:val="es-ES_tradnl"/>
        </w:rPr>
        <w:t>MARUBY S.A</w:t>
      </w:r>
      <w:r w:rsidR="00D77265" w:rsidRPr="00E9384D">
        <w:rPr>
          <w:rFonts w:cs="Arial"/>
          <w:lang w:val="es-ES_tradnl"/>
        </w:rPr>
        <w:t xml:space="preserve">. por los </w:t>
      </w:r>
      <w:r w:rsidR="00D77265">
        <w:rPr>
          <w:rFonts w:cs="Arial"/>
          <w:lang w:val="es-ES_tradnl"/>
        </w:rPr>
        <w:t xml:space="preserve">montos </w:t>
      </w:r>
      <w:r w:rsidR="00D77265" w:rsidRPr="00E9384D">
        <w:rPr>
          <w:rFonts w:cs="Arial"/>
          <w:lang w:val="es-ES_tradnl"/>
        </w:rPr>
        <w:t>de Zona 1</w:t>
      </w:r>
      <w:r w:rsidR="00D77265">
        <w:rPr>
          <w:rFonts w:cs="Arial"/>
          <w:lang w:val="es-ES_tradnl"/>
        </w:rPr>
        <w:t xml:space="preserve">$ 858.937 </w:t>
      </w:r>
      <w:r w:rsidR="00256E1B">
        <w:rPr>
          <w:rFonts w:cs="Arial"/>
          <w:lang w:val="es-ES_tradnl"/>
        </w:rPr>
        <w:t>y</w:t>
      </w:r>
      <w:r w:rsidR="00D77265">
        <w:rPr>
          <w:rFonts w:cs="Arial"/>
          <w:lang w:val="es-ES_tradnl"/>
        </w:rPr>
        <w:t xml:space="preserve"> </w:t>
      </w:r>
      <w:r w:rsidR="00D77265" w:rsidRPr="00E9384D">
        <w:rPr>
          <w:rFonts w:cs="Arial"/>
          <w:lang w:val="es-ES_tradnl"/>
        </w:rPr>
        <w:t xml:space="preserve">Zona </w:t>
      </w:r>
      <w:r w:rsidR="00D77265">
        <w:rPr>
          <w:rFonts w:cs="Arial"/>
          <w:lang w:val="es-ES_tradnl"/>
        </w:rPr>
        <w:t>4 $32.046</w:t>
      </w:r>
      <w:r w:rsidR="00D77265" w:rsidRPr="00E9384D">
        <w:rPr>
          <w:rFonts w:cs="Arial"/>
          <w:lang w:val="es-ES_tradnl"/>
        </w:rPr>
        <w:t>. Para la Zona 3</w:t>
      </w:r>
      <w:r w:rsidR="00D77265">
        <w:rPr>
          <w:rFonts w:cs="Arial"/>
          <w:lang w:val="es-ES_tradnl"/>
        </w:rPr>
        <w:t>, Zona 5 y Zona 6,</w:t>
      </w:r>
      <w:r w:rsidR="00D77265" w:rsidRPr="00E9384D">
        <w:rPr>
          <w:rFonts w:cs="Arial"/>
          <w:lang w:val="es-ES_tradnl"/>
        </w:rPr>
        <w:t xml:space="preserve"> la ampliación</w:t>
      </w:r>
      <w:r w:rsidR="00256E1B">
        <w:rPr>
          <w:rFonts w:cs="Arial"/>
          <w:lang w:val="es-ES_tradnl"/>
        </w:rPr>
        <w:t xml:space="preserve"> </w:t>
      </w:r>
      <w:r w:rsidR="00D77265" w:rsidRPr="00E9384D">
        <w:rPr>
          <w:rFonts w:cs="Arial"/>
          <w:lang w:val="es-ES_tradnl"/>
        </w:rPr>
        <w:t xml:space="preserve">es a favor de </w:t>
      </w:r>
      <w:r w:rsidR="00256E1B">
        <w:rPr>
          <w:rFonts w:cs="Arial"/>
          <w:lang w:val="es-ES_tradnl"/>
        </w:rPr>
        <w:t>JOSÉ CITTADINO DONATO y</w:t>
      </w:r>
      <w:r w:rsidR="00D77265" w:rsidRPr="00D77265">
        <w:rPr>
          <w:rFonts w:cs="Arial"/>
          <w:lang w:val="es-ES_tradnl"/>
        </w:rPr>
        <w:t xml:space="preserve"> CÍA</w:t>
      </w:r>
      <w:r w:rsidR="00D77265">
        <w:rPr>
          <w:rFonts w:cs="Arial"/>
          <w:lang w:val="es-ES_tradnl"/>
        </w:rPr>
        <w:t xml:space="preserve"> </w:t>
      </w:r>
      <w:r w:rsidR="00D77265" w:rsidRPr="00E9384D">
        <w:rPr>
          <w:rFonts w:cs="Arial"/>
          <w:lang w:val="es-ES_tradnl"/>
        </w:rPr>
        <w:t xml:space="preserve">por el monto de </w:t>
      </w:r>
      <w:r w:rsidR="00D77265">
        <w:rPr>
          <w:rFonts w:cs="Arial"/>
          <w:lang w:val="es-ES_tradnl"/>
        </w:rPr>
        <w:t xml:space="preserve">Zona 3 </w:t>
      </w:r>
      <w:r w:rsidR="00D77265" w:rsidRPr="00E9384D">
        <w:rPr>
          <w:rFonts w:cs="Arial"/>
          <w:lang w:val="es-ES_tradnl"/>
        </w:rPr>
        <w:t xml:space="preserve">$ </w:t>
      </w:r>
      <w:r w:rsidR="00D77265">
        <w:rPr>
          <w:rFonts w:cs="Arial"/>
          <w:lang w:val="es-ES_tradnl"/>
        </w:rPr>
        <w:t xml:space="preserve">609.916, Zona 5 $78.530 y Zona 6 $16.436; </w:t>
      </w:r>
      <w:r w:rsidR="00D77265" w:rsidRPr="00E9384D">
        <w:rPr>
          <w:rFonts w:cs="Arial"/>
          <w:lang w:val="es-ES_tradnl"/>
        </w:rPr>
        <w:t xml:space="preserve">siendo un total para el ítem </w:t>
      </w:r>
      <w:r w:rsidR="00D77265">
        <w:rPr>
          <w:rFonts w:cs="Arial"/>
          <w:lang w:val="es-ES_tradnl"/>
        </w:rPr>
        <w:t>Huevos</w:t>
      </w:r>
      <w:r w:rsidR="00D77265" w:rsidRPr="00E9384D">
        <w:rPr>
          <w:rFonts w:cs="Arial"/>
          <w:lang w:val="es-ES_tradnl"/>
        </w:rPr>
        <w:t xml:space="preserve"> de </w:t>
      </w:r>
      <w:r w:rsidR="00D77265" w:rsidRPr="00630116">
        <w:rPr>
          <w:rFonts w:cs="Arial"/>
          <w:lang w:val="es-ES_tradnl"/>
        </w:rPr>
        <w:t xml:space="preserve">$ </w:t>
      </w:r>
      <w:r w:rsidR="00D77265" w:rsidRPr="00630116">
        <w:rPr>
          <w:rFonts w:cs="Arial"/>
          <w:bCs/>
          <w:color w:val="000000"/>
          <w:lang w:val="es-UY" w:eastAsia="es-UY"/>
        </w:rPr>
        <w:t>1.595.865</w:t>
      </w:r>
      <w:r w:rsidR="00256E1B" w:rsidRPr="00630116">
        <w:rPr>
          <w:rFonts w:cs="Arial"/>
          <w:bCs/>
          <w:color w:val="000000"/>
          <w:lang w:val="es-UY" w:eastAsia="es-UY"/>
        </w:rPr>
        <w:t>;</w:t>
      </w:r>
    </w:p>
    <w:p w:rsidR="00256E1B" w:rsidRDefault="00D7094E" w:rsidP="00180658">
      <w:pPr>
        <w:spacing w:line="360" w:lineRule="auto"/>
        <w:jc w:val="both"/>
        <w:rPr>
          <w:rFonts w:cs="Arial"/>
          <w:b/>
          <w:bCs/>
          <w:color w:val="000000"/>
          <w:lang w:val="es-UY" w:eastAsia="es-UY"/>
        </w:rPr>
      </w:pPr>
      <w:r>
        <w:rPr>
          <w:rFonts w:cs="Arial"/>
          <w:b/>
          <w:bCs/>
          <w:color w:val="000000"/>
          <w:lang w:val="es-UY" w:eastAsia="es-UY"/>
        </w:rPr>
        <w:t>9</w:t>
      </w:r>
      <w:r w:rsidR="00256E1B">
        <w:rPr>
          <w:rFonts w:cs="Arial"/>
          <w:b/>
          <w:bCs/>
          <w:color w:val="000000"/>
          <w:lang w:val="es-UY" w:eastAsia="es-UY"/>
        </w:rPr>
        <w:t>.5.3</w:t>
      </w:r>
      <w:r>
        <w:rPr>
          <w:rFonts w:cs="Arial"/>
          <w:b/>
          <w:bCs/>
          <w:color w:val="000000"/>
          <w:lang w:val="es-UY" w:eastAsia="es-UY"/>
        </w:rPr>
        <w:t>)</w:t>
      </w:r>
      <w:r w:rsidR="00256E1B">
        <w:rPr>
          <w:rFonts w:cs="Arial"/>
          <w:b/>
          <w:bCs/>
          <w:color w:val="000000"/>
          <w:lang w:val="es-UY" w:eastAsia="es-UY"/>
        </w:rPr>
        <w:t xml:space="preserve"> </w:t>
      </w:r>
      <w:r w:rsidR="00256E1B" w:rsidRPr="009A28C1">
        <w:rPr>
          <w:rFonts w:cs="Arial"/>
          <w:bCs/>
          <w:color w:val="000000"/>
          <w:lang w:val="es-UY" w:eastAsia="es-UY"/>
        </w:rPr>
        <w:t xml:space="preserve">que </w:t>
      </w:r>
      <w:r w:rsidR="00EF2310" w:rsidRPr="009A28C1">
        <w:rPr>
          <w:rFonts w:cs="Arial"/>
          <w:bCs/>
          <w:color w:val="000000"/>
          <w:lang w:val="es-UY" w:eastAsia="es-UY"/>
        </w:rPr>
        <w:t>el monto total</w:t>
      </w:r>
      <w:r w:rsidR="00256E1B" w:rsidRPr="009A28C1">
        <w:rPr>
          <w:rFonts w:cs="Arial"/>
          <w:bCs/>
          <w:color w:val="000000"/>
          <w:lang w:val="es-UY" w:eastAsia="es-UY"/>
        </w:rPr>
        <w:t xml:space="preserve"> de la tercera ampliación dispuesta al presente Llamado Nº 22/2017</w:t>
      </w:r>
      <w:r w:rsidR="00EF2310" w:rsidRPr="009A28C1">
        <w:rPr>
          <w:rFonts w:cs="Arial"/>
          <w:bCs/>
          <w:color w:val="000000"/>
          <w:lang w:val="es-UY" w:eastAsia="es-UY"/>
        </w:rPr>
        <w:t>, a</w:t>
      </w:r>
      <w:r w:rsidR="00256E1B" w:rsidRPr="009A28C1">
        <w:rPr>
          <w:rFonts w:cs="Arial"/>
          <w:bCs/>
          <w:color w:val="000000"/>
          <w:lang w:val="es-UY" w:eastAsia="es-UY"/>
        </w:rPr>
        <w:t xml:space="preserve">sciende a $ 12.794.583, discriminado en </w:t>
      </w:r>
      <w:r w:rsidR="00256E1B" w:rsidRPr="009A28C1">
        <w:rPr>
          <w:rFonts w:cs="Arial"/>
          <w:lang w:val="es-ES_tradnl"/>
        </w:rPr>
        <w:t xml:space="preserve">ítem </w:t>
      </w:r>
      <w:r w:rsidR="00EF2310" w:rsidRPr="009A28C1">
        <w:rPr>
          <w:rFonts w:cs="Arial"/>
          <w:lang w:val="es-ES_tradnl"/>
        </w:rPr>
        <w:t xml:space="preserve">Frutas y Hortalizas </w:t>
      </w:r>
      <w:r w:rsidR="00256E1B" w:rsidRPr="009A28C1">
        <w:rPr>
          <w:rFonts w:cs="Arial"/>
          <w:lang w:val="es-ES_tradnl"/>
        </w:rPr>
        <w:t xml:space="preserve">monto total de $ </w:t>
      </w:r>
      <w:r w:rsidR="00256E1B" w:rsidRPr="009A28C1">
        <w:rPr>
          <w:rFonts w:cs="Arial"/>
          <w:bCs/>
          <w:color w:val="000000"/>
          <w:lang w:val="es-UY" w:eastAsia="es-UY"/>
        </w:rPr>
        <w:t xml:space="preserve">11.198.718 </w:t>
      </w:r>
      <w:r w:rsidR="00EF2310" w:rsidRPr="009A28C1">
        <w:rPr>
          <w:rFonts w:cs="Arial"/>
          <w:bCs/>
          <w:color w:val="000000"/>
          <w:lang w:val="es-UY" w:eastAsia="es-UY"/>
        </w:rPr>
        <w:t>e</w:t>
      </w:r>
      <w:r w:rsidR="00256E1B" w:rsidRPr="009A28C1">
        <w:rPr>
          <w:rFonts w:cs="Arial"/>
          <w:lang w:val="es-ES_tradnl"/>
        </w:rPr>
        <w:t xml:space="preserve"> ítem Huevos monto total de </w:t>
      </w:r>
      <w:r w:rsidR="00180658">
        <w:rPr>
          <w:rFonts w:cs="Arial"/>
          <w:lang w:val="es-ES_tradnl"/>
        </w:rPr>
        <w:t xml:space="preserve">                </w:t>
      </w:r>
      <w:r w:rsidR="00256E1B" w:rsidRPr="009A28C1">
        <w:rPr>
          <w:rFonts w:cs="Arial"/>
          <w:lang w:val="es-ES_tradnl"/>
        </w:rPr>
        <w:t xml:space="preserve">$ </w:t>
      </w:r>
      <w:r w:rsidR="00256E1B" w:rsidRPr="009A28C1">
        <w:rPr>
          <w:rFonts w:cs="Arial"/>
          <w:bCs/>
          <w:color w:val="000000"/>
          <w:lang w:val="es-UY" w:eastAsia="es-UY"/>
        </w:rPr>
        <w:t>1.595.865;</w:t>
      </w:r>
    </w:p>
    <w:p w:rsidR="00C54FAA" w:rsidRDefault="00D7094E" w:rsidP="00180658">
      <w:pPr>
        <w:spacing w:line="360" w:lineRule="auto"/>
        <w:jc w:val="both"/>
        <w:rPr>
          <w:rFonts w:cs="Arial"/>
          <w:lang w:val="es-ES_tradnl"/>
        </w:rPr>
      </w:pPr>
      <w:r>
        <w:rPr>
          <w:rFonts w:cs="Arial"/>
          <w:b/>
          <w:bCs/>
          <w:color w:val="000000"/>
          <w:lang w:val="es-UY" w:eastAsia="es-UY"/>
        </w:rPr>
        <w:t>9</w:t>
      </w:r>
      <w:r w:rsidR="00E5219F">
        <w:rPr>
          <w:rFonts w:cs="Arial"/>
          <w:b/>
          <w:bCs/>
          <w:color w:val="000000"/>
          <w:lang w:val="es-UY" w:eastAsia="es-UY"/>
        </w:rPr>
        <w:t>.6</w:t>
      </w:r>
      <w:r>
        <w:rPr>
          <w:rFonts w:cs="Arial"/>
          <w:b/>
          <w:bCs/>
          <w:color w:val="000000"/>
          <w:lang w:val="es-UY" w:eastAsia="es-UY"/>
        </w:rPr>
        <w:t>)</w:t>
      </w:r>
      <w:r w:rsidR="00C54FAA">
        <w:rPr>
          <w:rFonts w:cs="Arial"/>
          <w:b/>
          <w:bCs/>
          <w:color w:val="000000"/>
          <w:lang w:val="es-UY" w:eastAsia="es-UY"/>
        </w:rPr>
        <w:t xml:space="preserve"> </w:t>
      </w:r>
      <w:r w:rsidR="00C54FAA" w:rsidRPr="00E9384D">
        <w:rPr>
          <w:rFonts w:cs="Arial"/>
          <w:lang w:val="es-ES_tradnl"/>
        </w:rPr>
        <w:t xml:space="preserve">que del Anexo </w:t>
      </w:r>
      <w:r w:rsidR="00C54FAA">
        <w:rPr>
          <w:rFonts w:cs="Arial"/>
          <w:lang w:val="es-ES_tradnl"/>
        </w:rPr>
        <w:t>I</w:t>
      </w:r>
      <w:r w:rsidR="00C54FAA" w:rsidRPr="00E9384D">
        <w:rPr>
          <w:rFonts w:cs="Arial"/>
          <w:lang w:val="es-ES_tradnl"/>
        </w:rPr>
        <w:t xml:space="preserve">I – </w:t>
      </w:r>
      <w:r w:rsidR="00C54FAA">
        <w:rPr>
          <w:rFonts w:cs="Arial"/>
          <w:lang w:val="es-ES_tradnl"/>
        </w:rPr>
        <w:t>Demanda Proyectada por Organismo</w:t>
      </w:r>
      <w:r w:rsidR="006D7C7F">
        <w:rPr>
          <w:rFonts w:cs="Arial"/>
          <w:lang w:val="es-ES_tradnl"/>
        </w:rPr>
        <w:t xml:space="preserve"> - </w:t>
      </w:r>
      <w:r w:rsidR="00C54FAA" w:rsidRPr="00E9384D">
        <w:rPr>
          <w:rFonts w:cs="Arial"/>
          <w:lang w:val="es-ES_tradnl"/>
        </w:rPr>
        <w:t>se establece que</w:t>
      </w:r>
      <w:r w:rsidR="00C54FAA">
        <w:rPr>
          <w:rFonts w:cs="Arial"/>
          <w:lang w:val="es-ES_tradnl"/>
        </w:rPr>
        <w:t xml:space="preserve"> </w:t>
      </w:r>
      <w:r w:rsidR="00C54FAA" w:rsidRPr="00D60B6E">
        <w:rPr>
          <w:rFonts w:cs="Arial"/>
          <w:lang w:val="es-ES_tradnl"/>
        </w:rPr>
        <w:t>la demanda por Organismo es la siguiente: M</w:t>
      </w:r>
      <w:r w:rsidR="00C54FAA">
        <w:rPr>
          <w:rFonts w:cs="Arial"/>
          <w:lang w:val="es-ES_tradnl"/>
        </w:rPr>
        <w:t xml:space="preserve">inisterio de </w:t>
      </w:r>
      <w:r w:rsidR="00C54FAA" w:rsidRPr="00D60B6E">
        <w:rPr>
          <w:rFonts w:cs="Arial"/>
          <w:lang w:val="es-ES_tradnl"/>
        </w:rPr>
        <w:t>D</w:t>
      </w:r>
      <w:r w:rsidR="00C54FAA">
        <w:rPr>
          <w:rFonts w:cs="Arial"/>
          <w:lang w:val="es-ES_tradnl"/>
        </w:rPr>
        <w:t xml:space="preserve">efensa </w:t>
      </w:r>
      <w:r w:rsidR="00C54FAA" w:rsidRPr="00D60B6E">
        <w:rPr>
          <w:rFonts w:cs="Arial"/>
          <w:lang w:val="es-ES_tradnl"/>
        </w:rPr>
        <w:t>N</w:t>
      </w:r>
      <w:r w:rsidR="00C54FAA">
        <w:rPr>
          <w:rFonts w:cs="Arial"/>
          <w:lang w:val="es-ES_tradnl"/>
        </w:rPr>
        <w:t>acional</w:t>
      </w:r>
      <w:r w:rsidR="006D7C7F">
        <w:rPr>
          <w:rFonts w:cs="Arial"/>
          <w:lang w:val="es-ES_tradnl"/>
        </w:rPr>
        <w:t xml:space="preserve"> (M.D.F)</w:t>
      </w:r>
      <w:r w:rsidR="00C54FAA">
        <w:rPr>
          <w:rFonts w:cs="Arial"/>
          <w:lang w:val="es-ES_tradnl"/>
        </w:rPr>
        <w:t xml:space="preserve"> por $ 11.726.597</w:t>
      </w:r>
      <w:r w:rsidR="00C54FAA" w:rsidRPr="00D60B6E">
        <w:rPr>
          <w:rFonts w:cs="Arial"/>
          <w:lang w:val="es-ES_tradnl"/>
        </w:rPr>
        <w:t>, M</w:t>
      </w:r>
      <w:r w:rsidR="00C54FAA">
        <w:rPr>
          <w:rFonts w:cs="Arial"/>
          <w:lang w:val="es-ES_tradnl"/>
        </w:rPr>
        <w:t xml:space="preserve">inisterio del </w:t>
      </w:r>
      <w:r w:rsidR="00C54FAA" w:rsidRPr="00D60B6E">
        <w:rPr>
          <w:rFonts w:cs="Arial"/>
          <w:lang w:val="es-ES_tradnl"/>
        </w:rPr>
        <w:t>I</w:t>
      </w:r>
      <w:r w:rsidR="00C54FAA">
        <w:rPr>
          <w:rFonts w:cs="Arial"/>
          <w:lang w:val="es-ES_tradnl"/>
        </w:rPr>
        <w:t xml:space="preserve">nterior </w:t>
      </w:r>
      <w:r w:rsidR="006D7C7F">
        <w:rPr>
          <w:rFonts w:cs="Arial"/>
          <w:lang w:val="es-ES_tradnl"/>
        </w:rPr>
        <w:t xml:space="preserve">(M.I) </w:t>
      </w:r>
      <w:r w:rsidR="00C54FAA">
        <w:rPr>
          <w:rFonts w:cs="Arial"/>
          <w:lang w:val="es-ES_tradnl"/>
        </w:rPr>
        <w:t>por $ 459.443</w:t>
      </w:r>
      <w:r w:rsidR="00C54FAA" w:rsidRPr="00D60B6E">
        <w:rPr>
          <w:rFonts w:cs="Arial"/>
          <w:lang w:val="es-ES_tradnl"/>
        </w:rPr>
        <w:t>, M</w:t>
      </w:r>
      <w:r w:rsidR="00C54FAA">
        <w:rPr>
          <w:rFonts w:cs="Arial"/>
          <w:lang w:val="es-ES_tradnl"/>
        </w:rPr>
        <w:t>inisterio de Desarrollo Social</w:t>
      </w:r>
      <w:r w:rsidR="00C54FAA" w:rsidRPr="00D60B6E">
        <w:rPr>
          <w:rFonts w:cs="Arial"/>
          <w:lang w:val="es-ES_tradnl"/>
        </w:rPr>
        <w:t xml:space="preserve"> </w:t>
      </w:r>
      <w:r w:rsidR="006D7C7F">
        <w:rPr>
          <w:rFonts w:cs="Arial"/>
          <w:lang w:val="es-ES_tradnl"/>
        </w:rPr>
        <w:t xml:space="preserve">(M.I.D.E.S) </w:t>
      </w:r>
      <w:r w:rsidR="00C54FAA" w:rsidRPr="00D60B6E">
        <w:rPr>
          <w:rFonts w:cs="Arial"/>
          <w:lang w:val="es-ES_tradnl"/>
        </w:rPr>
        <w:t xml:space="preserve">por $ </w:t>
      </w:r>
      <w:r w:rsidR="00C54FAA">
        <w:rPr>
          <w:rFonts w:cs="Arial"/>
          <w:lang w:val="es-ES_tradnl"/>
        </w:rPr>
        <w:t>11.886</w:t>
      </w:r>
      <w:r w:rsidR="00C54FAA" w:rsidRPr="00D60B6E">
        <w:rPr>
          <w:rFonts w:cs="Arial"/>
          <w:lang w:val="es-ES_tradnl"/>
        </w:rPr>
        <w:t>, I</w:t>
      </w:r>
      <w:r w:rsidR="00C54FAA">
        <w:rPr>
          <w:rFonts w:cs="Arial"/>
          <w:lang w:val="es-ES_tradnl"/>
        </w:rPr>
        <w:t xml:space="preserve">nstituto del </w:t>
      </w:r>
      <w:r w:rsidR="00C54FAA" w:rsidRPr="00D60B6E">
        <w:rPr>
          <w:rFonts w:cs="Arial"/>
          <w:lang w:val="es-ES_tradnl"/>
        </w:rPr>
        <w:t>N</w:t>
      </w:r>
      <w:r w:rsidR="00C54FAA">
        <w:rPr>
          <w:rFonts w:cs="Arial"/>
          <w:lang w:val="es-ES_tradnl"/>
        </w:rPr>
        <w:t xml:space="preserve">iño y </w:t>
      </w:r>
      <w:r w:rsidR="00C54FAA" w:rsidRPr="00D60B6E">
        <w:rPr>
          <w:rFonts w:cs="Arial"/>
          <w:lang w:val="es-ES_tradnl"/>
        </w:rPr>
        <w:t>A</w:t>
      </w:r>
      <w:r w:rsidR="00C54FAA">
        <w:rPr>
          <w:rFonts w:cs="Arial"/>
          <w:lang w:val="es-ES_tradnl"/>
        </w:rPr>
        <w:t xml:space="preserve">dolescente del </w:t>
      </w:r>
      <w:r w:rsidR="00C54FAA" w:rsidRPr="00D60B6E">
        <w:rPr>
          <w:rFonts w:cs="Arial"/>
          <w:lang w:val="es-ES_tradnl"/>
        </w:rPr>
        <w:t>U</w:t>
      </w:r>
      <w:r w:rsidR="00C54FAA">
        <w:rPr>
          <w:rFonts w:cs="Arial"/>
          <w:lang w:val="es-ES_tradnl"/>
        </w:rPr>
        <w:t>ruguay</w:t>
      </w:r>
      <w:r w:rsidR="006D7C7F">
        <w:rPr>
          <w:rFonts w:cs="Arial"/>
          <w:lang w:val="es-ES_tradnl"/>
        </w:rPr>
        <w:t xml:space="preserve"> (I.N.A.U) </w:t>
      </w:r>
      <w:r w:rsidR="00C54FAA" w:rsidRPr="00D60B6E">
        <w:rPr>
          <w:rFonts w:cs="Arial"/>
          <w:lang w:val="es-ES_tradnl"/>
        </w:rPr>
        <w:t xml:space="preserve">por $ </w:t>
      </w:r>
      <w:r w:rsidR="00C54FAA">
        <w:rPr>
          <w:rFonts w:cs="Arial"/>
          <w:lang w:val="es-ES_tradnl"/>
        </w:rPr>
        <w:t>192.717</w:t>
      </w:r>
      <w:r w:rsidR="009E2208">
        <w:rPr>
          <w:rFonts w:cs="Arial"/>
          <w:lang w:val="es-ES_tradnl"/>
        </w:rPr>
        <w:t>,</w:t>
      </w:r>
      <w:r w:rsidR="00C54FAA" w:rsidRPr="00D60B6E">
        <w:rPr>
          <w:rFonts w:cs="Arial"/>
          <w:lang w:val="es-ES_tradnl"/>
        </w:rPr>
        <w:t xml:space="preserve"> </w:t>
      </w:r>
      <w:r w:rsidR="00E8295B" w:rsidRPr="00D60B6E">
        <w:rPr>
          <w:rFonts w:cs="Arial"/>
          <w:lang w:val="es-ES_tradnl"/>
        </w:rPr>
        <w:t>A</w:t>
      </w:r>
      <w:r w:rsidR="00E8295B">
        <w:rPr>
          <w:rFonts w:cs="Arial"/>
          <w:lang w:val="es-ES_tradnl"/>
        </w:rPr>
        <w:t>dministración</w:t>
      </w:r>
      <w:r w:rsidR="009E2208">
        <w:rPr>
          <w:rFonts w:cs="Arial"/>
          <w:lang w:val="es-ES_tradnl"/>
        </w:rPr>
        <w:t xml:space="preserve"> de Servicios de Salud del Estado </w:t>
      </w:r>
      <w:r w:rsidR="006D7C7F">
        <w:rPr>
          <w:rFonts w:cs="Arial"/>
          <w:lang w:val="es-ES_tradnl"/>
        </w:rPr>
        <w:t xml:space="preserve">(A.S.S.E) </w:t>
      </w:r>
      <w:r w:rsidR="00C54FAA" w:rsidRPr="00D60B6E">
        <w:rPr>
          <w:rFonts w:cs="Arial"/>
          <w:lang w:val="es-ES_tradnl"/>
        </w:rPr>
        <w:t xml:space="preserve">por $ </w:t>
      </w:r>
      <w:r w:rsidR="009E2208">
        <w:rPr>
          <w:rFonts w:cs="Arial"/>
          <w:lang w:val="es-ES_tradnl"/>
        </w:rPr>
        <w:t xml:space="preserve">336.032 e </w:t>
      </w:r>
      <w:r w:rsidR="009E2208" w:rsidRPr="009E2208">
        <w:rPr>
          <w:rFonts w:cs="Arial"/>
          <w:lang w:val="es-ES_tradnl"/>
        </w:rPr>
        <w:t>Instituto Nacio</w:t>
      </w:r>
      <w:r w:rsidR="009E2208">
        <w:rPr>
          <w:rFonts w:cs="Arial"/>
          <w:lang w:val="es-ES_tradnl"/>
        </w:rPr>
        <w:t>nal de Inclusión</w:t>
      </w:r>
      <w:r w:rsidR="001F4C10">
        <w:rPr>
          <w:rFonts w:cs="Arial"/>
          <w:lang w:val="es-ES_tradnl"/>
        </w:rPr>
        <w:t xml:space="preserve"> Social</w:t>
      </w:r>
      <w:r w:rsidR="009E2208">
        <w:rPr>
          <w:rFonts w:cs="Arial"/>
          <w:lang w:val="es-ES_tradnl"/>
        </w:rPr>
        <w:t xml:space="preserve"> Adolescente </w:t>
      </w:r>
      <w:r w:rsidR="006D7C7F">
        <w:rPr>
          <w:rFonts w:cs="Arial"/>
          <w:lang w:val="es-ES_tradnl"/>
        </w:rPr>
        <w:t>(I.N.I S.A)</w:t>
      </w:r>
      <w:r w:rsidR="001F4C10">
        <w:rPr>
          <w:rFonts w:cs="Arial"/>
          <w:lang w:val="es-ES_tradnl"/>
        </w:rPr>
        <w:t xml:space="preserve"> </w:t>
      </w:r>
      <w:r w:rsidR="00B25095">
        <w:rPr>
          <w:rFonts w:cs="Arial"/>
          <w:lang w:val="es-ES_tradnl"/>
        </w:rPr>
        <w:t>por $ 67.908, ascendiendo a</w:t>
      </w:r>
      <w:r w:rsidR="009E2208">
        <w:rPr>
          <w:rFonts w:cs="Arial"/>
          <w:lang w:val="es-ES_tradnl"/>
        </w:rPr>
        <w:t xml:space="preserve"> un Total General de </w:t>
      </w:r>
      <w:r w:rsidR="00180658">
        <w:rPr>
          <w:rFonts w:cs="Arial"/>
          <w:lang w:val="es-ES_tradnl"/>
        </w:rPr>
        <w:t xml:space="preserve">           </w:t>
      </w:r>
      <w:r w:rsidR="009E2208">
        <w:rPr>
          <w:rFonts w:cs="Arial"/>
          <w:lang w:val="es-ES_tradnl"/>
        </w:rPr>
        <w:t>$ 12.794.583</w:t>
      </w:r>
      <w:r w:rsidR="00907CAA">
        <w:rPr>
          <w:rFonts w:cs="Arial"/>
          <w:lang w:val="es-ES_tradnl"/>
        </w:rPr>
        <w:t>;</w:t>
      </w:r>
    </w:p>
    <w:p w:rsidR="00121D3C" w:rsidRDefault="00D7094E" w:rsidP="00180658">
      <w:pPr>
        <w:spacing w:line="360" w:lineRule="auto"/>
        <w:ind w:firstLine="2835"/>
        <w:jc w:val="both"/>
        <w:rPr>
          <w:rFonts w:cs="Arial"/>
          <w:lang w:val="es-ES_tradnl"/>
        </w:rPr>
      </w:pPr>
      <w:r>
        <w:rPr>
          <w:rFonts w:cs="Arial"/>
          <w:b/>
          <w:lang w:val="es-ES_tradnl"/>
        </w:rPr>
        <w:t>10</w:t>
      </w:r>
      <w:r w:rsidR="00121D3C" w:rsidRPr="00E5219F">
        <w:rPr>
          <w:rFonts w:cs="Arial"/>
          <w:b/>
          <w:lang w:val="es-ES_tradnl"/>
        </w:rPr>
        <w:t>)</w:t>
      </w:r>
      <w:r w:rsidR="00121D3C">
        <w:rPr>
          <w:rFonts w:cs="Arial"/>
          <w:lang w:val="es-ES_tradnl"/>
        </w:rPr>
        <w:t xml:space="preserve"> </w:t>
      </w:r>
      <w:r w:rsidR="00121D3C" w:rsidRPr="001B0F6A">
        <w:rPr>
          <w:rFonts w:cs="Arial"/>
          <w:lang w:val="es-ES_tradnl"/>
        </w:rPr>
        <w:t xml:space="preserve">que se realizaron las notificaciones a las empresas interesadas, se realizó la comunicación a los Organismos adquirentes, se efectuó la publicación en la página Web de la </w:t>
      </w:r>
      <w:r w:rsidR="00A92486" w:rsidRPr="001B0F6A">
        <w:rPr>
          <w:rFonts w:cs="Arial"/>
          <w:lang w:val="es-ES_tradnl"/>
        </w:rPr>
        <w:t>Unidad y</w:t>
      </w:r>
      <w:r w:rsidR="00CB7B55" w:rsidRPr="001B0F6A">
        <w:rPr>
          <w:rFonts w:cs="Arial"/>
          <w:lang w:val="es-ES_tradnl"/>
        </w:rPr>
        <w:t xml:space="preserve"> se agregan las solicitudes a los Organismos Usuarios de las constancias de disponibilidad del crédito y las constancias recibidas</w:t>
      </w:r>
      <w:r w:rsidR="00B25095" w:rsidRPr="001B0F6A">
        <w:rPr>
          <w:rFonts w:cs="Arial"/>
          <w:lang w:val="es-ES_tradnl"/>
        </w:rPr>
        <w:t xml:space="preserve"> </w:t>
      </w:r>
      <w:r w:rsidR="0085618F">
        <w:rPr>
          <w:rFonts w:cs="Arial"/>
          <w:lang w:val="es-ES_tradnl"/>
        </w:rPr>
        <w:t>de é</w:t>
      </w:r>
      <w:r w:rsidR="00B25095" w:rsidRPr="001B0F6A">
        <w:rPr>
          <w:rFonts w:cs="Arial"/>
          <w:lang w:val="es-ES_tradnl"/>
        </w:rPr>
        <w:t>stos</w:t>
      </w:r>
      <w:r w:rsidR="00CB7B55" w:rsidRPr="001B0F6A">
        <w:rPr>
          <w:rFonts w:cs="Arial"/>
          <w:lang w:val="es-ES_tradnl"/>
        </w:rPr>
        <w:t>;</w:t>
      </w:r>
    </w:p>
    <w:p w:rsidR="00630116" w:rsidRDefault="00EE7C22" w:rsidP="00180658">
      <w:pPr>
        <w:spacing w:line="360" w:lineRule="auto"/>
        <w:ind w:firstLine="851"/>
        <w:jc w:val="both"/>
        <w:rPr>
          <w:rFonts w:cs="Arial"/>
          <w:lang w:val="es-ES_tradnl"/>
        </w:rPr>
      </w:pPr>
      <w:r w:rsidRPr="00E5219F">
        <w:rPr>
          <w:rFonts w:cs="Arial"/>
          <w:b/>
          <w:lang w:val="es-ES_tradnl"/>
        </w:rPr>
        <w:t>CONSIDERANDO: 1</w:t>
      </w:r>
      <w:r w:rsidR="00630116" w:rsidRPr="00E5219F">
        <w:rPr>
          <w:rFonts w:cs="Arial"/>
          <w:b/>
          <w:lang w:val="es-ES_tradnl"/>
        </w:rPr>
        <w:t>)</w:t>
      </w:r>
      <w:r w:rsidR="00630116">
        <w:rPr>
          <w:rFonts w:cs="Arial"/>
          <w:lang w:val="es-ES_tradnl"/>
        </w:rPr>
        <w:t xml:space="preserve"> </w:t>
      </w:r>
      <w:r w:rsidR="0085618F">
        <w:rPr>
          <w:rFonts w:cs="Arial"/>
          <w:lang w:val="es-ES_tradnl"/>
        </w:rPr>
        <w:t xml:space="preserve">que la ampliación proyectada se ajusta a lo dispuesto por el </w:t>
      </w:r>
      <w:proofErr w:type="spellStart"/>
      <w:r w:rsidR="0085618F">
        <w:rPr>
          <w:rFonts w:cs="Arial"/>
          <w:lang w:val="es-ES_tradnl"/>
        </w:rPr>
        <w:t>A°</w:t>
      </w:r>
      <w:proofErr w:type="spellEnd"/>
      <w:r w:rsidR="0085618F">
        <w:rPr>
          <w:rFonts w:cs="Arial"/>
          <w:lang w:val="es-ES_tradnl"/>
        </w:rPr>
        <w:t xml:space="preserve"> 74 del TOCAF;</w:t>
      </w:r>
    </w:p>
    <w:p w:rsidR="00F03450" w:rsidRDefault="00F03450" w:rsidP="00D7094E">
      <w:pPr>
        <w:spacing w:line="360" w:lineRule="aut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ab/>
      </w:r>
      <w:r>
        <w:rPr>
          <w:rFonts w:cs="Arial"/>
          <w:lang w:val="es-ES_tradnl"/>
        </w:rPr>
        <w:tab/>
      </w:r>
      <w:r>
        <w:rPr>
          <w:rFonts w:cs="Arial"/>
          <w:lang w:val="es-ES_tradnl"/>
        </w:rPr>
        <w:tab/>
      </w:r>
      <w:r>
        <w:rPr>
          <w:rFonts w:cs="Arial"/>
          <w:lang w:val="es-ES_tradnl"/>
        </w:rPr>
        <w:tab/>
      </w:r>
      <w:r w:rsidRPr="00E5219F">
        <w:rPr>
          <w:rFonts w:cs="Arial"/>
          <w:b/>
          <w:lang w:val="es-ES_tradnl"/>
        </w:rPr>
        <w:t>2)</w:t>
      </w:r>
      <w:r w:rsidR="00630116" w:rsidRPr="00630116">
        <w:rPr>
          <w:rFonts w:cs="Arial"/>
          <w:lang w:val="es-ES_tradnl"/>
        </w:rPr>
        <w:t xml:space="preserve"> </w:t>
      </w:r>
      <w:r w:rsidR="00630116">
        <w:rPr>
          <w:rFonts w:cs="Arial"/>
          <w:lang w:val="es-ES_tradnl"/>
        </w:rPr>
        <w:t>que</w:t>
      </w:r>
      <w:r w:rsidR="0085618F">
        <w:rPr>
          <w:rFonts w:cs="Arial"/>
          <w:lang w:val="es-ES_tradnl"/>
        </w:rPr>
        <w:t>, no obstante,</w:t>
      </w:r>
      <w:r w:rsidR="00630116">
        <w:rPr>
          <w:rFonts w:cs="Arial"/>
          <w:lang w:val="es-ES_tradnl"/>
        </w:rPr>
        <w:t xml:space="preserve"> </w:t>
      </w:r>
      <w:r>
        <w:rPr>
          <w:rFonts w:cs="Arial"/>
          <w:lang w:val="es-ES_tradnl"/>
        </w:rPr>
        <w:t xml:space="preserve">la </w:t>
      </w:r>
      <w:r w:rsidR="0085618F">
        <w:rPr>
          <w:rFonts w:cs="Arial"/>
          <w:lang w:val="es-ES_tradnl"/>
        </w:rPr>
        <w:t>misma</w:t>
      </w:r>
      <w:r>
        <w:rPr>
          <w:rFonts w:cs="Arial"/>
          <w:lang w:val="es-ES_tradnl"/>
        </w:rPr>
        <w:t xml:space="preserve"> deriva de un procedimiento cuyo gasto fue observado en </w:t>
      </w:r>
      <w:r w:rsidR="003B3941">
        <w:rPr>
          <w:rFonts w:cs="Arial"/>
          <w:lang w:val="es-ES_tradnl"/>
        </w:rPr>
        <w:t>oportunidad</w:t>
      </w:r>
      <w:r>
        <w:rPr>
          <w:rFonts w:cs="Arial"/>
          <w:lang w:val="es-ES_tradnl"/>
        </w:rPr>
        <w:t xml:space="preserve"> por este Tribunal, reiterado por la </w:t>
      </w:r>
      <w:r w:rsidR="003B3941">
        <w:rPr>
          <w:rFonts w:cs="Arial"/>
          <w:lang w:val="es-ES_tradnl"/>
        </w:rPr>
        <w:t>Administración</w:t>
      </w:r>
      <w:r>
        <w:rPr>
          <w:rFonts w:cs="Arial"/>
          <w:lang w:val="es-ES_tradnl"/>
        </w:rPr>
        <w:t xml:space="preserve"> y mantenido por este Tribunal</w:t>
      </w:r>
      <w:r w:rsidR="003B3941">
        <w:rPr>
          <w:rFonts w:cs="Arial"/>
          <w:lang w:val="es-ES_tradnl"/>
        </w:rPr>
        <w:t xml:space="preserve"> en la oportunidad de reiteración</w:t>
      </w:r>
      <w:r w:rsidR="00D7094E">
        <w:rPr>
          <w:rFonts w:cs="Arial"/>
          <w:lang w:val="es-ES_tradnl"/>
        </w:rPr>
        <w:t>;</w:t>
      </w:r>
    </w:p>
    <w:p w:rsidR="003B3941" w:rsidRDefault="003B3941" w:rsidP="00EE7C22">
      <w:pPr>
        <w:spacing w:line="360" w:lineRule="aut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ab/>
      </w:r>
      <w:r>
        <w:rPr>
          <w:rFonts w:cs="Arial"/>
          <w:lang w:val="es-ES_tradnl"/>
        </w:rPr>
        <w:tab/>
      </w:r>
      <w:r>
        <w:rPr>
          <w:rFonts w:cs="Arial"/>
          <w:lang w:val="es-ES_tradnl"/>
        </w:rPr>
        <w:tab/>
      </w:r>
      <w:r w:rsidRPr="00E5219F">
        <w:rPr>
          <w:rFonts w:cs="Arial"/>
          <w:b/>
          <w:lang w:val="es-ES_tradnl"/>
        </w:rPr>
        <w:tab/>
      </w:r>
      <w:r w:rsidR="00D7094E">
        <w:rPr>
          <w:rFonts w:cs="Arial"/>
          <w:b/>
          <w:lang w:val="es-ES_tradnl"/>
        </w:rPr>
        <w:t>3</w:t>
      </w:r>
      <w:r w:rsidRPr="00E5219F">
        <w:rPr>
          <w:rFonts w:cs="Arial"/>
          <w:b/>
          <w:lang w:val="es-ES_tradnl"/>
        </w:rPr>
        <w:t>)</w:t>
      </w:r>
      <w:r>
        <w:rPr>
          <w:rFonts w:cs="Arial"/>
          <w:lang w:val="es-ES_tradnl"/>
        </w:rPr>
        <w:t xml:space="preserve"> que la observación referid</w:t>
      </w:r>
      <w:r w:rsidR="00EC4BAB">
        <w:rPr>
          <w:rFonts w:cs="Arial"/>
          <w:lang w:val="es-ES_tradnl"/>
        </w:rPr>
        <w:t>a se realiza en virtud de que</w:t>
      </w:r>
      <w:r>
        <w:rPr>
          <w:rFonts w:cs="Arial"/>
          <w:lang w:val="es-ES_tradnl"/>
        </w:rPr>
        <w:t xml:space="preserve"> la Cláusula 9.1 del Pliego de Bases y Condiciones Particulares, contraviene el </w:t>
      </w:r>
      <w:r w:rsidR="00EC4BAB">
        <w:rPr>
          <w:rFonts w:cs="Arial"/>
          <w:lang w:val="es-ES_tradnl"/>
        </w:rPr>
        <w:t>A</w:t>
      </w:r>
      <w:r>
        <w:rPr>
          <w:rFonts w:cs="Arial"/>
          <w:lang w:val="es-ES_tradnl"/>
        </w:rPr>
        <w:t>rtículo 64 del T.O.C.A.F</w:t>
      </w:r>
      <w:r w:rsidR="00D7094E">
        <w:rPr>
          <w:rFonts w:cs="Arial"/>
          <w:lang w:val="es-ES_tradnl"/>
        </w:rPr>
        <w:t>.,</w:t>
      </w:r>
      <w:r>
        <w:rPr>
          <w:rFonts w:cs="Arial"/>
          <w:lang w:val="es-ES_tradnl"/>
        </w:rPr>
        <w:t xml:space="preserve"> obedeciendo a una razón sustancial e insubsanable que vicia por lo tanto las ampliaciones posteriores;</w:t>
      </w:r>
    </w:p>
    <w:p w:rsidR="003E10D6" w:rsidRDefault="003E10D6" w:rsidP="00EE7C22">
      <w:pPr>
        <w:spacing w:line="360" w:lineRule="aut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ab/>
      </w:r>
      <w:r w:rsidRPr="00EA5485">
        <w:rPr>
          <w:rFonts w:cs="Arial"/>
          <w:b/>
          <w:lang w:val="es-ES_tradnl"/>
        </w:rPr>
        <w:t>ATENTO:</w:t>
      </w:r>
      <w:r>
        <w:rPr>
          <w:rFonts w:cs="Arial"/>
          <w:lang w:val="es-ES_tradnl"/>
        </w:rPr>
        <w:t xml:space="preserve"> a lo </w:t>
      </w:r>
      <w:r w:rsidR="00EA5485">
        <w:rPr>
          <w:rFonts w:cs="Arial"/>
          <w:lang w:val="es-ES_tradnl"/>
        </w:rPr>
        <w:t>precedentemente</w:t>
      </w:r>
      <w:r>
        <w:rPr>
          <w:rFonts w:cs="Arial"/>
          <w:lang w:val="es-ES_tradnl"/>
        </w:rPr>
        <w:t xml:space="preserve"> expuesto, y a lo establecido en el </w:t>
      </w:r>
      <w:r w:rsidR="00EC4BAB">
        <w:rPr>
          <w:rFonts w:cs="Arial"/>
          <w:lang w:val="es-ES_tradnl"/>
        </w:rPr>
        <w:t>A</w:t>
      </w:r>
      <w:r w:rsidR="00EA5485">
        <w:rPr>
          <w:rFonts w:cs="Arial"/>
          <w:lang w:val="es-ES_tradnl"/>
        </w:rPr>
        <w:t>rtículo</w:t>
      </w:r>
      <w:r>
        <w:rPr>
          <w:rFonts w:cs="Arial"/>
          <w:lang w:val="es-ES_tradnl"/>
        </w:rPr>
        <w:t xml:space="preserve"> 211 </w:t>
      </w:r>
      <w:r w:rsidR="00EA5485">
        <w:rPr>
          <w:rFonts w:cs="Arial"/>
          <w:lang w:val="es-ES_tradnl"/>
        </w:rPr>
        <w:t>Literal</w:t>
      </w:r>
      <w:r>
        <w:rPr>
          <w:rFonts w:cs="Arial"/>
          <w:lang w:val="es-ES_tradnl"/>
        </w:rPr>
        <w:t xml:space="preserve"> B)</w:t>
      </w:r>
      <w:r w:rsidR="00EA5485">
        <w:rPr>
          <w:rFonts w:cs="Arial"/>
          <w:lang w:val="es-ES_tradnl"/>
        </w:rPr>
        <w:t xml:space="preserve"> de la Constitución de la República;</w:t>
      </w:r>
    </w:p>
    <w:p w:rsidR="0088351E" w:rsidRDefault="00EA5485" w:rsidP="00EC4BAB">
      <w:pPr>
        <w:spacing w:line="360" w:lineRule="auto"/>
        <w:jc w:val="both"/>
        <w:rPr>
          <w:rFonts w:cs="Arial"/>
          <w:b/>
          <w:lang w:val="es-ES_tradnl"/>
        </w:rPr>
      </w:pPr>
      <w:r>
        <w:rPr>
          <w:rFonts w:cs="Arial"/>
          <w:lang w:val="es-ES_tradnl"/>
        </w:rPr>
        <w:tab/>
      </w:r>
      <w:r>
        <w:rPr>
          <w:rFonts w:cs="Arial"/>
          <w:lang w:val="es-ES_tradnl"/>
        </w:rPr>
        <w:tab/>
      </w:r>
      <w:r w:rsidRPr="00F043C4">
        <w:rPr>
          <w:rFonts w:cs="Arial"/>
          <w:b/>
          <w:lang w:val="es-ES_tradnl"/>
        </w:rPr>
        <w:tab/>
      </w:r>
      <w:r w:rsidRPr="00F043C4">
        <w:rPr>
          <w:rFonts w:cs="Arial"/>
          <w:b/>
          <w:lang w:val="es-ES_tradnl"/>
        </w:rPr>
        <w:tab/>
      </w:r>
      <w:r w:rsidR="00180658">
        <w:rPr>
          <w:rFonts w:cs="Arial"/>
          <w:b/>
          <w:lang w:val="es-ES_tradnl"/>
        </w:rPr>
        <w:t>EL TRIBUNAL ACUERDA</w:t>
      </w:r>
    </w:p>
    <w:p w:rsidR="00BA4FC9" w:rsidRPr="00F10105" w:rsidRDefault="00BA4FC9" w:rsidP="00180658">
      <w:pPr>
        <w:pStyle w:val="Prrafodelista"/>
        <w:numPr>
          <w:ilvl w:val="0"/>
          <w:numId w:val="7"/>
        </w:numPr>
        <w:spacing w:line="360" w:lineRule="auto"/>
        <w:ind w:left="284" w:hanging="284"/>
        <w:jc w:val="both"/>
        <w:rPr>
          <w:rFonts w:cs="Arial"/>
          <w:lang w:val="es-ES_tradnl"/>
        </w:rPr>
      </w:pPr>
      <w:r w:rsidRPr="00F75F0E">
        <w:rPr>
          <w:rFonts w:cs="Arial"/>
          <w:lang w:val="es-ES_tradnl"/>
        </w:rPr>
        <w:t xml:space="preserve">Observar </w:t>
      </w:r>
      <w:r w:rsidR="00F75F0E" w:rsidRPr="00F75F0E">
        <w:rPr>
          <w:rFonts w:cs="Arial"/>
          <w:lang w:val="es-ES_tradnl"/>
        </w:rPr>
        <w:t>el gasto</w:t>
      </w:r>
      <w:r w:rsidRPr="00F75F0E">
        <w:rPr>
          <w:rFonts w:cs="Arial"/>
          <w:lang w:val="es-ES_tradnl"/>
        </w:rPr>
        <w:t xml:space="preserve"> de </w:t>
      </w:r>
      <w:r w:rsidR="00F75F0E" w:rsidRPr="00F75F0E">
        <w:rPr>
          <w:rFonts w:cs="Arial"/>
          <w:lang w:val="es-ES_tradnl"/>
        </w:rPr>
        <w:t>$</w:t>
      </w:r>
      <w:r w:rsidR="00D7094E">
        <w:rPr>
          <w:rFonts w:cs="Arial"/>
          <w:lang w:val="es-ES_tradnl"/>
        </w:rPr>
        <w:t xml:space="preserve"> </w:t>
      </w:r>
      <w:r w:rsidR="00F75F0E" w:rsidRPr="00F75F0E">
        <w:rPr>
          <w:rFonts w:cs="Arial"/>
          <w:bCs/>
          <w:color w:val="000000"/>
          <w:lang w:val="es-UY" w:eastAsia="es-UY"/>
        </w:rPr>
        <w:t>12.794.583 derivado de la presente ampliación del llamado</w:t>
      </w:r>
      <w:r w:rsidR="00F10105">
        <w:rPr>
          <w:rFonts w:cs="Arial"/>
          <w:bCs/>
          <w:color w:val="000000"/>
          <w:lang w:val="es-UY" w:eastAsia="es-UY"/>
        </w:rPr>
        <w:t>;</w:t>
      </w:r>
    </w:p>
    <w:p w:rsidR="00F10105" w:rsidRPr="00F10105" w:rsidRDefault="00F10105" w:rsidP="00180658">
      <w:pPr>
        <w:pStyle w:val="Prrafodelista"/>
        <w:numPr>
          <w:ilvl w:val="0"/>
          <w:numId w:val="7"/>
        </w:numPr>
        <w:tabs>
          <w:tab w:val="left" w:pos="709"/>
        </w:tabs>
        <w:spacing w:line="360" w:lineRule="auto"/>
        <w:ind w:left="284" w:hanging="284"/>
        <w:jc w:val="both"/>
        <w:rPr>
          <w:rFonts w:cs="Arial"/>
          <w:lang w:val="es-ES_tradnl"/>
        </w:rPr>
      </w:pPr>
      <w:r>
        <w:rPr>
          <w:rFonts w:cs="Arial"/>
          <w:bCs/>
          <w:color w:val="000000"/>
          <w:lang w:val="es-UY" w:eastAsia="es-UY"/>
        </w:rPr>
        <w:t xml:space="preserve">Comunicar a los Contadores Auditores y Delegados correspondientes (Resultando </w:t>
      </w:r>
      <w:r w:rsidR="00D7094E">
        <w:rPr>
          <w:rFonts w:cs="Arial"/>
          <w:bCs/>
          <w:color w:val="000000"/>
          <w:lang w:val="es-UY" w:eastAsia="es-UY"/>
        </w:rPr>
        <w:t>9</w:t>
      </w:r>
      <w:r>
        <w:rPr>
          <w:rFonts w:cs="Arial"/>
          <w:bCs/>
          <w:color w:val="000000"/>
          <w:lang w:val="es-UY" w:eastAsia="es-UY"/>
        </w:rPr>
        <w:t>.6);</w:t>
      </w:r>
    </w:p>
    <w:p w:rsidR="00F10105" w:rsidRPr="00180658" w:rsidRDefault="00F10105" w:rsidP="00180658">
      <w:pPr>
        <w:pStyle w:val="Prrafodelista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cs="Arial"/>
          <w:lang w:val="es-ES_tradnl"/>
        </w:rPr>
      </w:pPr>
      <w:r>
        <w:rPr>
          <w:rFonts w:cs="Arial"/>
          <w:bCs/>
          <w:color w:val="000000"/>
          <w:lang w:val="es-UY" w:eastAsia="es-UY"/>
        </w:rPr>
        <w:t>Devolver las actuaciones al Ministerio de Economía y Finanzas.</w:t>
      </w:r>
    </w:p>
    <w:p w:rsidR="00180658" w:rsidRPr="00180658" w:rsidRDefault="00180658" w:rsidP="00180658">
      <w:pPr>
        <w:pStyle w:val="Prrafodelista"/>
        <w:tabs>
          <w:tab w:val="left" w:pos="284"/>
        </w:tabs>
        <w:spacing w:line="360" w:lineRule="auto"/>
        <w:ind w:left="0"/>
        <w:jc w:val="both"/>
        <w:rPr>
          <w:rFonts w:cs="Arial"/>
          <w:sz w:val="20"/>
          <w:szCs w:val="20"/>
          <w:lang w:val="es-ES_tradnl"/>
        </w:rPr>
      </w:pPr>
      <w:r>
        <w:rPr>
          <w:rFonts w:cs="Arial"/>
          <w:bCs/>
          <w:color w:val="000000"/>
          <w:sz w:val="20"/>
          <w:szCs w:val="20"/>
          <w:lang w:val="es-UY" w:eastAsia="es-UY"/>
        </w:rPr>
        <w:t>CLC</w:t>
      </w:r>
    </w:p>
    <w:p w:rsidR="00E31B6A" w:rsidRPr="00D60B6E" w:rsidRDefault="00E31B6A" w:rsidP="00E9384D">
      <w:pPr>
        <w:spacing w:line="360" w:lineRule="auto"/>
        <w:ind w:firstLine="2694"/>
        <w:jc w:val="both"/>
        <w:rPr>
          <w:rFonts w:cs="Arial"/>
          <w:lang w:val="es-ES_tradnl"/>
        </w:rPr>
      </w:pPr>
    </w:p>
    <w:p w:rsidR="00F10105" w:rsidRDefault="00F10105" w:rsidP="00D60B6E">
      <w:pPr>
        <w:spacing w:line="360" w:lineRule="auto"/>
        <w:rPr>
          <w:rFonts w:cs="Arial"/>
          <w:i/>
        </w:rPr>
      </w:pPr>
    </w:p>
    <w:p w:rsidR="00EF2AB0" w:rsidRDefault="00EF2AB0" w:rsidP="00D60B6E">
      <w:pPr>
        <w:spacing w:line="360" w:lineRule="auto"/>
        <w:rPr>
          <w:rFonts w:cs="Arial"/>
          <w:i/>
        </w:rPr>
      </w:pPr>
    </w:p>
    <w:p w:rsidR="00EF2AB0" w:rsidRDefault="00EF2AB0" w:rsidP="00D60B6E">
      <w:pPr>
        <w:spacing w:line="360" w:lineRule="auto"/>
        <w:rPr>
          <w:rFonts w:cs="Arial"/>
          <w:i/>
        </w:rPr>
      </w:pPr>
    </w:p>
    <w:p w:rsidR="00EF2AB0" w:rsidRDefault="00EF2AB0" w:rsidP="00D60B6E">
      <w:pPr>
        <w:spacing w:line="360" w:lineRule="auto"/>
        <w:rPr>
          <w:rFonts w:cs="Arial"/>
          <w:i/>
        </w:rPr>
      </w:pPr>
    </w:p>
    <w:p w:rsidR="00EF2AB0" w:rsidRDefault="00EF2AB0" w:rsidP="00D60B6E">
      <w:pPr>
        <w:spacing w:line="360" w:lineRule="auto"/>
        <w:rPr>
          <w:rFonts w:cs="Arial"/>
          <w:i/>
        </w:rPr>
      </w:pPr>
    </w:p>
    <w:p w:rsidR="00EF2AB0" w:rsidRDefault="00EF2AB0" w:rsidP="00D60B6E">
      <w:pPr>
        <w:spacing w:line="360" w:lineRule="auto"/>
        <w:rPr>
          <w:rFonts w:cs="Arial"/>
          <w:i/>
        </w:rPr>
      </w:pPr>
    </w:p>
    <w:p w:rsidR="00EF2AB0" w:rsidRDefault="00EF2AB0" w:rsidP="00D60B6E">
      <w:pPr>
        <w:spacing w:line="360" w:lineRule="auto"/>
        <w:rPr>
          <w:rFonts w:cs="Arial"/>
          <w:i/>
        </w:rPr>
      </w:pPr>
    </w:p>
    <w:p w:rsidR="00EF2AB0" w:rsidRDefault="00EF2AB0" w:rsidP="00D60B6E">
      <w:pPr>
        <w:spacing w:line="360" w:lineRule="auto"/>
        <w:rPr>
          <w:rFonts w:cs="Arial"/>
          <w:i/>
        </w:rPr>
      </w:pPr>
    </w:p>
    <w:p w:rsidR="00F10105" w:rsidRDefault="00F10105" w:rsidP="00D60B6E">
      <w:pPr>
        <w:spacing w:line="360" w:lineRule="auto"/>
        <w:rPr>
          <w:rFonts w:cs="Arial"/>
          <w:i/>
        </w:rPr>
      </w:pPr>
    </w:p>
    <w:sectPr w:rsidR="00F10105" w:rsidSect="00647618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837CB"/>
    <w:multiLevelType w:val="hybridMultilevel"/>
    <w:tmpl w:val="1BE8D92C"/>
    <w:lvl w:ilvl="0" w:tplc="1AA6C6A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063BB"/>
    <w:multiLevelType w:val="hybridMultilevel"/>
    <w:tmpl w:val="1800325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11811"/>
    <w:multiLevelType w:val="hybridMultilevel"/>
    <w:tmpl w:val="7206E31E"/>
    <w:lvl w:ilvl="0" w:tplc="380A0011">
      <w:start w:val="1"/>
      <w:numFmt w:val="decimal"/>
      <w:lvlText w:val="%1)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77CBA"/>
    <w:multiLevelType w:val="hybridMultilevel"/>
    <w:tmpl w:val="BE5C5274"/>
    <w:lvl w:ilvl="0" w:tplc="3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72B1935"/>
    <w:multiLevelType w:val="hybridMultilevel"/>
    <w:tmpl w:val="CDF020F8"/>
    <w:lvl w:ilvl="0" w:tplc="3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3011AD"/>
    <w:multiLevelType w:val="hybridMultilevel"/>
    <w:tmpl w:val="6E2E62D0"/>
    <w:lvl w:ilvl="0" w:tplc="380A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B3A"/>
    <w:rsid w:val="000219CE"/>
    <w:rsid w:val="0003043D"/>
    <w:rsid w:val="00030832"/>
    <w:rsid w:val="00034C91"/>
    <w:rsid w:val="0004010C"/>
    <w:rsid w:val="0004485D"/>
    <w:rsid w:val="0006124C"/>
    <w:rsid w:val="0008195F"/>
    <w:rsid w:val="00086788"/>
    <w:rsid w:val="000F50D6"/>
    <w:rsid w:val="000F5A20"/>
    <w:rsid w:val="00116141"/>
    <w:rsid w:val="00121D3C"/>
    <w:rsid w:val="00124AD3"/>
    <w:rsid w:val="0013103F"/>
    <w:rsid w:val="00180658"/>
    <w:rsid w:val="00191599"/>
    <w:rsid w:val="001A7106"/>
    <w:rsid w:val="001B0F6A"/>
    <w:rsid w:val="001C0F50"/>
    <w:rsid w:val="001C2375"/>
    <w:rsid w:val="001C5591"/>
    <w:rsid w:val="001E7BF1"/>
    <w:rsid w:val="001F4C10"/>
    <w:rsid w:val="00213ED8"/>
    <w:rsid w:val="00222B78"/>
    <w:rsid w:val="00256E1B"/>
    <w:rsid w:val="00264CE3"/>
    <w:rsid w:val="00285B50"/>
    <w:rsid w:val="00285C7B"/>
    <w:rsid w:val="002B1C43"/>
    <w:rsid w:val="002C3F7A"/>
    <w:rsid w:val="002D70C2"/>
    <w:rsid w:val="002F3A44"/>
    <w:rsid w:val="003032EE"/>
    <w:rsid w:val="00326103"/>
    <w:rsid w:val="003269AE"/>
    <w:rsid w:val="00331267"/>
    <w:rsid w:val="00331A2B"/>
    <w:rsid w:val="00355BD6"/>
    <w:rsid w:val="00385D09"/>
    <w:rsid w:val="003A1AF3"/>
    <w:rsid w:val="003A784B"/>
    <w:rsid w:val="003B3941"/>
    <w:rsid w:val="003E10D6"/>
    <w:rsid w:val="004141EE"/>
    <w:rsid w:val="0043544E"/>
    <w:rsid w:val="00477A0C"/>
    <w:rsid w:val="004C6378"/>
    <w:rsid w:val="00523A3B"/>
    <w:rsid w:val="00570016"/>
    <w:rsid w:val="005934FA"/>
    <w:rsid w:val="005A5385"/>
    <w:rsid w:val="005E4215"/>
    <w:rsid w:val="005F090B"/>
    <w:rsid w:val="00625BF7"/>
    <w:rsid w:val="00630116"/>
    <w:rsid w:val="00647618"/>
    <w:rsid w:val="0066046A"/>
    <w:rsid w:val="00696025"/>
    <w:rsid w:val="006A2398"/>
    <w:rsid w:val="006D7C7F"/>
    <w:rsid w:val="006F358D"/>
    <w:rsid w:val="00700B8C"/>
    <w:rsid w:val="00723086"/>
    <w:rsid w:val="00726628"/>
    <w:rsid w:val="00741AFB"/>
    <w:rsid w:val="00744B3A"/>
    <w:rsid w:val="007B3BDE"/>
    <w:rsid w:val="007D1B5F"/>
    <w:rsid w:val="007D6D31"/>
    <w:rsid w:val="007F488B"/>
    <w:rsid w:val="00834899"/>
    <w:rsid w:val="008505EB"/>
    <w:rsid w:val="008509D9"/>
    <w:rsid w:val="0085618F"/>
    <w:rsid w:val="0088351E"/>
    <w:rsid w:val="00883599"/>
    <w:rsid w:val="008F38CB"/>
    <w:rsid w:val="008F497D"/>
    <w:rsid w:val="008F4DB6"/>
    <w:rsid w:val="00907CAA"/>
    <w:rsid w:val="00956917"/>
    <w:rsid w:val="00965162"/>
    <w:rsid w:val="00990F53"/>
    <w:rsid w:val="009A28C1"/>
    <w:rsid w:val="009A587C"/>
    <w:rsid w:val="009B2AB5"/>
    <w:rsid w:val="009E2208"/>
    <w:rsid w:val="009F0D1A"/>
    <w:rsid w:val="00A249BB"/>
    <w:rsid w:val="00A63249"/>
    <w:rsid w:val="00A70A9B"/>
    <w:rsid w:val="00A86532"/>
    <w:rsid w:val="00A92486"/>
    <w:rsid w:val="00AB3DFC"/>
    <w:rsid w:val="00AF0052"/>
    <w:rsid w:val="00B037FE"/>
    <w:rsid w:val="00B10402"/>
    <w:rsid w:val="00B25095"/>
    <w:rsid w:val="00B93C71"/>
    <w:rsid w:val="00BA4FC9"/>
    <w:rsid w:val="00BC471F"/>
    <w:rsid w:val="00BE25EC"/>
    <w:rsid w:val="00C233DF"/>
    <w:rsid w:val="00C27795"/>
    <w:rsid w:val="00C46BF2"/>
    <w:rsid w:val="00C54FAA"/>
    <w:rsid w:val="00CB13CB"/>
    <w:rsid w:val="00CB7B55"/>
    <w:rsid w:val="00CD7622"/>
    <w:rsid w:val="00D03657"/>
    <w:rsid w:val="00D10483"/>
    <w:rsid w:val="00D12151"/>
    <w:rsid w:val="00D26E7D"/>
    <w:rsid w:val="00D27E9C"/>
    <w:rsid w:val="00D51168"/>
    <w:rsid w:val="00D60B6E"/>
    <w:rsid w:val="00D70552"/>
    <w:rsid w:val="00D7094E"/>
    <w:rsid w:val="00D77265"/>
    <w:rsid w:val="00D85659"/>
    <w:rsid w:val="00D95441"/>
    <w:rsid w:val="00E0140A"/>
    <w:rsid w:val="00E31B6A"/>
    <w:rsid w:val="00E3260F"/>
    <w:rsid w:val="00E373EC"/>
    <w:rsid w:val="00E42D53"/>
    <w:rsid w:val="00E5219F"/>
    <w:rsid w:val="00E57ABC"/>
    <w:rsid w:val="00E8295B"/>
    <w:rsid w:val="00E9384D"/>
    <w:rsid w:val="00EA1291"/>
    <w:rsid w:val="00EA5485"/>
    <w:rsid w:val="00EB1D90"/>
    <w:rsid w:val="00EC4BAB"/>
    <w:rsid w:val="00EC4FC5"/>
    <w:rsid w:val="00EC72F1"/>
    <w:rsid w:val="00EE7C22"/>
    <w:rsid w:val="00EF102E"/>
    <w:rsid w:val="00EF2310"/>
    <w:rsid w:val="00EF2AB0"/>
    <w:rsid w:val="00F03450"/>
    <w:rsid w:val="00F043C4"/>
    <w:rsid w:val="00F10105"/>
    <w:rsid w:val="00F55BF6"/>
    <w:rsid w:val="00F6347A"/>
    <w:rsid w:val="00F65295"/>
    <w:rsid w:val="00F75F0E"/>
    <w:rsid w:val="00F83835"/>
    <w:rsid w:val="00F94F78"/>
    <w:rsid w:val="00FC2C82"/>
    <w:rsid w:val="00FE4EB2"/>
    <w:rsid w:val="00FF2075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A2B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0B6E"/>
    <w:pPr>
      <w:keepNext/>
      <w:outlineLvl w:val="0"/>
    </w:pPr>
    <w:rPr>
      <w:rFonts w:ascii="Bookman Old Style" w:hAnsi="Bookman Old Style"/>
      <w:b/>
      <w:color w:val="00000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331A2B"/>
    <w:pPr>
      <w:spacing w:line="360" w:lineRule="auto"/>
      <w:ind w:firstLine="708"/>
      <w:jc w:val="both"/>
    </w:pPr>
    <w:rPr>
      <w:lang w:val="es-UY"/>
    </w:rPr>
  </w:style>
  <w:style w:type="character" w:customStyle="1" w:styleId="SangradetextonormalCar">
    <w:name w:val="Sangría de texto normal Car"/>
    <w:basedOn w:val="Fuentedeprrafopredeter"/>
    <w:link w:val="Sangradetextonormal"/>
    <w:rsid w:val="00331A2B"/>
    <w:rPr>
      <w:rFonts w:ascii="Arial" w:eastAsia="Times New Roman" w:hAnsi="Arial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8678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8195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195F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85C7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85C7B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285C7B"/>
    <w:pPr>
      <w:spacing w:line="360" w:lineRule="auto"/>
      <w:ind w:firstLine="851"/>
      <w:jc w:val="both"/>
    </w:pPr>
    <w:rPr>
      <w:rFonts w:cs="Arial"/>
      <w:bCs/>
      <w:szCs w:val="20"/>
      <w:lang w:val="es-MX"/>
    </w:rPr>
  </w:style>
  <w:style w:type="character" w:customStyle="1" w:styleId="Ttulo1Car">
    <w:name w:val="Título 1 Car"/>
    <w:basedOn w:val="Fuentedeprrafopredeter"/>
    <w:link w:val="Ttulo1"/>
    <w:rsid w:val="00D60B6E"/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A2B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0B6E"/>
    <w:pPr>
      <w:keepNext/>
      <w:outlineLvl w:val="0"/>
    </w:pPr>
    <w:rPr>
      <w:rFonts w:ascii="Bookman Old Style" w:hAnsi="Bookman Old Style"/>
      <w:b/>
      <w:color w:val="00000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331A2B"/>
    <w:pPr>
      <w:spacing w:line="360" w:lineRule="auto"/>
      <w:ind w:firstLine="708"/>
      <w:jc w:val="both"/>
    </w:pPr>
    <w:rPr>
      <w:lang w:val="es-UY"/>
    </w:rPr>
  </w:style>
  <w:style w:type="character" w:customStyle="1" w:styleId="SangradetextonormalCar">
    <w:name w:val="Sangría de texto normal Car"/>
    <w:basedOn w:val="Fuentedeprrafopredeter"/>
    <w:link w:val="Sangradetextonormal"/>
    <w:rsid w:val="00331A2B"/>
    <w:rPr>
      <w:rFonts w:ascii="Arial" w:eastAsia="Times New Roman" w:hAnsi="Arial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8678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8195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195F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85C7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85C7B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285C7B"/>
    <w:pPr>
      <w:spacing w:line="360" w:lineRule="auto"/>
      <w:ind w:firstLine="851"/>
      <w:jc w:val="both"/>
    </w:pPr>
    <w:rPr>
      <w:rFonts w:cs="Arial"/>
      <w:bCs/>
      <w:szCs w:val="20"/>
      <w:lang w:val="es-MX"/>
    </w:rPr>
  </w:style>
  <w:style w:type="character" w:customStyle="1" w:styleId="Ttulo1Car">
    <w:name w:val="Título 1 Car"/>
    <w:basedOn w:val="Fuentedeprrafopredeter"/>
    <w:link w:val="Ttulo1"/>
    <w:rsid w:val="00D60B6E"/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1638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tribunal1</cp:lastModifiedBy>
  <cp:revision>8</cp:revision>
  <cp:lastPrinted>2019-06-21T14:35:00Z</cp:lastPrinted>
  <dcterms:created xsi:type="dcterms:W3CDTF">2019-06-20T16:02:00Z</dcterms:created>
  <dcterms:modified xsi:type="dcterms:W3CDTF">2019-06-21T14:35:00Z</dcterms:modified>
</cp:coreProperties>
</file>