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4CC" w:rsidRPr="00786EEB" w:rsidRDefault="00D154CC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1509/19</w:t>
      </w:r>
    </w:p>
    <w:p w:rsidR="00D154CC" w:rsidRDefault="00D154CC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D154CC" w:rsidRPr="00762B34" w:rsidRDefault="00D154CC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D154CC" w:rsidRPr="00762B34" w:rsidRDefault="00D154CC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D154CC" w:rsidRPr="00762B34" w:rsidRDefault="00D154CC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D154CC" w:rsidRPr="00762B34" w:rsidRDefault="00D154CC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D154CC" w:rsidRPr="00762B34" w:rsidRDefault="00D154CC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 w:rsidR="004F7BA1">
        <w:rPr>
          <w:rFonts w:ascii="Arial" w:hAnsi="Arial" w:cs="Arial"/>
          <w:b/>
          <w:lang w:val="es-ES_tradnl"/>
        </w:rPr>
        <w:t>20</w:t>
      </w:r>
      <w:bookmarkStart w:id="0" w:name="_GoBack"/>
      <w:bookmarkEnd w:id="0"/>
      <w:r>
        <w:rPr>
          <w:rFonts w:ascii="Arial" w:hAnsi="Arial" w:cs="Arial"/>
          <w:b/>
          <w:lang w:val="es-ES_tradnl"/>
        </w:rPr>
        <w:t xml:space="preserve"> DE JUNIO </w:t>
      </w:r>
      <w:r>
        <w:rPr>
          <w:rFonts w:ascii="Helvetica" w:hAnsi="Helvetica"/>
          <w:b/>
          <w:lang w:val="es-ES_tradnl"/>
        </w:rPr>
        <w:t>DE 2019</w:t>
      </w:r>
    </w:p>
    <w:p w:rsidR="00D154CC" w:rsidRPr="00762B34" w:rsidRDefault="00D154CC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D154CC" w:rsidRPr="00762B34" w:rsidRDefault="00D154CC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n-US"/>
        </w:rPr>
      </w:pPr>
      <w:r w:rsidRPr="00762B34">
        <w:rPr>
          <w:rFonts w:ascii="Arial" w:hAnsi="Arial" w:cs="Arial"/>
          <w:b/>
          <w:lang w:val="en-US"/>
        </w:rPr>
        <w:t xml:space="preserve">(E. E. Nº </w:t>
      </w:r>
      <w:r w:rsidRPr="00B1681C">
        <w:rPr>
          <w:rFonts w:ascii="Arial" w:hAnsi="Arial" w:cs="Arial"/>
          <w:b/>
        </w:rPr>
        <w:t>2019-17-1-0002535</w:t>
      </w:r>
      <w:r w:rsidRPr="00762B34">
        <w:rPr>
          <w:rFonts w:ascii="Arial" w:hAnsi="Arial" w:cs="Arial"/>
          <w:b/>
          <w:lang w:val="en-US"/>
        </w:rPr>
        <w:t xml:space="preserve">, </w:t>
      </w:r>
      <w:proofErr w:type="gramStart"/>
      <w:r w:rsidRPr="00762B34">
        <w:rPr>
          <w:rFonts w:ascii="Arial" w:hAnsi="Arial" w:cs="Arial"/>
          <w:b/>
          <w:lang w:val="en-US"/>
        </w:rPr>
        <w:t>Ent</w:t>
      </w:r>
      <w:proofErr w:type="gramEnd"/>
      <w:r w:rsidRPr="00762B34">
        <w:rPr>
          <w:rFonts w:ascii="Arial" w:hAnsi="Arial" w:cs="Arial"/>
          <w:b/>
          <w:lang w:val="en-US"/>
        </w:rPr>
        <w:t>. N°</w:t>
      </w:r>
      <w:r>
        <w:rPr>
          <w:rFonts w:ascii="Arial" w:hAnsi="Arial" w:cs="Arial"/>
          <w:b/>
          <w:lang w:val="en-US"/>
        </w:rPr>
        <w:t>2010/19</w:t>
      </w:r>
      <w:r w:rsidRPr="00762B34">
        <w:rPr>
          <w:rFonts w:ascii="Arial" w:hAnsi="Arial" w:cs="Arial"/>
          <w:b/>
          <w:lang w:val="en-US"/>
        </w:rPr>
        <w:t>)</w:t>
      </w:r>
    </w:p>
    <w:p w:rsidR="005A275A" w:rsidRPr="00902499" w:rsidRDefault="005A275A" w:rsidP="00D154CC">
      <w:pPr>
        <w:spacing w:line="360" w:lineRule="auto"/>
        <w:rPr>
          <w:rFonts w:ascii="Arial" w:hAnsi="Arial" w:cs="Arial"/>
          <w:b/>
        </w:rPr>
      </w:pPr>
    </w:p>
    <w:p w:rsidR="00636E07" w:rsidRDefault="008168B2" w:rsidP="00636E07">
      <w:pPr>
        <w:spacing w:line="360" w:lineRule="auto"/>
        <w:ind w:firstLine="708"/>
        <w:jc w:val="both"/>
        <w:rPr>
          <w:rFonts w:ascii="Arial" w:hAnsi="Arial" w:cs="Arial"/>
        </w:rPr>
      </w:pPr>
      <w:r w:rsidRPr="008168B2">
        <w:rPr>
          <w:rFonts w:ascii="Arial" w:hAnsi="Arial" w:cs="Arial"/>
          <w:b/>
        </w:rPr>
        <w:t xml:space="preserve">VISTO: </w:t>
      </w:r>
      <w:r>
        <w:rPr>
          <w:rFonts w:ascii="Arial" w:hAnsi="Arial" w:cs="Arial"/>
        </w:rPr>
        <w:t>las nuevas actuaciones remitidas por e</w:t>
      </w:r>
      <w:r w:rsidR="00636E07">
        <w:rPr>
          <w:rFonts w:ascii="Arial" w:hAnsi="Arial" w:cs="Arial"/>
        </w:rPr>
        <w:t xml:space="preserve">l Ministerio de </w:t>
      </w:r>
      <w:r>
        <w:rPr>
          <w:rFonts w:ascii="Arial" w:hAnsi="Arial" w:cs="Arial"/>
        </w:rPr>
        <w:t xml:space="preserve">Desarrollo Social </w:t>
      </w:r>
      <w:r w:rsidR="00636E07">
        <w:rPr>
          <w:rFonts w:ascii="Arial" w:hAnsi="Arial" w:cs="Arial"/>
        </w:rPr>
        <w:t>relacionadas con la</w:t>
      </w:r>
      <w:r w:rsidR="0066489D">
        <w:rPr>
          <w:rFonts w:ascii="Arial" w:hAnsi="Arial" w:cs="Arial"/>
        </w:rPr>
        <w:t xml:space="preserve"> </w:t>
      </w:r>
      <w:r w:rsidR="00636E07">
        <w:rPr>
          <w:rFonts w:ascii="Arial" w:hAnsi="Arial" w:cs="Arial"/>
        </w:rPr>
        <w:t xml:space="preserve"> Licitación Pública Nº 50/2016, cuyo objeto </w:t>
      </w:r>
      <w:r w:rsidR="0066489D">
        <w:rPr>
          <w:rFonts w:ascii="Arial" w:hAnsi="Arial" w:cs="Arial"/>
        </w:rPr>
        <w:t>consistió en</w:t>
      </w:r>
      <w:r w:rsidR="00636E07">
        <w:rPr>
          <w:rFonts w:ascii="Arial" w:hAnsi="Arial" w:cs="Arial"/>
        </w:rPr>
        <w:t xml:space="preserve"> el “Llamado a Organizaciones de la Sociedad Civil (</w:t>
      </w:r>
      <w:proofErr w:type="spellStart"/>
      <w:r w:rsidR="00BB1632">
        <w:rPr>
          <w:rFonts w:ascii="Arial" w:hAnsi="Arial" w:cs="Arial"/>
        </w:rPr>
        <w:t>OSCs</w:t>
      </w:r>
      <w:proofErr w:type="spellEnd"/>
      <w:r w:rsidR="00636E07">
        <w:rPr>
          <w:rFonts w:ascii="Arial" w:hAnsi="Arial" w:cs="Arial"/>
        </w:rPr>
        <w:t>) y/o Cooperativas de Trabajo que provean de equipos técnicos multidisciplinarios para una Red de Servicios para una Vida Libre de Violencia Basada en G</w:t>
      </w:r>
      <w:r>
        <w:rPr>
          <w:rFonts w:ascii="Arial" w:hAnsi="Arial" w:cs="Arial"/>
        </w:rPr>
        <w:t>énero</w:t>
      </w:r>
      <w:r w:rsidR="00E764F1">
        <w:rPr>
          <w:rFonts w:ascii="Arial" w:hAnsi="Arial" w:cs="Arial"/>
        </w:rPr>
        <w:t>, por el plazo de un año pudiéndose renovar por hasta 2 períodos iguales o menores</w:t>
      </w:r>
      <w:r>
        <w:rPr>
          <w:rFonts w:ascii="Arial" w:hAnsi="Arial" w:cs="Arial"/>
        </w:rPr>
        <w:t xml:space="preserve">; </w:t>
      </w:r>
    </w:p>
    <w:p w:rsidR="0053033D" w:rsidRDefault="0053033D" w:rsidP="0053033D">
      <w:pPr>
        <w:tabs>
          <w:tab w:val="left" w:pos="2552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8168B2" w:rsidRPr="008168B2">
        <w:rPr>
          <w:rFonts w:ascii="Arial" w:hAnsi="Arial" w:cs="Arial"/>
          <w:b/>
        </w:rPr>
        <w:t xml:space="preserve">RESULTANDO: 1) </w:t>
      </w:r>
      <w:r w:rsidR="008168B2">
        <w:rPr>
          <w:rFonts w:ascii="Arial" w:hAnsi="Arial" w:cs="Arial"/>
        </w:rPr>
        <w:t xml:space="preserve">que en </w:t>
      </w:r>
      <w:r w:rsidR="00636E07" w:rsidRPr="008168B2">
        <w:rPr>
          <w:rFonts w:ascii="Arial" w:hAnsi="Arial" w:cs="Arial"/>
        </w:rPr>
        <w:t>Sesión de fecha 2 de marzo de 2017,</w:t>
      </w:r>
      <w:r w:rsidR="00636E07" w:rsidRPr="001369EA">
        <w:rPr>
          <w:rFonts w:ascii="Arial" w:hAnsi="Arial" w:cs="Arial"/>
        </w:rPr>
        <w:t xml:space="preserve"> este Tribunal acordó: </w:t>
      </w:r>
      <w:r w:rsidR="00636E07" w:rsidRPr="008168B2">
        <w:rPr>
          <w:rFonts w:ascii="Arial" w:hAnsi="Arial" w:cs="Arial"/>
        </w:rPr>
        <w:t>“Dictada la Resolución por el Ordenador competente, cométese a la Contadora Auditora destacada ante el Ministerio de Desarrollo Social</w:t>
      </w:r>
      <w:r w:rsidR="0066489D">
        <w:rPr>
          <w:rFonts w:ascii="Arial" w:hAnsi="Arial" w:cs="Arial"/>
        </w:rPr>
        <w:t>,</w:t>
      </w:r>
      <w:r w:rsidR="00636E07" w:rsidRPr="008168B2">
        <w:rPr>
          <w:rFonts w:ascii="Arial" w:hAnsi="Arial" w:cs="Arial"/>
        </w:rPr>
        <w:t xml:space="preserve"> la intervención del gasto total de </w:t>
      </w:r>
      <w:r w:rsidR="00636E07" w:rsidRPr="00BB1632">
        <w:rPr>
          <w:rFonts w:ascii="Arial" w:hAnsi="Arial" w:cs="Arial"/>
        </w:rPr>
        <w:t>$ 71:132.157</w:t>
      </w:r>
      <w:r w:rsidR="00636E07" w:rsidRPr="008168B2">
        <w:rPr>
          <w:rFonts w:ascii="Arial" w:hAnsi="Arial" w:cs="Arial"/>
        </w:rPr>
        <w:t>, previo control de su imputación en el Grupo adecuado con disponibilidad suficiente, y de que se haya dado cumplimiento a los requisitos señalados por la Comisión Asesora (Resultando 4) (…)”</w:t>
      </w:r>
      <w:r>
        <w:rPr>
          <w:rFonts w:ascii="Arial" w:hAnsi="Arial" w:cs="Arial"/>
        </w:rPr>
        <w:t>.Por Resolución del Poder Ejecutivo</w:t>
      </w:r>
      <w:r w:rsidRPr="00D30463">
        <w:rPr>
          <w:rFonts w:ascii="Arial" w:hAnsi="Arial" w:cs="Arial"/>
        </w:rPr>
        <w:t xml:space="preserve"> de fecha 7 de abril de 2017, </w:t>
      </w:r>
      <w:r>
        <w:rPr>
          <w:rFonts w:ascii="Arial" w:hAnsi="Arial" w:cs="Arial"/>
        </w:rPr>
        <w:t xml:space="preserve"> </w:t>
      </w:r>
      <w:r w:rsidRPr="00D30463">
        <w:rPr>
          <w:rFonts w:ascii="Arial" w:hAnsi="Arial" w:cs="Arial"/>
        </w:rPr>
        <w:t>se adjudic</w:t>
      </w:r>
      <w:r>
        <w:rPr>
          <w:rFonts w:ascii="Arial" w:hAnsi="Arial" w:cs="Arial"/>
        </w:rPr>
        <w:t xml:space="preserve">ó el llamado de referencia; </w:t>
      </w:r>
    </w:p>
    <w:p w:rsidR="0053033D" w:rsidRDefault="008168B2" w:rsidP="0053033D">
      <w:pPr>
        <w:tabs>
          <w:tab w:val="left" w:pos="2552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</w:t>
      </w:r>
      <w:r w:rsidR="00902499">
        <w:rPr>
          <w:rFonts w:ascii="Arial" w:hAnsi="Arial" w:cs="Arial"/>
        </w:rPr>
        <w:t xml:space="preserve">  </w:t>
      </w:r>
      <w:r w:rsidRPr="008168B2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que </w:t>
      </w:r>
      <w:r w:rsidR="00166F38" w:rsidRPr="00166F38">
        <w:rPr>
          <w:rFonts w:ascii="Arial" w:hAnsi="Arial" w:cs="Arial"/>
        </w:rPr>
        <w:t>con fecha 2 de mayo de 2017, fueron suscritos los convenios, con las diferentes organizaciones, estableciéndose que el plazo de vigencia de los mismos será de doce (12) meses contados a partir de la firma con posibilidad de prorrogarlo por hasta dos períodos iguales, o por un período menor, previo informe favorable de gestión de la Administración;</w:t>
      </w:r>
      <w:r w:rsidR="0053033D" w:rsidRPr="0053033D">
        <w:rPr>
          <w:rFonts w:ascii="Arial" w:hAnsi="Arial" w:cs="Arial"/>
        </w:rPr>
        <w:t xml:space="preserve"> </w:t>
      </w:r>
    </w:p>
    <w:p w:rsidR="00A66173" w:rsidRDefault="00166F38" w:rsidP="00902499">
      <w:pPr>
        <w:tabs>
          <w:tab w:val="left" w:pos="2552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</w:t>
      </w:r>
      <w:r w:rsidRPr="00166F38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que </w:t>
      </w:r>
      <w:r w:rsidR="00850990">
        <w:rPr>
          <w:rFonts w:ascii="Arial" w:hAnsi="Arial" w:cs="Arial"/>
        </w:rPr>
        <w:t xml:space="preserve">posteriormente, en Sesión de 20 de junio de 2018, </w:t>
      </w:r>
      <w:r w:rsidR="00CD5E58">
        <w:rPr>
          <w:rFonts w:ascii="Arial" w:hAnsi="Arial" w:cs="Arial"/>
        </w:rPr>
        <w:t xml:space="preserve">este Tribunal </w:t>
      </w:r>
      <w:r w:rsidR="00850990">
        <w:rPr>
          <w:rFonts w:ascii="Arial" w:hAnsi="Arial" w:cs="Arial"/>
        </w:rPr>
        <w:t xml:space="preserve">acordó observar las </w:t>
      </w:r>
      <w:r w:rsidR="00850990" w:rsidRPr="00042930">
        <w:rPr>
          <w:rFonts w:ascii="Arial" w:hAnsi="Arial" w:cs="Arial"/>
        </w:rPr>
        <w:t>prórrogas</w:t>
      </w:r>
      <w:r w:rsidR="00850990">
        <w:rPr>
          <w:rFonts w:ascii="Arial" w:hAnsi="Arial" w:cs="Arial"/>
        </w:rPr>
        <w:t xml:space="preserve"> de los convenios a suscribirse</w:t>
      </w:r>
      <w:r w:rsidR="003F5708">
        <w:rPr>
          <w:rFonts w:ascii="Arial" w:hAnsi="Arial" w:cs="Arial"/>
        </w:rPr>
        <w:t xml:space="preserve"> por un total </w:t>
      </w:r>
      <w:r w:rsidR="003F5708" w:rsidRPr="00BB1632">
        <w:rPr>
          <w:rFonts w:ascii="Arial" w:hAnsi="Arial" w:cs="Arial"/>
        </w:rPr>
        <w:t>de $ 81.878.624</w:t>
      </w:r>
      <w:r w:rsidR="00850990">
        <w:rPr>
          <w:rFonts w:ascii="Arial" w:hAnsi="Arial" w:cs="Arial"/>
        </w:rPr>
        <w:t xml:space="preserve">, en virtud de que el plazo original </w:t>
      </w:r>
      <w:r w:rsidR="00850990">
        <w:rPr>
          <w:rFonts w:ascii="Arial" w:hAnsi="Arial" w:cs="Arial"/>
        </w:rPr>
        <w:lastRenderedPageBreak/>
        <w:t>venció el 2 de mayo de 2018</w:t>
      </w:r>
      <w:r w:rsidR="00CD5E58">
        <w:rPr>
          <w:rFonts w:ascii="Arial" w:hAnsi="Arial" w:cs="Arial"/>
        </w:rPr>
        <w:t>,</w:t>
      </w:r>
      <w:r w:rsidR="00A66173">
        <w:rPr>
          <w:rFonts w:ascii="Arial" w:hAnsi="Arial" w:cs="Arial"/>
        </w:rPr>
        <w:t xml:space="preserve"> </w:t>
      </w:r>
      <w:r w:rsidR="00CD5E58">
        <w:rPr>
          <w:rFonts w:ascii="Arial" w:hAnsi="Arial" w:cs="Arial"/>
        </w:rPr>
        <w:t xml:space="preserve">por </w:t>
      </w:r>
      <w:r w:rsidR="00A66173">
        <w:rPr>
          <w:rFonts w:ascii="Arial" w:hAnsi="Arial" w:cs="Arial"/>
        </w:rPr>
        <w:t>contar las actuaciones con principio de ejecución en contravención de lo dispuesto por el artículo 211, literal B) de la Constitución de la República y por contravenir lo dispuesto en el numeral 2 del artículo 20 del TOCAF al establecerse los pagos en forma anticipada;</w:t>
      </w:r>
    </w:p>
    <w:p w:rsidR="00166F38" w:rsidRDefault="00A66173" w:rsidP="00902499">
      <w:pPr>
        <w:tabs>
          <w:tab w:val="left" w:pos="2552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</w:t>
      </w:r>
      <w:r w:rsidR="00166F38">
        <w:rPr>
          <w:rFonts w:ascii="Arial" w:hAnsi="Arial" w:cs="Arial"/>
          <w:b/>
        </w:rPr>
        <w:t>4</w:t>
      </w:r>
      <w:r w:rsidRPr="00166F38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que por Resolución del Poder Ejecutivo de 23 de julio de 2018, </w:t>
      </w:r>
      <w:r w:rsidR="00AB709A">
        <w:rPr>
          <w:rFonts w:ascii="Arial" w:hAnsi="Arial" w:cs="Arial"/>
        </w:rPr>
        <w:t>se autorizan la</w:t>
      </w:r>
      <w:r w:rsidR="00BB1632">
        <w:rPr>
          <w:rFonts w:ascii="Arial" w:hAnsi="Arial" w:cs="Arial"/>
        </w:rPr>
        <w:t>s</w:t>
      </w:r>
      <w:r w:rsidR="00AB709A">
        <w:rPr>
          <w:rFonts w:ascii="Arial" w:hAnsi="Arial" w:cs="Arial"/>
        </w:rPr>
        <w:t xml:space="preserve"> </w:t>
      </w:r>
      <w:r w:rsidR="00AB709A" w:rsidRPr="00BB1632">
        <w:rPr>
          <w:rFonts w:ascii="Arial" w:hAnsi="Arial" w:cs="Arial"/>
        </w:rPr>
        <w:t xml:space="preserve">prórrogas </w:t>
      </w:r>
      <w:r w:rsidR="00AB709A">
        <w:rPr>
          <w:rFonts w:ascii="Arial" w:hAnsi="Arial" w:cs="Arial"/>
        </w:rPr>
        <w:t xml:space="preserve">por </w:t>
      </w:r>
      <w:r w:rsidR="00AB709A" w:rsidRPr="00BB1632">
        <w:rPr>
          <w:rFonts w:ascii="Arial" w:hAnsi="Arial" w:cs="Arial"/>
        </w:rPr>
        <w:t>$ 81.878.624</w:t>
      </w:r>
      <w:r w:rsidR="00AB709A">
        <w:rPr>
          <w:rFonts w:ascii="Arial" w:hAnsi="Arial" w:cs="Arial"/>
        </w:rPr>
        <w:t xml:space="preserve"> y </w:t>
      </w:r>
      <w:r>
        <w:rPr>
          <w:rFonts w:ascii="Arial" w:hAnsi="Arial" w:cs="Arial"/>
        </w:rPr>
        <w:t>se reiter</w:t>
      </w:r>
      <w:r w:rsidR="00AB709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el gasto</w:t>
      </w:r>
      <w:r w:rsidR="00166F38">
        <w:rPr>
          <w:rFonts w:ascii="Arial" w:hAnsi="Arial" w:cs="Arial"/>
        </w:rPr>
        <w:t>;</w:t>
      </w:r>
      <w:r w:rsidR="00141028">
        <w:rPr>
          <w:rFonts w:ascii="Arial" w:hAnsi="Arial" w:cs="Arial"/>
        </w:rPr>
        <w:t xml:space="preserve"> y este Tribunal en Sesión de fecha 30 de octubre del 2018 mantuvo la observación de fecha 20 de junio del 2018;</w:t>
      </w:r>
    </w:p>
    <w:p w:rsidR="006F685B" w:rsidRDefault="00166F38" w:rsidP="00054CC0">
      <w:pPr>
        <w:pStyle w:val="Prrafodelista"/>
        <w:spacing w:line="360" w:lineRule="auto"/>
        <w:ind w:left="0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</w:t>
      </w:r>
      <w:r>
        <w:rPr>
          <w:rFonts w:ascii="Arial" w:hAnsi="Arial" w:cs="Arial"/>
          <w:b/>
        </w:rPr>
        <w:t>5</w:t>
      </w:r>
      <w:r w:rsidRPr="00166F38">
        <w:rPr>
          <w:rFonts w:ascii="Arial" w:hAnsi="Arial" w:cs="Arial"/>
          <w:b/>
        </w:rPr>
        <w:t>)</w:t>
      </w:r>
      <w:r w:rsidR="008168B2">
        <w:rPr>
          <w:rFonts w:ascii="Arial" w:hAnsi="Arial" w:cs="Arial"/>
        </w:rPr>
        <w:t xml:space="preserve"> </w:t>
      </w:r>
      <w:r w:rsidR="006F685B">
        <w:rPr>
          <w:rFonts w:ascii="Arial" w:hAnsi="Arial" w:cs="Arial"/>
        </w:rPr>
        <w:t>que p</w:t>
      </w:r>
      <w:r w:rsidR="006F685B" w:rsidRPr="006F685B">
        <w:rPr>
          <w:rFonts w:ascii="Arial" w:hAnsi="Arial" w:cs="Arial"/>
        </w:rPr>
        <w:t xml:space="preserve">or Resolución de la Ministra Interina de Desarrollo Social N° 1633/2018 de fecha 31 de diciembre de 2018, se </w:t>
      </w:r>
      <w:r w:rsidR="006F685B">
        <w:rPr>
          <w:rFonts w:ascii="Arial" w:hAnsi="Arial" w:cs="Arial"/>
        </w:rPr>
        <w:t xml:space="preserve">autorizó, la </w:t>
      </w:r>
      <w:r w:rsidR="006F685B" w:rsidRPr="00BB1632">
        <w:rPr>
          <w:rFonts w:ascii="Arial" w:hAnsi="Arial" w:cs="Arial"/>
        </w:rPr>
        <w:t>ampliación</w:t>
      </w:r>
      <w:r w:rsidR="006F685B" w:rsidRPr="003F5708">
        <w:rPr>
          <w:rFonts w:ascii="Arial" w:hAnsi="Arial" w:cs="Arial"/>
          <w:b/>
        </w:rPr>
        <w:t xml:space="preserve"> </w:t>
      </w:r>
      <w:r w:rsidR="006F685B">
        <w:rPr>
          <w:rFonts w:ascii="Arial" w:hAnsi="Arial" w:cs="Arial"/>
        </w:rPr>
        <w:t xml:space="preserve">de los convenios suscritos en el marco del llamado a Licitación Pública N° 50/2016, por la suma total de hasta </w:t>
      </w:r>
      <w:r w:rsidR="006F685B" w:rsidRPr="00BB1632">
        <w:rPr>
          <w:rFonts w:ascii="Arial" w:hAnsi="Arial" w:cs="Arial"/>
        </w:rPr>
        <w:t>$ 6:932.608</w:t>
      </w:r>
      <w:r w:rsidR="006F685B">
        <w:rPr>
          <w:rFonts w:ascii="Arial" w:hAnsi="Arial" w:cs="Arial"/>
        </w:rPr>
        <w:t>;</w:t>
      </w:r>
    </w:p>
    <w:p w:rsidR="006F685B" w:rsidRDefault="006F685B" w:rsidP="00054CC0">
      <w:pPr>
        <w:pStyle w:val="Prrafodelista"/>
        <w:spacing w:line="360" w:lineRule="auto"/>
        <w:ind w:left="0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</w:t>
      </w:r>
      <w:r>
        <w:rPr>
          <w:rFonts w:ascii="Arial" w:hAnsi="Arial" w:cs="Arial"/>
          <w:b/>
        </w:rPr>
        <w:t xml:space="preserve">6) </w:t>
      </w:r>
      <w:r>
        <w:rPr>
          <w:rFonts w:ascii="Arial" w:hAnsi="Arial" w:cs="Arial"/>
        </w:rPr>
        <w:t xml:space="preserve">que este Tribunal en </w:t>
      </w:r>
      <w:r w:rsidRPr="006F685B">
        <w:rPr>
          <w:rFonts w:ascii="Arial" w:hAnsi="Arial" w:cs="Arial"/>
        </w:rPr>
        <w:t>Sesión de fecha 20 de marzo de 2019, acordó observar la ampliación en virtud de</w:t>
      </w:r>
      <w:r>
        <w:rPr>
          <w:rFonts w:ascii="Arial" w:hAnsi="Arial" w:cs="Arial"/>
        </w:rPr>
        <w:t xml:space="preserve"> derivar de una prorroga previamente observada en Sesión del 20 de junio de 2018, y por la existencia de principio de ejecución;</w:t>
      </w:r>
    </w:p>
    <w:p w:rsidR="006F685B" w:rsidRPr="008C2423" w:rsidRDefault="006F685B" w:rsidP="00054CC0">
      <w:pPr>
        <w:pStyle w:val="Prrafodelista"/>
        <w:spacing w:line="360" w:lineRule="auto"/>
        <w:ind w:left="0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</w:t>
      </w:r>
      <w:r>
        <w:rPr>
          <w:rFonts w:ascii="Arial" w:hAnsi="Arial" w:cs="Arial"/>
          <w:b/>
        </w:rPr>
        <w:t xml:space="preserve">7) </w:t>
      </w:r>
      <w:r>
        <w:rPr>
          <w:rFonts w:ascii="Arial" w:hAnsi="Arial" w:cs="Arial"/>
        </w:rPr>
        <w:t xml:space="preserve">que por </w:t>
      </w:r>
      <w:r w:rsidRPr="006F685B">
        <w:rPr>
          <w:rFonts w:ascii="Arial" w:hAnsi="Arial" w:cs="Arial"/>
        </w:rPr>
        <w:t>Resolución de</w:t>
      </w:r>
      <w:r w:rsidR="00AB709A">
        <w:rPr>
          <w:rFonts w:ascii="Arial" w:hAnsi="Arial" w:cs="Arial"/>
        </w:rPr>
        <w:t xml:space="preserve"> </w:t>
      </w:r>
      <w:r w:rsidRPr="006F685B">
        <w:rPr>
          <w:rFonts w:ascii="Arial" w:hAnsi="Arial" w:cs="Arial"/>
        </w:rPr>
        <w:t>l</w:t>
      </w:r>
      <w:r w:rsidR="00AB709A">
        <w:rPr>
          <w:rFonts w:ascii="Arial" w:hAnsi="Arial" w:cs="Arial"/>
        </w:rPr>
        <w:t>a</w:t>
      </w:r>
      <w:r w:rsidRPr="006F685B">
        <w:rPr>
          <w:rFonts w:ascii="Arial" w:hAnsi="Arial" w:cs="Arial"/>
        </w:rPr>
        <w:t xml:space="preserve"> </w:t>
      </w:r>
      <w:r w:rsidR="00AB709A">
        <w:rPr>
          <w:rFonts w:ascii="Arial" w:hAnsi="Arial" w:cs="Arial"/>
        </w:rPr>
        <w:t>Directora General del M</w:t>
      </w:r>
      <w:r w:rsidRPr="006F685B">
        <w:rPr>
          <w:rFonts w:ascii="Arial" w:hAnsi="Arial" w:cs="Arial"/>
        </w:rPr>
        <w:t>inisterio de Desarrollo Social de fecha 25 de marzo de 2019</w:t>
      </w:r>
      <w:r>
        <w:rPr>
          <w:rFonts w:ascii="Arial" w:hAnsi="Arial" w:cs="Arial"/>
        </w:rPr>
        <w:t>,</w:t>
      </w:r>
      <w:r w:rsidRPr="006F685B">
        <w:rPr>
          <w:rFonts w:ascii="Arial" w:hAnsi="Arial" w:cs="Arial"/>
        </w:rPr>
        <w:t xml:space="preserve"> se reiter</w:t>
      </w:r>
      <w:r>
        <w:rPr>
          <w:rFonts w:ascii="Arial" w:hAnsi="Arial" w:cs="Arial"/>
        </w:rPr>
        <w:t>ó</w:t>
      </w:r>
      <w:r w:rsidRPr="006F685B">
        <w:rPr>
          <w:rFonts w:ascii="Arial" w:hAnsi="Arial" w:cs="Arial"/>
        </w:rPr>
        <w:t xml:space="preserve"> el gasto por la suma total</w:t>
      </w:r>
      <w:r w:rsidRPr="00A45F6D">
        <w:rPr>
          <w:rFonts w:ascii="Arial" w:hAnsi="Arial" w:cs="Arial"/>
        </w:rPr>
        <w:t xml:space="preserve"> de $</w:t>
      </w:r>
      <w:r w:rsidR="00AB709A">
        <w:rPr>
          <w:rFonts w:ascii="Arial" w:hAnsi="Arial" w:cs="Arial"/>
        </w:rPr>
        <w:t xml:space="preserve"> </w:t>
      </w:r>
      <w:r w:rsidRPr="00A45F6D">
        <w:rPr>
          <w:rFonts w:ascii="Arial" w:hAnsi="Arial" w:cs="Arial"/>
        </w:rPr>
        <w:t>6.932.608</w:t>
      </w:r>
      <w:r>
        <w:rPr>
          <w:rFonts w:ascii="Arial" w:hAnsi="Arial" w:cs="Arial"/>
        </w:rPr>
        <w:t>; y este Tribunal en</w:t>
      </w:r>
      <w:r w:rsidRPr="006F685B">
        <w:rPr>
          <w:rFonts w:ascii="Arial" w:hAnsi="Arial" w:cs="Arial"/>
        </w:rPr>
        <w:t xml:space="preserve"> Sesión de fecha 25 de abril de 2019</w:t>
      </w:r>
      <w:r>
        <w:rPr>
          <w:rFonts w:ascii="Arial" w:hAnsi="Arial" w:cs="Arial"/>
        </w:rPr>
        <w:t>,  acordó mantener las observaciones formuladas en Sesión de fecha 20 de marzo de 2019;</w:t>
      </w:r>
    </w:p>
    <w:p w:rsidR="00790CD9" w:rsidRPr="009A7CFA" w:rsidRDefault="008168B2" w:rsidP="00905A56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lang w:val="es-ES_tradnl"/>
        </w:rPr>
        <w:t xml:space="preserve">                                 </w:t>
      </w:r>
      <w:r w:rsidR="00F615B6">
        <w:rPr>
          <w:rFonts w:ascii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 xml:space="preserve">   </w:t>
      </w:r>
      <w:r w:rsidR="005A05BC">
        <w:rPr>
          <w:rFonts w:ascii="Arial" w:hAnsi="Arial" w:cs="Arial"/>
          <w:lang w:val="es-ES_tradnl"/>
        </w:rPr>
        <w:t xml:space="preserve"> </w:t>
      </w:r>
      <w:r w:rsidR="00902499">
        <w:rPr>
          <w:rFonts w:ascii="Arial" w:hAnsi="Arial" w:cs="Arial"/>
          <w:lang w:val="es-ES_tradnl"/>
        </w:rPr>
        <w:t xml:space="preserve"> </w:t>
      </w:r>
      <w:r w:rsidR="00D35323">
        <w:rPr>
          <w:rFonts w:ascii="Arial" w:hAnsi="Arial" w:cs="Arial"/>
          <w:b/>
          <w:lang w:val="es-ES_tradnl"/>
        </w:rPr>
        <w:t>8)</w:t>
      </w:r>
      <w:r w:rsidR="0091155A">
        <w:rPr>
          <w:rFonts w:ascii="Arial" w:hAnsi="Arial" w:cs="Arial"/>
          <w:b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que</w:t>
      </w:r>
      <w:r w:rsidR="00D35323">
        <w:rPr>
          <w:rFonts w:ascii="Arial" w:hAnsi="Arial" w:cs="Arial"/>
          <w:lang w:val="es-ES_tradnl"/>
        </w:rPr>
        <w:t xml:space="preserve"> posteriormente,</w:t>
      </w:r>
      <w:r w:rsidR="0078234F">
        <w:rPr>
          <w:rFonts w:ascii="Arial" w:hAnsi="Arial" w:cs="Arial"/>
          <w:lang w:val="es-ES_tradnl"/>
        </w:rPr>
        <w:t xml:space="preserve"> </w:t>
      </w:r>
      <w:r w:rsidR="00D35323">
        <w:rPr>
          <w:rFonts w:ascii="Arial" w:hAnsi="Arial" w:cs="Arial"/>
          <w:lang w:val="es-ES_tradnl"/>
        </w:rPr>
        <w:t xml:space="preserve">se remitió </w:t>
      </w:r>
      <w:r w:rsidR="00636E07" w:rsidRPr="008168B2">
        <w:rPr>
          <w:rFonts w:ascii="Arial" w:hAnsi="Arial" w:cs="Arial"/>
        </w:rPr>
        <w:t xml:space="preserve">Proyecto de Resolución del Poder Ejecutivo, </w:t>
      </w:r>
      <w:r w:rsidR="00D35323">
        <w:rPr>
          <w:rFonts w:ascii="Arial" w:hAnsi="Arial" w:cs="Arial"/>
        </w:rPr>
        <w:t xml:space="preserve">por el que </w:t>
      </w:r>
      <w:r w:rsidR="00636E07" w:rsidRPr="008168B2">
        <w:rPr>
          <w:rFonts w:ascii="Arial" w:hAnsi="Arial" w:cs="Arial"/>
        </w:rPr>
        <w:t>se autoriza</w:t>
      </w:r>
      <w:r w:rsidR="00D35323">
        <w:rPr>
          <w:rFonts w:ascii="Arial" w:hAnsi="Arial" w:cs="Arial"/>
        </w:rPr>
        <w:t>n</w:t>
      </w:r>
      <w:r w:rsidR="00636E07" w:rsidRPr="008168B2">
        <w:rPr>
          <w:rFonts w:ascii="Arial" w:hAnsi="Arial" w:cs="Arial"/>
        </w:rPr>
        <w:t xml:space="preserve"> las </w:t>
      </w:r>
      <w:r w:rsidR="00636E07" w:rsidRPr="00BB1632">
        <w:rPr>
          <w:rFonts w:ascii="Arial" w:hAnsi="Arial" w:cs="Arial"/>
        </w:rPr>
        <w:t>prórrogas</w:t>
      </w:r>
      <w:r w:rsidR="00636E07" w:rsidRPr="008168B2">
        <w:rPr>
          <w:rFonts w:ascii="Arial" w:hAnsi="Arial" w:cs="Arial"/>
        </w:rPr>
        <w:t xml:space="preserve"> de los convenios suscritos, en el marco de la Licitación Pública Nº 50/2016, por la suma total de </w:t>
      </w:r>
      <w:r w:rsidR="003D57BC">
        <w:rPr>
          <w:rFonts w:ascii="Arial" w:hAnsi="Arial" w:cs="Arial"/>
        </w:rPr>
        <w:t xml:space="preserve">hasta </w:t>
      </w:r>
      <w:r w:rsidR="00636E07" w:rsidRPr="00BB1632">
        <w:rPr>
          <w:rFonts w:ascii="Arial" w:hAnsi="Arial" w:cs="Arial"/>
        </w:rPr>
        <w:t xml:space="preserve">$ </w:t>
      </w:r>
      <w:r w:rsidR="003D57BC" w:rsidRPr="00BB1632">
        <w:rPr>
          <w:rFonts w:ascii="Arial" w:hAnsi="Arial" w:cs="Arial"/>
        </w:rPr>
        <w:t>91:319.978</w:t>
      </w:r>
      <w:r w:rsidR="00636E07" w:rsidRPr="008168B2">
        <w:rPr>
          <w:rFonts w:ascii="Arial" w:hAnsi="Arial" w:cs="Arial"/>
        </w:rPr>
        <w:t>, por el plazo de doce meses contado</w:t>
      </w:r>
      <w:r w:rsidR="00902499">
        <w:rPr>
          <w:rFonts w:ascii="Arial" w:hAnsi="Arial" w:cs="Arial"/>
        </w:rPr>
        <w:t>s a partir del 2 de mayo de 2019</w:t>
      </w:r>
      <w:r w:rsidR="00AB709A">
        <w:rPr>
          <w:rFonts w:ascii="Arial" w:hAnsi="Arial" w:cs="Arial"/>
        </w:rPr>
        <w:t>, y este Tribunal en Sesión de 29 de mayo acordó observar las prórrogas de los convenios a suscribirse y los gastos derivados de los mismos</w:t>
      </w:r>
      <w:r w:rsidR="009A7CFA">
        <w:rPr>
          <w:rFonts w:ascii="Arial" w:hAnsi="Arial" w:cs="Arial"/>
        </w:rPr>
        <w:t>;</w:t>
      </w:r>
    </w:p>
    <w:p w:rsidR="002A33C4" w:rsidRDefault="00591601" w:rsidP="00902499">
      <w:pPr>
        <w:tabs>
          <w:tab w:val="left" w:pos="2552"/>
        </w:tabs>
        <w:spacing w:line="360" w:lineRule="auto"/>
        <w:jc w:val="both"/>
        <w:rPr>
          <w:rFonts w:ascii="Arial" w:hAnsi="Arial" w:cs="Arial"/>
          <w:bCs/>
          <w:lang w:val="es-UY"/>
        </w:rPr>
      </w:pPr>
      <w:r>
        <w:rPr>
          <w:rFonts w:ascii="Arial" w:hAnsi="Arial" w:cs="Arial"/>
        </w:rPr>
        <w:t xml:space="preserve">                        </w:t>
      </w:r>
      <w:r w:rsidR="007371D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</w:t>
      </w:r>
      <w:r w:rsidR="002A33C4">
        <w:rPr>
          <w:rFonts w:ascii="Arial" w:hAnsi="Arial" w:cs="Arial"/>
          <w:bCs/>
          <w:lang w:val="es-UY"/>
        </w:rPr>
        <w:t xml:space="preserve">   </w:t>
      </w:r>
      <w:r w:rsidR="00042930">
        <w:rPr>
          <w:rFonts w:ascii="Arial" w:hAnsi="Arial" w:cs="Arial"/>
          <w:bCs/>
          <w:lang w:val="es-UY"/>
        </w:rPr>
        <w:t xml:space="preserve">   </w:t>
      </w:r>
      <w:r w:rsidR="00AB709A" w:rsidRPr="00AB709A">
        <w:rPr>
          <w:rFonts w:ascii="Arial" w:hAnsi="Arial" w:cs="Arial"/>
          <w:b/>
          <w:bCs/>
          <w:lang w:val="es-UY"/>
        </w:rPr>
        <w:t>9</w:t>
      </w:r>
      <w:r w:rsidR="002A33C4" w:rsidRPr="002A33C4">
        <w:rPr>
          <w:rFonts w:ascii="Arial" w:hAnsi="Arial" w:cs="Arial"/>
          <w:b/>
          <w:bCs/>
          <w:lang w:val="es-UY"/>
        </w:rPr>
        <w:t>)</w:t>
      </w:r>
      <w:r w:rsidR="002A33C4">
        <w:rPr>
          <w:rFonts w:ascii="Arial" w:hAnsi="Arial" w:cs="Arial"/>
          <w:b/>
          <w:bCs/>
          <w:lang w:val="es-UY"/>
        </w:rPr>
        <w:t xml:space="preserve"> </w:t>
      </w:r>
      <w:r w:rsidR="002A33C4">
        <w:rPr>
          <w:rFonts w:ascii="Arial" w:hAnsi="Arial" w:cs="Arial"/>
          <w:bCs/>
          <w:lang w:val="es-UY"/>
        </w:rPr>
        <w:t>que en esta oportunidad, se remite:</w:t>
      </w:r>
    </w:p>
    <w:p w:rsidR="00E95AFC" w:rsidRPr="00E95AFC" w:rsidRDefault="00E95AFC" w:rsidP="00902499">
      <w:pPr>
        <w:tabs>
          <w:tab w:val="left" w:pos="2552"/>
        </w:tabs>
        <w:spacing w:line="360" w:lineRule="auto"/>
        <w:jc w:val="both"/>
        <w:rPr>
          <w:rFonts w:ascii="Arial" w:hAnsi="Arial" w:cs="Arial"/>
          <w:bCs/>
          <w:lang w:val="es-UY"/>
        </w:rPr>
      </w:pPr>
      <w:r>
        <w:rPr>
          <w:rFonts w:ascii="Arial" w:hAnsi="Arial" w:cs="Arial"/>
          <w:bCs/>
          <w:lang w:val="es-UY"/>
        </w:rPr>
        <w:t xml:space="preserve">                            </w:t>
      </w:r>
      <w:r w:rsidR="008653F2">
        <w:rPr>
          <w:rFonts w:ascii="Arial" w:hAnsi="Arial" w:cs="Arial"/>
          <w:bCs/>
          <w:lang w:val="es-UY"/>
        </w:rPr>
        <w:t xml:space="preserve">   </w:t>
      </w:r>
      <w:r>
        <w:rPr>
          <w:rFonts w:ascii="Arial" w:hAnsi="Arial" w:cs="Arial"/>
          <w:bCs/>
          <w:lang w:val="es-UY"/>
        </w:rPr>
        <w:t xml:space="preserve">     </w:t>
      </w:r>
      <w:r w:rsidR="00AB709A">
        <w:rPr>
          <w:rFonts w:ascii="Arial" w:hAnsi="Arial" w:cs="Arial"/>
          <w:bCs/>
          <w:lang w:val="es-UY"/>
        </w:rPr>
        <w:t xml:space="preserve">    </w:t>
      </w:r>
      <w:r w:rsidR="00042930" w:rsidRPr="00042930">
        <w:rPr>
          <w:rFonts w:ascii="Arial" w:hAnsi="Arial" w:cs="Arial"/>
          <w:b/>
          <w:bCs/>
          <w:lang w:val="es-UY"/>
        </w:rPr>
        <w:t>9</w:t>
      </w:r>
      <w:r>
        <w:rPr>
          <w:rFonts w:ascii="Arial" w:hAnsi="Arial" w:cs="Arial"/>
          <w:b/>
          <w:bCs/>
          <w:lang w:val="es-UY"/>
        </w:rPr>
        <w:t xml:space="preserve">.1) </w:t>
      </w:r>
      <w:r>
        <w:rPr>
          <w:rFonts w:ascii="Arial" w:hAnsi="Arial" w:cs="Arial"/>
          <w:bCs/>
          <w:lang w:val="es-UY"/>
        </w:rPr>
        <w:t xml:space="preserve">Proyectos de </w:t>
      </w:r>
      <w:r w:rsidR="00AB709A">
        <w:rPr>
          <w:rFonts w:ascii="Arial" w:hAnsi="Arial" w:cs="Arial"/>
          <w:bCs/>
          <w:lang w:val="es-UY"/>
        </w:rPr>
        <w:t>a</w:t>
      </w:r>
      <w:r>
        <w:rPr>
          <w:rFonts w:ascii="Arial" w:hAnsi="Arial" w:cs="Arial"/>
          <w:bCs/>
          <w:lang w:val="es-UY"/>
        </w:rPr>
        <w:t xml:space="preserve">mpliación de los convenios </w:t>
      </w:r>
      <w:r w:rsidR="00AB709A">
        <w:rPr>
          <w:rFonts w:ascii="Arial" w:hAnsi="Arial" w:cs="Arial"/>
          <w:bCs/>
          <w:lang w:val="es-UY"/>
        </w:rPr>
        <w:t xml:space="preserve">a </w:t>
      </w:r>
      <w:r>
        <w:rPr>
          <w:rFonts w:ascii="Arial" w:hAnsi="Arial" w:cs="Arial"/>
          <w:bCs/>
          <w:lang w:val="es-UY"/>
        </w:rPr>
        <w:t>suscri</w:t>
      </w:r>
      <w:r w:rsidR="00AB709A">
        <w:rPr>
          <w:rFonts w:ascii="Arial" w:hAnsi="Arial" w:cs="Arial"/>
          <w:bCs/>
          <w:lang w:val="es-UY"/>
        </w:rPr>
        <w:t xml:space="preserve">birse </w:t>
      </w:r>
      <w:r>
        <w:rPr>
          <w:rFonts w:ascii="Arial" w:hAnsi="Arial" w:cs="Arial"/>
          <w:bCs/>
          <w:lang w:val="es-UY"/>
        </w:rPr>
        <w:t xml:space="preserve"> por dicha Secretaría de Estado y </w:t>
      </w:r>
      <w:r w:rsidR="00AB709A">
        <w:rPr>
          <w:rFonts w:ascii="Arial" w:hAnsi="Arial" w:cs="Arial"/>
          <w:bCs/>
          <w:lang w:val="es-UY"/>
        </w:rPr>
        <w:t xml:space="preserve">distintas </w:t>
      </w:r>
      <w:r>
        <w:rPr>
          <w:rFonts w:ascii="Arial" w:hAnsi="Arial" w:cs="Arial"/>
        </w:rPr>
        <w:t>Organizaciones de la Sociedad Civil (</w:t>
      </w:r>
      <w:proofErr w:type="spellStart"/>
      <w:r w:rsidR="00BB1632">
        <w:rPr>
          <w:rFonts w:ascii="Arial" w:hAnsi="Arial" w:cs="Arial"/>
        </w:rPr>
        <w:t>OSCs</w:t>
      </w:r>
      <w:proofErr w:type="spellEnd"/>
      <w:r>
        <w:rPr>
          <w:rFonts w:ascii="Arial" w:hAnsi="Arial" w:cs="Arial"/>
        </w:rPr>
        <w:t>) y/o Cooperativas de Trabajo, correspondientes a los siguientes Departamentos: Artigas, Canelones, Cerro Largo, Colonia, Durazno, Lavalleja, Montevideo, Maldonado, Paysandú, Rivera, Tacuarembó</w:t>
      </w:r>
      <w:r w:rsidR="00850089">
        <w:rPr>
          <w:rFonts w:ascii="Arial" w:hAnsi="Arial" w:cs="Arial"/>
        </w:rPr>
        <w:t xml:space="preserve"> y Treinta y Tres</w:t>
      </w:r>
      <w:r w:rsidR="003F5708">
        <w:rPr>
          <w:rFonts w:ascii="Arial" w:hAnsi="Arial" w:cs="Arial"/>
        </w:rPr>
        <w:t xml:space="preserve">, así como </w:t>
      </w:r>
      <w:r w:rsidR="008653F2">
        <w:rPr>
          <w:rFonts w:ascii="Arial" w:hAnsi="Arial" w:cs="Arial"/>
        </w:rPr>
        <w:t>las respectivas aceptaciones de las Organizaciones</w:t>
      </w:r>
      <w:r w:rsidR="001E5382">
        <w:rPr>
          <w:rFonts w:ascii="Arial" w:hAnsi="Arial" w:cs="Arial"/>
        </w:rPr>
        <w:t>,</w:t>
      </w:r>
      <w:r w:rsidR="008653F2">
        <w:rPr>
          <w:rFonts w:ascii="Arial" w:hAnsi="Arial" w:cs="Arial"/>
        </w:rPr>
        <w:t xml:space="preserve"> para las ampliaciones proyectadas; </w:t>
      </w:r>
    </w:p>
    <w:p w:rsidR="003F5708" w:rsidRDefault="00E95AFC" w:rsidP="000628E1">
      <w:pPr>
        <w:tabs>
          <w:tab w:val="left" w:pos="2552"/>
        </w:tabs>
        <w:spacing w:line="360" w:lineRule="auto"/>
        <w:jc w:val="both"/>
        <w:rPr>
          <w:rFonts w:ascii="Arial" w:hAnsi="Arial" w:cs="Arial"/>
          <w:bCs/>
          <w:lang w:val="es-UY"/>
        </w:rPr>
      </w:pPr>
      <w:r>
        <w:rPr>
          <w:rFonts w:ascii="Arial" w:hAnsi="Arial" w:cs="Arial"/>
          <w:b/>
          <w:bCs/>
          <w:lang w:val="es-UY"/>
        </w:rPr>
        <w:t xml:space="preserve">                               </w:t>
      </w:r>
      <w:r w:rsidR="000D1147">
        <w:rPr>
          <w:rFonts w:ascii="Arial" w:hAnsi="Arial" w:cs="Arial"/>
          <w:b/>
          <w:bCs/>
          <w:lang w:val="es-UY"/>
        </w:rPr>
        <w:t xml:space="preserve"> </w:t>
      </w:r>
      <w:r>
        <w:rPr>
          <w:rFonts w:ascii="Arial" w:hAnsi="Arial" w:cs="Arial"/>
          <w:b/>
          <w:bCs/>
          <w:lang w:val="es-UY"/>
        </w:rPr>
        <w:t xml:space="preserve"> </w:t>
      </w:r>
      <w:r w:rsidR="003F5708">
        <w:rPr>
          <w:rFonts w:ascii="Arial" w:hAnsi="Arial" w:cs="Arial"/>
          <w:b/>
          <w:bCs/>
          <w:lang w:val="es-UY"/>
        </w:rPr>
        <w:t xml:space="preserve">         </w:t>
      </w:r>
      <w:r w:rsidR="00042930">
        <w:rPr>
          <w:rFonts w:ascii="Arial" w:hAnsi="Arial" w:cs="Arial"/>
          <w:b/>
          <w:bCs/>
          <w:lang w:val="es-UY"/>
        </w:rPr>
        <w:t>9</w:t>
      </w:r>
      <w:r>
        <w:rPr>
          <w:rFonts w:ascii="Arial" w:hAnsi="Arial" w:cs="Arial"/>
          <w:b/>
          <w:bCs/>
          <w:lang w:val="es-UY"/>
        </w:rPr>
        <w:t>.2)</w:t>
      </w:r>
      <w:r w:rsidR="008653F2">
        <w:rPr>
          <w:rFonts w:ascii="Arial" w:hAnsi="Arial" w:cs="Arial"/>
          <w:b/>
          <w:bCs/>
          <w:lang w:val="es-UY"/>
        </w:rPr>
        <w:t xml:space="preserve"> </w:t>
      </w:r>
      <w:r w:rsidR="001E5382">
        <w:rPr>
          <w:rFonts w:ascii="Arial" w:hAnsi="Arial" w:cs="Arial"/>
          <w:b/>
          <w:bCs/>
          <w:lang w:val="es-UY"/>
        </w:rPr>
        <w:t xml:space="preserve"> </w:t>
      </w:r>
      <w:r w:rsidR="00C37287">
        <w:rPr>
          <w:rFonts w:ascii="Arial" w:hAnsi="Arial" w:cs="Arial"/>
          <w:bCs/>
          <w:lang w:val="es-UY"/>
        </w:rPr>
        <w:t>Proyecto de Resolución Ministerial por el cual se autoriza, previa intervención de</w:t>
      </w:r>
      <w:r w:rsidR="003F5708">
        <w:rPr>
          <w:rFonts w:ascii="Arial" w:hAnsi="Arial" w:cs="Arial"/>
          <w:bCs/>
          <w:lang w:val="es-UY"/>
        </w:rPr>
        <w:t xml:space="preserve"> este</w:t>
      </w:r>
      <w:r w:rsidR="00C37287">
        <w:rPr>
          <w:rFonts w:ascii="Arial" w:hAnsi="Arial" w:cs="Arial"/>
          <w:bCs/>
          <w:lang w:val="es-UY"/>
        </w:rPr>
        <w:t xml:space="preserve"> Tribunal, </w:t>
      </w:r>
      <w:r w:rsidR="002A7B5B">
        <w:rPr>
          <w:rFonts w:ascii="Arial" w:hAnsi="Arial" w:cs="Arial"/>
          <w:bCs/>
          <w:lang w:val="es-UY"/>
        </w:rPr>
        <w:t xml:space="preserve">las </w:t>
      </w:r>
      <w:r w:rsidR="002A7B5B" w:rsidRPr="00557EBA">
        <w:rPr>
          <w:rFonts w:ascii="Arial" w:hAnsi="Arial" w:cs="Arial"/>
          <w:bCs/>
          <w:lang w:val="es-UY"/>
        </w:rPr>
        <w:t xml:space="preserve">ampliaciones </w:t>
      </w:r>
      <w:r w:rsidR="002A7B5B">
        <w:rPr>
          <w:rFonts w:ascii="Arial" w:hAnsi="Arial" w:cs="Arial"/>
          <w:bCs/>
          <w:lang w:val="es-UY"/>
        </w:rPr>
        <w:t>de los convenios suscritos en el marco de la Licitación Pública N° 50/2016, con las Organizaciones que a continuación se indica</w:t>
      </w:r>
      <w:r w:rsidR="000D1147">
        <w:rPr>
          <w:rFonts w:ascii="Arial" w:hAnsi="Arial" w:cs="Arial"/>
          <w:bCs/>
          <w:lang w:val="es-UY"/>
        </w:rPr>
        <w:t>n</w:t>
      </w:r>
      <w:r w:rsidR="002A7B5B">
        <w:rPr>
          <w:rFonts w:ascii="Arial" w:hAnsi="Arial" w:cs="Arial"/>
          <w:bCs/>
          <w:lang w:val="es-UY"/>
        </w:rPr>
        <w:t xml:space="preserve">: Fundación Plenario Mujeres del Uruguay: Treinta y Tres: $ 1:133.628, Paysandú: $ 772.215, Rivera: $ 639.666, Artigas y Bella Unión: $ 639.876, Maldonado y San Carlos: $ 469.839, </w:t>
      </w:r>
      <w:r w:rsidR="00785748">
        <w:rPr>
          <w:rFonts w:ascii="Arial" w:hAnsi="Arial" w:cs="Arial"/>
          <w:bCs/>
          <w:lang w:val="es-UY"/>
        </w:rPr>
        <w:t xml:space="preserve">Montevideo: $ 3:507.684 y Tacuarembó y Paso de los Toros: $ 1:133.670; </w:t>
      </w:r>
      <w:r w:rsidR="00E00178">
        <w:rPr>
          <w:rFonts w:ascii="Arial" w:hAnsi="Arial" w:cs="Arial"/>
          <w:bCs/>
          <w:lang w:val="es-UY"/>
        </w:rPr>
        <w:t xml:space="preserve">Movimiento Paulina </w:t>
      </w:r>
      <w:proofErr w:type="spellStart"/>
      <w:r w:rsidR="00E00178">
        <w:rPr>
          <w:rFonts w:ascii="Arial" w:hAnsi="Arial" w:cs="Arial"/>
          <w:bCs/>
          <w:lang w:val="es-UY"/>
        </w:rPr>
        <w:t>Luisi</w:t>
      </w:r>
      <w:proofErr w:type="spellEnd"/>
      <w:r w:rsidR="00E00178">
        <w:rPr>
          <w:rFonts w:ascii="Arial" w:hAnsi="Arial" w:cs="Arial"/>
          <w:bCs/>
          <w:lang w:val="es-UY"/>
        </w:rPr>
        <w:t>: Cerro Largo: $ 2:539.839; Centro de Participación Popular: Durazno: $ 529.539; Mujeres sin miedo: Lavalleja: $ 571.905; Instituto Mujer y Sociedad: Ciudad de la Costa y Costa de Oro: $ 855.555 y Pando y eje Ruta 7 y 8 con movilidad a Las Piedras y ruta 5 y dep</w:t>
      </w:r>
      <w:r w:rsidR="003F5708">
        <w:rPr>
          <w:rFonts w:ascii="Arial" w:hAnsi="Arial" w:cs="Arial"/>
          <w:bCs/>
          <w:lang w:val="es-UY"/>
        </w:rPr>
        <w:t>ar</w:t>
      </w:r>
      <w:r w:rsidR="00E00178">
        <w:rPr>
          <w:rFonts w:ascii="Arial" w:hAnsi="Arial" w:cs="Arial"/>
          <w:bCs/>
          <w:lang w:val="es-UY"/>
        </w:rPr>
        <w:t>t</w:t>
      </w:r>
      <w:r w:rsidR="003F5708">
        <w:rPr>
          <w:rFonts w:ascii="Arial" w:hAnsi="Arial" w:cs="Arial"/>
          <w:bCs/>
          <w:lang w:val="es-UY"/>
        </w:rPr>
        <w:t>ament</w:t>
      </w:r>
      <w:r w:rsidR="00E00178">
        <w:rPr>
          <w:rFonts w:ascii="Arial" w:hAnsi="Arial" w:cs="Arial"/>
          <w:bCs/>
          <w:lang w:val="es-UY"/>
        </w:rPr>
        <w:t>o de Canelones: $ 1:154.</w:t>
      </w:r>
      <w:r w:rsidR="000628E1">
        <w:rPr>
          <w:rFonts w:ascii="Arial" w:hAnsi="Arial" w:cs="Arial"/>
          <w:bCs/>
          <w:lang w:val="es-UY"/>
        </w:rPr>
        <w:t>612</w:t>
      </w:r>
      <w:r w:rsidR="000D1147">
        <w:rPr>
          <w:rFonts w:ascii="Arial" w:hAnsi="Arial" w:cs="Arial"/>
          <w:bCs/>
          <w:lang w:val="es-UY"/>
        </w:rPr>
        <w:t xml:space="preserve"> </w:t>
      </w:r>
      <w:r w:rsidR="003F5708">
        <w:rPr>
          <w:rFonts w:ascii="Arial" w:hAnsi="Arial" w:cs="Arial"/>
          <w:bCs/>
          <w:lang w:val="es-UY"/>
        </w:rPr>
        <w:t>. T</w:t>
      </w:r>
      <w:r w:rsidR="000D1147">
        <w:rPr>
          <w:rFonts w:ascii="Arial" w:hAnsi="Arial" w:cs="Arial"/>
          <w:bCs/>
          <w:lang w:val="es-UY"/>
        </w:rPr>
        <w:t>otal</w:t>
      </w:r>
      <w:r w:rsidR="003F5708">
        <w:rPr>
          <w:rFonts w:ascii="Arial" w:hAnsi="Arial" w:cs="Arial"/>
          <w:bCs/>
          <w:lang w:val="es-UY"/>
        </w:rPr>
        <w:t>,</w:t>
      </w:r>
      <w:r w:rsidR="000D1147">
        <w:rPr>
          <w:rFonts w:ascii="Arial" w:hAnsi="Arial" w:cs="Arial"/>
          <w:bCs/>
          <w:lang w:val="es-UY"/>
        </w:rPr>
        <w:t xml:space="preserve"> hasta </w:t>
      </w:r>
      <w:r w:rsidR="000D1147" w:rsidRPr="00BB1632">
        <w:rPr>
          <w:rFonts w:ascii="Arial" w:hAnsi="Arial" w:cs="Arial"/>
          <w:bCs/>
          <w:lang w:val="es-UY"/>
        </w:rPr>
        <w:t>$ 15:975.821</w:t>
      </w:r>
      <w:r w:rsidR="003F5708" w:rsidRPr="00E764F1">
        <w:rPr>
          <w:rFonts w:ascii="Arial" w:hAnsi="Arial" w:cs="Arial"/>
          <w:b/>
          <w:bCs/>
          <w:lang w:val="es-UY"/>
        </w:rPr>
        <w:t>,</w:t>
      </w:r>
      <w:r w:rsidR="003F5708">
        <w:rPr>
          <w:rFonts w:ascii="Arial" w:hAnsi="Arial" w:cs="Arial"/>
          <w:bCs/>
          <w:lang w:val="es-UY"/>
        </w:rPr>
        <w:t xml:space="preserve"> al amparo del artículo 74 del TOCAF</w:t>
      </w:r>
      <w:r w:rsidR="00042930">
        <w:rPr>
          <w:rFonts w:ascii="Arial" w:hAnsi="Arial" w:cs="Arial"/>
          <w:bCs/>
          <w:lang w:val="es-UY"/>
        </w:rPr>
        <w:t xml:space="preserve">. </w:t>
      </w:r>
      <w:r w:rsidR="000D1147">
        <w:rPr>
          <w:rFonts w:ascii="Arial" w:hAnsi="Arial" w:cs="Arial"/>
          <w:bCs/>
          <w:lang w:val="es-UY"/>
        </w:rPr>
        <w:t xml:space="preserve">Se establece que las partidas a transferir se abonarán en tres partidas iguales, pagaderas: la primera dentro de los 60 días siguientes a la suscripción del convenio; y la segunda y tercera partida serán </w:t>
      </w:r>
      <w:r w:rsidR="000A5CB3">
        <w:rPr>
          <w:rFonts w:ascii="Arial" w:hAnsi="Arial" w:cs="Arial"/>
          <w:bCs/>
          <w:lang w:val="es-UY"/>
        </w:rPr>
        <w:t>pagaderas previa presentación de los informes de rendición de cuentas respectivos;</w:t>
      </w:r>
    </w:p>
    <w:p w:rsidR="000628E1" w:rsidRDefault="003F5708" w:rsidP="000628E1">
      <w:pPr>
        <w:tabs>
          <w:tab w:val="left" w:pos="2552"/>
        </w:tabs>
        <w:spacing w:line="360" w:lineRule="auto"/>
        <w:jc w:val="both"/>
        <w:rPr>
          <w:rFonts w:ascii="Arial" w:hAnsi="Arial" w:cs="Arial"/>
          <w:bCs/>
          <w:lang w:val="es-UY"/>
        </w:rPr>
      </w:pPr>
      <w:r>
        <w:rPr>
          <w:rFonts w:ascii="Arial" w:hAnsi="Arial" w:cs="Arial"/>
          <w:bCs/>
          <w:lang w:val="es-UY"/>
        </w:rPr>
        <w:t xml:space="preserve">                                         </w:t>
      </w:r>
      <w:r w:rsidR="00042930" w:rsidRPr="00042930">
        <w:rPr>
          <w:rFonts w:ascii="Arial" w:hAnsi="Arial" w:cs="Arial"/>
          <w:b/>
          <w:bCs/>
          <w:lang w:val="es-UY"/>
        </w:rPr>
        <w:t>9.</w:t>
      </w:r>
      <w:r w:rsidR="00042930">
        <w:rPr>
          <w:rFonts w:ascii="Arial" w:hAnsi="Arial" w:cs="Arial"/>
          <w:b/>
          <w:bCs/>
          <w:lang w:val="es-UY"/>
        </w:rPr>
        <w:t>3</w:t>
      </w:r>
      <w:r w:rsidRPr="003F5708">
        <w:rPr>
          <w:rFonts w:ascii="Arial" w:hAnsi="Arial" w:cs="Arial"/>
          <w:b/>
          <w:bCs/>
          <w:lang w:val="es-UY"/>
        </w:rPr>
        <w:t>)</w:t>
      </w:r>
      <w:r>
        <w:rPr>
          <w:rFonts w:ascii="Arial" w:hAnsi="Arial" w:cs="Arial"/>
          <w:bCs/>
          <w:lang w:val="es-UY"/>
        </w:rPr>
        <w:t xml:space="preserve"> Consta documento de Afectación Nº 185 de 2/04/2019 con cargo al Inciso 15, U.E. 002, Financiamiento 1.1, </w:t>
      </w:r>
      <w:proofErr w:type="spellStart"/>
      <w:r>
        <w:rPr>
          <w:rFonts w:ascii="Arial" w:hAnsi="Arial" w:cs="Arial"/>
          <w:bCs/>
          <w:lang w:val="es-UY"/>
        </w:rPr>
        <w:t>Prog</w:t>
      </w:r>
      <w:proofErr w:type="spellEnd"/>
      <w:r>
        <w:rPr>
          <w:rFonts w:ascii="Arial" w:hAnsi="Arial" w:cs="Arial"/>
          <w:bCs/>
          <w:lang w:val="es-UY"/>
        </w:rPr>
        <w:t xml:space="preserve">. 400, </w:t>
      </w:r>
      <w:proofErr w:type="spellStart"/>
      <w:r>
        <w:rPr>
          <w:rFonts w:ascii="Arial" w:hAnsi="Arial" w:cs="Arial"/>
          <w:bCs/>
          <w:lang w:val="es-UY"/>
        </w:rPr>
        <w:t>Proy</w:t>
      </w:r>
      <w:proofErr w:type="spellEnd"/>
      <w:r>
        <w:rPr>
          <w:rFonts w:ascii="Arial" w:hAnsi="Arial" w:cs="Arial"/>
          <w:bCs/>
          <w:lang w:val="es-UY"/>
        </w:rPr>
        <w:t xml:space="preserve"> 121, </w:t>
      </w:r>
      <w:proofErr w:type="spellStart"/>
      <w:r>
        <w:rPr>
          <w:rFonts w:ascii="Arial" w:hAnsi="Arial" w:cs="Arial"/>
          <w:bCs/>
          <w:lang w:val="es-UY"/>
        </w:rPr>
        <w:t>Obj</w:t>
      </w:r>
      <w:proofErr w:type="spellEnd"/>
      <w:r>
        <w:rPr>
          <w:rFonts w:ascii="Arial" w:hAnsi="Arial" w:cs="Arial"/>
          <w:bCs/>
          <w:lang w:val="es-UY"/>
        </w:rPr>
        <w:t>. Gas. 554, por un total nominal de $ 10.650.548;</w:t>
      </w:r>
      <w:r w:rsidR="000628E1">
        <w:rPr>
          <w:rFonts w:ascii="Arial" w:hAnsi="Arial" w:cs="Arial"/>
          <w:bCs/>
          <w:lang w:val="es-UY"/>
        </w:rPr>
        <w:tab/>
      </w:r>
    </w:p>
    <w:p w:rsidR="00843AA4" w:rsidRDefault="00D73E50" w:rsidP="00843AA4">
      <w:pPr>
        <w:spacing w:line="360" w:lineRule="auto"/>
        <w:ind w:firstLine="708"/>
        <w:jc w:val="both"/>
        <w:rPr>
          <w:rFonts w:ascii="Arial" w:hAnsi="Arial" w:cs="Arial"/>
          <w:lang w:val="es-UY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CONSIDERANDO:</w:t>
      </w:r>
      <w:r w:rsidR="00B445D8">
        <w:rPr>
          <w:rFonts w:ascii="Arial" w:hAnsi="Arial" w:cs="Arial"/>
          <w:b/>
        </w:rPr>
        <w:t xml:space="preserve"> </w:t>
      </w:r>
      <w:r w:rsidR="001D3DF4" w:rsidRPr="00F07C11">
        <w:rPr>
          <w:rFonts w:ascii="Arial" w:hAnsi="Arial" w:cs="Arial"/>
          <w:b/>
        </w:rPr>
        <w:t>1)</w:t>
      </w:r>
      <w:r w:rsidR="001D3DF4">
        <w:rPr>
          <w:rFonts w:ascii="Arial" w:hAnsi="Arial" w:cs="Arial"/>
        </w:rPr>
        <w:t xml:space="preserve"> </w:t>
      </w:r>
      <w:r w:rsidR="00843AA4" w:rsidRPr="00843AA4">
        <w:rPr>
          <w:rFonts w:ascii="Arial" w:hAnsi="Arial" w:cs="Arial"/>
          <w:lang w:val="es-UY"/>
        </w:rPr>
        <w:t>que</w:t>
      </w:r>
      <w:r w:rsidR="00843AA4">
        <w:rPr>
          <w:rFonts w:ascii="Arial" w:hAnsi="Arial" w:cs="Arial"/>
          <w:lang w:val="es-UY"/>
        </w:rPr>
        <w:t xml:space="preserve"> las contrataciones referidas </w:t>
      </w:r>
      <w:r w:rsidR="00843AA4">
        <w:rPr>
          <w:rFonts w:ascii="Arial" w:hAnsi="Arial" w:cs="Arial"/>
        </w:rPr>
        <w:t>se encuentran vigentes, en virtud de que</w:t>
      </w:r>
      <w:r w:rsidR="0044727F">
        <w:rPr>
          <w:rFonts w:ascii="Arial" w:hAnsi="Arial" w:cs="Arial"/>
        </w:rPr>
        <w:t>,</w:t>
      </w:r>
      <w:r w:rsidR="00843AA4">
        <w:rPr>
          <w:rFonts w:ascii="Arial" w:hAnsi="Arial" w:cs="Arial"/>
        </w:rPr>
        <w:t xml:space="preserve"> la segunda prórroga dispuesta</w:t>
      </w:r>
      <w:r w:rsidR="00BB1632">
        <w:rPr>
          <w:rFonts w:ascii="Arial" w:hAnsi="Arial" w:cs="Arial"/>
        </w:rPr>
        <w:t>,</w:t>
      </w:r>
      <w:r w:rsidR="00843AA4">
        <w:rPr>
          <w:rFonts w:ascii="Arial" w:hAnsi="Arial" w:cs="Arial"/>
        </w:rPr>
        <w:t xml:space="preserve"> rige hasta el 2 de mayo del 2020;</w:t>
      </w:r>
    </w:p>
    <w:p w:rsidR="00843AA4" w:rsidRPr="00843AA4" w:rsidRDefault="00843AA4" w:rsidP="00843AA4">
      <w:pPr>
        <w:spacing w:line="360" w:lineRule="auto"/>
        <w:ind w:firstLine="708"/>
        <w:jc w:val="both"/>
        <w:rPr>
          <w:rFonts w:ascii="Arial" w:hAnsi="Arial" w:cs="Arial"/>
          <w:lang w:val="es-UY"/>
        </w:rPr>
      </w:pPr>
      <w:r w:rsidRPr="00843AA4">
        <w:rPr>
          <w:rFonts w:ascii="Arial" w:hAnsi="Arial" w:cs="Arial"/>
          <w:lang w:val="es-UY"/>
        </w:rPr>
        <w:t xml:space="preserve"> </w:t>
      </w:r>
      <w:r>
        <w:rPr>
          <w:rFonts w:ascii="Arial" w:hAnsi="Arial" w:cs="Arial"/>
          <w:lang w:val="es-UY"/>
        </w:rPr>
        <w:t xml:space="preserve">                                     </w:t>
      </w:r>
      <w:r>
        <w:rPr>
          <w:rFonts w:ascii="Arial" w:hAnsi="Arial" w:cs="Arial"/>
          <w:b/>
          <w:lang w:val="es-UY"/>
        </w:rPr>
        <w:t xml:space="preserve">2) </w:t>
      </w:r>
      <w:r>
        <w:rPr>
          <w:rFonts w:ascii="Arial" w:hAnsi="Arial" w:cs="Arial"/>
          <w:lang w:val="es-UY"/>
        </w:rPr>
        <w:t xml:space="preserve">que por tanto, </w:t>
      </w:r>
      <w:r w:rsidRPr="00843AA4">
        <w:rPr>
          <w:rFonts w:ascii="Arial" w:hAnsi="Arial" w:cs="Arial"/>
          <w:lang w:val="es-UY"/>
        </w:rPr>
        <w:t>la</w:t>
      </w:r>
      <w:r>
        <w:rPr>
          <w:rFonts w:ascii="Arial" w:hAnsi="Arial" w:cs="Arial"/>
          <w:lang w:val="es-UY"/>
        </w:rPr>
        <w:t>s</w:t>
      </w:r>
      <w:r w:rsidRPr="00843AA4">
        <w:rPr>
          <w:rFonts w:ascii="Arial" w:hAnsi="Arial" w:cs="Arial"/>
          <w:lang w:val="es-UY"/>
        </w:rPr>
        <w:t xml:space="preserve"> ampliaci</w:t>
      </w:r>
      <w:r>
        <w:rPr>
          <w:rFonts w:ascii="Arial" w:hAnsi="Arial" w:cs="Arial"/>
          <w:lang w:val="es-UY"/>
        </w:rPr>
        <w:t>ones</w:t>
      </w:r>
      <w:r w:rsidRPr="00843AA4">
        <w:rPr>
          <w:rFonts w:ascii="Arial" w:hAnsi="Arial" w:cs="Arial"/>
          <w:lang w:val="es-UY"/>
        </w:rPr>
        <w:t xml:space="preserve"> </w:t>
      </w:r>
      <w:r>
        <w:rPr>
          <w:rFonts w:ascii="Arial" w:hAnsi="Arial" w:cs="Arial"/>
          <w:lang w:val="es-UY"/>
        </w:rPr>
        <w:t>proyectadas</w:t>
      </w:r>
      <w:r w:rsidRPr="00843AA4">
        <w:rPr>
          <w:rFonts w:ascii="Arial" w:hAnsi="Arial" w:cs="Arial"/>
          <w:lang w:val="es-UY"/>
        </w:rPr>
        <w:t xml:space="preserve"> encuadra</w:t>
      </w:r>
      <w:r>
        <w:rPr>
          <w:rFonts w:ascii="Arial" w:hAnsi="Arial" w:cs="Arial"/>
          <w:lang w:val="es-UY"/>
        </w:rPr>
        <w:t>n</w:t>
      </w:r>
      <w:r w:rsidRPr="00843AA4">
        <w:rPr>
          <w:rFonts w:ascii="Arial" w:hAnsi="Arial" w:cs="Arial"/>
          <w:lang w:val="es-UY"/>
        </w:rPr>
        <w:t xml:space="preserve"> en lo establecido en el artículo 74 del TOCAF, por lo que el gasto no merece observaciones; </w:t>
      </w:r>
    </w:p>
    <w:p w:rsidR="00843AA4" w:rsidRPr="00843AA4" w:rsidRDefault="00843AA4" w:rsidP="00843AA4">
      <w:pPr>
        <w:spacing w:line="360" w:lineRule="auto"/>
        <w:ind w:firstLine="708"/>
        <w:jc w:val="both"/>
        <w:rPr>
          <w:rFonts w:ascii="Arial" w:hAnsi="Arial" w:cs="Arial"/>
          <w:lang w:val="es-UY"/>
        </w:rPr>
      </w:pPr>
      <w:r w:rsidRPr="00843AA4">
        <w:rPr>
          <w:rFonts w:ascii="Arial" w:hAnsi="Arial" w:cs="Arial"/>
          <w:b/>
          <w:lang w:val="es-UY"/>
        </w:rPr>
        <w:t>ATENTO:</w:t>
      </w:r>
      <w:r w:rsidRPr="00FA6A34">
        <w:rPr>
          <w:rFonts w:ascii="Arial" w:hAnsi="Arial" w:cs="Arial"/>
          <w:b/>
          <w:lang w:val="es-UY"/>
        </w:rPr>
        <w:t xml:space="preserve"> </w:t>
      </w:r>
      <w:r w:rsidRPr="00843AA4">
        <w:rPr>
          <w:rFonts w:ascii="Arial" w:hAnsi="Arial" w:cs="Arial"/>
          <w:lang w:val="es-UY"/>
        </w:rPr>
        <w:t>a lo precedentemente expuesto y a lo dispuesto por el artículo 211, literal B) de la Constitución de la República;</w:t>
      </w:r>
    </w:p>
    <w:p w:rsidR="00843AA4" w:rsidRDefault="00843AA4" w:rsidP="00843AA4">
      <w:pPr>
        <w:pStyle w:val="Ttulo2"/>
        <w:spacing w:line="360" w:lineRule="auto"/>
        <w:rPr>
          <w:lang w:val="es-UY"/>
        </w:rPr>
      </w:pPr>
    </w:p>
    <w:p w:rsidR="00843AA4" w:rsidRPr="00632284" w:rsidRDefault="00843AA4" w:rsidP="00D154CC">
      <w:pPr>
        <w:pStyle w:val="Ttulo2"/>
        <w:spacing w:line="360" w:lineRule="auto"/>
        <w:rPr>
          <w:lang w:val="es-UY"/>
        </w:rPr>
      </w:pPr>
      <w:r>
        <w:rPr>
          <w:lang w:val="es-UY"/>
        </w:rPr>
        <w:t>EL TRIBUNAL ACUERDA</w:t>
      </w:r>
    </w:p>
    <w:p w:rsidR="00843AA4" w:rsidRPr="007446E4" w:rsidRDefault="00843AA4" w:rsidP="00D154CC">
      <w:pPr>
        <w:spacing w:line="360" w:lineRule="auto"/>
        <w:ind w:left="284" w:hanging="284"/>
        <w:jc w:val="both"/>
        <w:rPr>
          <w:rFonts w:ascii="Arial" w:hAnsi="Arial" w:cs="Arial"/>
          <w:bCs/>
        </w:rPr>
      </w:pPr>
      <w:r w:rsidRPr="007446E4">
        <w:rPr>
          <w:rFonts w:ascii="Arial" w:hAnsi="Arial" w:cs="Arial"/>
          <w:b/>
          <w:bCs/>
          <w:lang w:val="es-UY"/>
        </w:rPr>
        <w:t>1)</w:t>
      </w:r>
      <w:r w:rsidRPr="007446E4">
        <w:rPr>
          <w:rFonts w:ascii="Arial" w:hAnsi="Arial" w:cs="Arial"/>
          <w:bCs/>
          <w:lang w:val="es-UY"/>
        </w:rPr>
        <w:t xml:space="preserve"> Dictada la Resolución por el Ordenador competente, cométese</w:t>
      </w:r>
      <w:r w:rsidRPr="007446E4">
        <w:rPr>
          <w:rFonts w:ascii="Arial" w:hAnsi="Arial" w:cs="Arial"/>
          <w:bCs/>
        </w:rPr>
        <w:t xml:space="preserve"> al Contador Auditor en </w:t>
      </w:r>
      <w:r w:rsidRPr="007446E4">
        <w:rPr>
          <w:rFonts w:ascii="Arial" w:hAnsi="Arial" w:cs="Arial"/>
          <w:lang w:val="es-ES_tradnl"/>
        </w:rPr>
        <w:t>el Ministerio de Desarrollo Social (MIDES) la intervención del gasto de</w:t>
      </w:r>
      <w:r w:rsidRPr="007446E4">
        <w:rPr>
          <w:rFonts w:ascii="Arial" w:hAnsi="Arial" w:cs="Arial"/>
          <w:bCs/>
        </w:rPr>
        <w:t xml:space="preserve"> hasta </w:t>
      </w:r>
      <w:r w:rsidRPr="007446E4">
        <w:rPr>
          <w:rFonts w:ascii="Arial" w:hAnsi="Arial" w:cs="Arial"/>
          <w:bCs/>
          <w:lang w:val="es-ES_tradnl"/>
        </w:rPr>
        <w:t xml:space="preserve">$ </w:t>
      </w:r>
      <w:r w:rsidR="007446E4" w:rsidRPr="007446E4">
        <w:rPr>
          <w:rFonts w:ascii="Arial" w:hAnsi="Arial" w:cs="Arial"/>
          <w:bCs/>
          <w:lang w:val="es-UY"/>
        </w:rPr>
        <w:t>15:975.821</w:t>
      </w:r>
      <w:r w:rsidR="007446E4">
        <w:rPr>
          <w:rFonts w:ascii="Arial" w:hAnsi="Arial" w:cs="Arial"/>
          <w:bCs/>
          <w:lang w:val="es-UY"/>
        </w:rPr>
        <w:t>,</w:t>
      </w:r>
      <w:r w:rsidRPr="007446E4">
        <w:rPr>
          <w:rFonts w:ascii="Arial" w:hAnsi="Arial" w:cs="Arial"/>
          <w:bCs/>
          <w:lang w:val="es-ES_tradnl"/>
        </w:rPr>
        <w:t xml:space="preserve"> </w:t>
      </w:r>
      <w:r w:rsidRPr="007446E4">
        <w:rPr>
          <w:rFonts w:ascii="Arial" w:hAnsi="Arial" w:cs="Arial"/>
        </w:rPr>
        <w:t xml:space="preserve"> previo control de que </w:t>
      </w:r>
      <w:r w:rsidR="007446E4">
        <w:rPr>
          <w:rFonts w:ascii="Arial" w:hAnsi="Arial" w:cs="Arial"/>
        </w:rPr>
        <w:t>las ampliaciones</w:t>
      </w:r>
      <w:r w:rsidRPr="007446E4">
        <w:rPr>
          <w:rFonts w:ascii="Arial" w:hAnsi="Arial" w:cs="Arial"/>
        </w:rPr>
        <w:t xml:space="preserve"> no haya</w:t>
      </w:r>
      <w:r w:rsidR="007446E4">
        <w:rPr>
          <w:rFonts w:ascii="Arial" w:hAnsi="Arial" w:cs="Arial"/>
        </w:rPr>
        <w:t>n</w:t>
      </w:r>
      <w:r w:rsidRPr="007446E4">
        <w:rPr>
          <w:rFonts w:ascii="Arial" w:hAnsi="Arial" w:cs="Arial"/>
        </w:rPr>
        <w:t xml:space="preserve"> comenzado a ejecutarse y de su imputación en el Objeto del Gasto adecuado con disponibilidad suficiente, así como </w:t>
      </w:r>
      <w:r w:rsidRPr="007446E4">
        <w:rPr>
          <w:rFonts w:ascii="Arial" w:hAnsi="Arial" w:cs="Arial"/>
          <w:lang w:val="es-MX"/>
        </w:rPr>
        <w:t>el cumplimiento de lo establecido por el artículo 3 de la Ley N° 18.244 del 27.12.2007 (Deudores Alimentarios).</w:t>
      </w:r>
    </w:p>
    <w:p w:rsidR="00843AA4" w:rsidRPr="007446E4" w:rsidRDefault="00843AA4" w:rsidP="00D154CC">
      <w:pPr>
        <w:spacing w:line="360" w:lineRule="auto"/>
        <w:ind w:left="284" w:hanging="284"/>
        <w:jc w:val="both"/>
        <w:rPr>
          <w:rFonts w:ascii="Arial" w:hAnsi="Arial" w:cs="Arial"/>
          <w:bCs/>
        </w:rPr>
      </w:pPr>
      <w:r w:rsidRPr="007446E4">
        <w:rPr>
          <w:rFonts w:ascii="Arial" w:hAnsi="Arial" w:cs="Arial"/>
          <w:b/>
          <w:lang w:val="es-MX"/>
        </w:rPr>
        <w:t>2)</w:t>
      </w:r>
      <w:r w:rsidRPr="007446E4">
        <w:rPr>
          <w:rFonts w:ascii="Arial" w:hAnsi="Arial" w:cs="Arial"/>
          <w:lang w:val="es-MX"/>
        </w:rPr>
        <w:t xml:space="preserve"> Asimismo, </w:t>
      </w:r>
      <w:proofErr w:type="spellStart"/>
      <w:r w:rsidRPr="007446E4">
        <w:rPr>
          <w:rFonts w:ascii="Arial" w:hAnsi="Arial" w:cs="Arial"/>
          <w:lang w:val="es-MX"/>
        </w:rPr>
        <w:t>cométese</w:t>
      </w:r>
      <w:proofErr w:type="spellEnd"/>
      <w:r w:rsidRPr="007446E4">
        <w:rPr>
          <w:rFonts w:ascii="Arial" w:hAnsi="Arial" w:cs="Arial"/>
          <w:lang w:val="es-MX"/>
        </w:rPr>
        <w:t xml:space="preserve"> </w:t>
      </w:r>
      <w:r w:rsidRPr="007446E4">
        <w:rPr>
          <w:rFonts w:ascii="Arial" w:hAnsi="Arial" w:cs="Arial"/>
        </w:rPr>
        <w:t>al Contador Auditor la verificación que la Resolución definitiva concuerde con las condiciones de la contratación sometidos a este Tribunal (artículo 8 de la Ordenanza Nº 27 de fecha 22.05.58 en la redacción sustitutiva dispuesta por Ordenanza s/n del Tribunal de Cuentas del 16.06.2010)</w:t>
      </w:r>
      <w:r w:rsidR="00D154CC">
        <w:rPr>
          <w:rFonts w:ascii="Arial" w:hAnsi="Arial" w:cs="Arial"/>
        </w:rPr>
        <w:t>.</w:t>
      </w:r>
    </w:p>
    <w:p w:rsidR="00843AA4" w:rsidRPr="007446E4" w:rsidRDefault="00843AA4" w:rsidP="00D154CC">
      <w:pPr>
        <w:spacing w:line="360" w:lineRule="auto"/>
        <w:jc w:val="both"/>
        <w:rPr>
          <w:rFonts w:ascii="Arial" w:hAnsi="Arial" w:cs="Arial"/>
          <w:bCs/>
        </w:rPr>
      </w:pPr>
      <w:r w:rsidRPr="007446E4">
        <w:rPr>
          <w:rFonts w:ascii="Arial" w:hAnsi="Arial" w:cs="Arial"/>
          <w:b/>
        </w:rPr>
        <w:t>3)</w:t>
      </w:r>
      <w:r w:rsidRPr="007446E4">
        <w:rPr>
          <w:rFonts w:ascii="Arial" w:hAnsi="Arial" w:cs="Arial"/>
        </w:rPr>
        <w:t xml:space="preserve"> Comun</w:t>
      </w:r>
      <w:r w:rsidR="00BB1632">
        <w:rPr>
          <w:rFonts w:ascii="Arial" w:hAnsi="Arial" w:cs="Arial"/>
        </w:rPr>
        <w:t xml:space="preserve">íquese </w:t>
      </w:r>
      <w:r w:rsidRPr="007446E4">
        <w:rPr>
          <w:rFonts w:ascii="Arial" w:hAnsi="Arial" w:cs="Arial"/>
        </w:rPr>
        <w:t>al Contador Auditor.</w:t>
      </w:r>
    </w:p>
    <w:p w:rsidR="00843AA4" w:rsidRDefault="00843AA4" w:rsidP="00D154CC">
      <w:pPr>
        <w:spacing w:line="360" w:lineRule="auto"/>
        <w:jc w:val="both"/>
        <w:rPr>
          <w:rFonts w:ascii="Arial" w:hAnsi="Arial" w:cs="Arial"/>
        </w:rPr>
      </w:pPr>
      <w:r w:rsidRPr="007446E4">
        <w:rPr>
          <w:rFonts w:ascii="Arial" w:hAnsi="Arial" w:cs="Arial"/>
          <w:b/>
        </w:rPr>
        <w:t>4)</w:t>
      </w:r>
      <w:r w:rsidRPr="007446E4">
        <w:rPr>
          <w:rFonts w:ascii="Arial" w:hAnsi="Arial" w:cs="Arial"/>
        </w:rPr>
        <w:t xml:space="preserve"> </w:t>
      </w:r>
      <w:r w:rsidR="00BB1632">
        <w:rPr>
          <w:rFonts w:ascii="Arial" w:hAnsi="Arial" w:cs="Arial"/>
        </w:rPr>
        <w:t>Devuélvase</w:t>
      </w:r>
      <w:r w:rsidRPr="007446E4">
        <w:rPr>
          <w:rFonts w:ascii="Arial" w:hAnsi="Arial" w:cs="Arial"/>
        </w:rPr>
        <w:t>.</w:t>
      </w:r>
    </w:p>
    <w:p w:rsidR="00D154CC" w:rsidRPr="00D154CC" w:rsidRDefault="00D154CC" w:rsidP="00D154CC">
      <w:pPr>
        <w:spacing w:line="360" w:lineRule="auto"/>
        <w:jc w:val="both"/>
        <w:rPr>
          <w:rFonts w:ascii="Arial" w:hAnsi="Arial" w:cs="Arial"/>
          <w:bCs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</w:rPr>
        <w:t>CLC</w:t>
      </w:r>
    </w:p>
    <w:sectPr w:rsidR="00D154CC" w:rsidRPr="00D154CC" w:rsidSect="00F002E7">
      <w:footerReference w:type="default" r:id="rId9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1EA" w:rsidRDefault="007411EA" w:rsidP="008174EA">
      <w:r>
        <w:separator/>
      </w:r>
    </w:p>
  </w:endnote>
  <w:endnote w:type="continuationSeparator" w:id="0">
    <w:p w:rsidR="007411EA" w:rsidRDefault="007411EA" w:rsidP="0081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6E4" w:rsidRDefault="007446E4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4F7BA1">
      <w:rPr>
        <w:noProof/>
      </w:rPr>
      <w:t>1</w:t>
    </w:r>
    <w:r>
      <w:rPr>
        <w:noProof/>
      </w:rPr>
      <w:fldChar w:fldCharType="end"/>
    </w:r>
  </w:p>
  <w:p w:rsidR="007446E4" w:rsidRDefault="007446E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1EA" w:rsidRDefault="007411EA" w:rsidP="008174EA">
      <w:r>
        <w:separator/>
      </w:r>
    </w:p>
  </w:footnote>
  <w:footnote w:type="continuationSeparator" w:id="0">
    <w:p w:rsidR="007411EA" w:rsidRDefault="007411EA" w:rsidP="00817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624CA"/>
    <w:multiLevelType w:val="hybridMultilevel"/>
    <w:tmpl w:val="C32E33E6"/>
    <w:lvl w:ilvl="0" w:tplc="CB503572">
      <w:start w:val="1"/>
      <w:numFmt w:val="decimal"/>
      <w:lvlText w:val="%1)"/>
      <w:lvlJc w:val="left"/>
      <w:pPr>
        <w:ind w:left="915" w:hanging="55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C391D"/>
    <w:multiLevelType w:val="hybridMultilevel"/>
    <w:tmpl w:val="E8E407B6"/>
    <w:lvl w:ilvl="0" w:tplc="B24ECA84">
      <w:start w:val="1"/>
      <w:numFmt w:val="upperLetter"/>
      <w:lvlText w:val="%1)"/>
      <w:lvlJc w:val="left"/>
      <w:pPr>
        <w:ind w:left="1068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788" w:hanging="360"/>
      </w:pPr>
    </w:lvl>
    <w:lvl w:ilvl="2" w:tplc="380A001B" w:tentative="1">
      <w:start w:val="1"/>
      <w:numFmt w:val="lowerRoman"/>
      <w:lvlText w:val="%3."/>
      <w:lvlJc w:val="right"/>
      <w:pPr>
        <w:ind w:left="2508" w:hanging="180"/>
      </w:pPr>
    </w:lvl>
    <w:lvl w:ilvl="3" w:tplc="380A000F" w:tentative="1">
      <w:start w:val="1"/>
      <w:numFmt w:val="decimal"/>
      <w:lvlText w:val="%4."/>
      <w:lvlJc w:val="left"/>
      <w:pPr>
        <w:ind w:left="3228" w:hanging="360"/>
      </w:pPr>
    </w:lvl>
    <w:lvl w:ilvl="4" w:tplc="380A0019" w:tentative="1">
      <w:start w:val="1"/>
      <w:numFmt w:val="lowerLetter"/>
      <w:lvlText w:val="%5."/>
      <w:lvlJc w:val="left"/>
      <w:pPr>
        <w:ind w:left="3948" w:hanging="360"/>
      </w:pPr>
    </w:lvl>
    <w:lvl w:ilvl="5" w:tplc="380A001B" w:tentative="1">
      <w:start w:val="1"/>
      <w:numFmt w:val="lowerRoman"/>
      <w:lvlText w:val="%6."/>
      <w:lvlJc w:val="right"/>
      <w:pPr>
        <w:ind w:left="4668" w:hanging="180"/>
      </w:pPr>
    </w:lvl>
    <w:lvl w:ilvl="6" w:tplc="380A000F" w:tentative="1">
      <w:start w:val="1"/>
      <w:numFmt w:val="decimal"/>
      <w:lvlText w:val="%7."/>
      <w:lvlJc w:val="left"/>
      <w:pPr>
        <w:ind w:left="5388" w:hanging="360"/>
      </w:pPr>
    </w:lvl>
    <w:lvl w:ilvl="7" w:tplc="380A0019" w:tentative="1">
      <w:start w:val="1"/>
      <w:numFmt w:val="lowerLetter"/>
      <w:lvlText w:val="%8."/>
      <w:lvlJc w:val="left"/>
      <w:pPr>
        <w:ind w:left="6108" w:hanging="360"/>
      </w:pPr>
    </w:lvl>
    <w:lvl w:ilvl="8" w:tplc="3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C1125E9"/>
    <w:multiLevelType w:val="hybridMultilevel"/>
    <w:tmpl w:val="5F920256"/>
    <w:lvl w:ilvl="0" w:tplc="29A87B22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788" w:hanging="360"/>
      </w:pPr>
    </w:lvl>
    <w:lvl w:ilvl="2" w:tplc="380A001B" w:tentative="1">
      <w:start w:val="1"/>
      <w:numFmt w:val="lowerRoman"/>
      <w:lvlText w:val="%3."/>
      <w:lvlJc w:val="right"/>
      <w:pPr>
        <w:ind w:left="2508" w:hanging="180"/>
      </w:pPr>
    </w:lvl>
    <w:lvl w:ilvl="3" w:tplc="380A000F" w:tentative="1">
      <w:start w:val="1"/>
      <w:numFmt w:val="decimal"/>
      <w:lvlText w:val="%4."/>
      <w:lvlJc w:val="left"/>
      <w:pPr>
        <w:ind w:left="3228" w:hanging="360"/>
      </w:pPr>
    </w:lvl>
    <w:lvl w:ilvl="4" w:tplc="380A0019" w:tentative="1">
      <w:start w:val="1"/>
      <w:numFmt w:val="lowerLetter"/>
      <w:lvlText w:val="%5."/>
      <w:lvlJc w:val="left"/>
      <w:pPr>
        <w:ind w:left="3948" w:hanging="360"/>
      </w:pPr>
    </w:lvl>
    <w:lvl w:ilvl="5" w:tplc="380A001B" w:tentative="1">
      <w:start w:val="1"/>
      <w:numFmt w:val="lowerRoman"/>
      <w:lvlText w:val="%6."/>
      <w:lvlJc w:val="right"/>
      <w:pPr>
        <w:ind w:left="4668" w:hanging="180"/>
      </w:pPr>
    </w:lvl>
    <w:lvl w:ilvl="6" w:tplc="380A000F" w:tentative="1">
      <w:start w:val="1"/>
      <w:numFmt w:val="decimal"/>
      <w:lvlText w:val="%7."/>
      <w:lvlJc w:val="left"/>
      <w:pPr>
        <w:ind w:left="5388" w:hanging="360"/>
      </w:pPr>
    </w:lvl>
    <w:lvl w:ilvl="7" w:tplc="380A0019" w:tentative="1">
      <w:start w:val="1"/>
      <w:numFmt w:val="lowerLetter"/>
      <w:lvlText w:val="%8."/>
      <w:lvlJc w:val="left"/>
      <w:pPr>
        <w:ind w:left="6108" w:hanging="360"/>
      </w:pPr>
    </w:lvl>
    <w:lvl w:ilvl="8" w:tplc="3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D540E63"/>
    <w:multiLevelType w:val="hybridMultilevel"/>
    <w:tmpl w:val="D2DAA556"/>
    <w:lvl w:ilvl="0" w:tplc="AC3E78BA">
      <w:start w:val="1"/>
      <w:numFmt w:val="decimal"/>
      <w:lvlText w:val="%1)"/>
      <w:lvlJc w:val="left"/>
      <w:pPr>
        <w:ind w:left="1776" w:hanging="360"/>
      </w:pPr>
      <w:rPr>
        <w:rFonts w:cs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4">
    <w:nsid w:val="3F2667C5"/>
    <w:multiLevelType w:val="hybridMultilevel"/>
    <w:tmpl w:val="8D8EF146"/>
    <w:lvl w:ilvl="0" w:tplc="45E271F0">
      <w:start w:val="1"/>
      <w:numFmt w:val="upperRoman"/>
      <w:lvlText w:val="%1)"/>
      <w:lvlJc w:val="left"/>
      <w:pPr>
        <w:ind w:left="1428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41163183"/>
    <w:multiLevelType w:val="hybridMultilevel"/>
    <w:tmpl w:val="94DC60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11E617E"/>
    <w:multiLevelType w:val="hybridMultilevel"/>
    <w:tmpl w:val="A09613A6"/>
    <w:lvl w:ilvl="0" w:tplc="3238E780">
      <w:start w:val="1"/>
      <w:numFmt w:val="decimal"/>
      <w:lvlText w:val="%1)"/>
      <w:lvlJc w:val="left"/>
      <w:pPr>
        <w:ind w:left="1211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931" w:hanging="360"/>
      </w:pPr>
    </w:lvl>
    <w:lvl w:ilvl="2" w:tplc="0C0A001B">
      <w:start w:val="1"/>
      <w:numFmt w:val="lowerRoman"/>
      <w:lvlText w:val="%3."/>
      <w:lvlJc w:val="right"/>
      <w:pPr>
        <w:ind w:left="2651" w:hanging="180"/>
      </w:pPr>
    </w:lvl>
    <w:lvl w:ilvl="3" w:tplc="0C0A000F">
      <w:start w:val="1"/>
      <w:numFmt w:val="decimal"/>
      <w:lvlText w:val="%4."/>
      <w:lvlJc w:val="left"/>
      <w:pPr>
        <w:ind w:left="3371" w:hanging="360"/>
      </w:pPr>
    </w:lvl>
    <w:lvl w:ilvl="4" w:tplc="0C0A0019">
      <w:start w:val="1"/>
      <w:numFmt w:val="lowerLetter"/>
      <w:lvlText w:val="%5."/>
      <w:lvlJc w:val="left"/>
      <w:pPr>
        <w:ind w:left="4091" w:hanging="360"/>
      </w:pPr>
    </w:lvl>
    <w:lvl w:ilvl="5" w:tplc="0C0A001B">
      <w:start w:val="1"/>
      <w:numFmt w:val="lowerRoman"/>
      <w:lvlText w:val="%6."/>
      <w:lvlJc w:val="right"/>
      <w:pPr>
        <w:ind w:left="4811" w:hanging="180"/>
      </w:pPr>
    </w:lvl>
    <w:lvl w:ilvl="6" w:tplc="0C0A000F">
      <w:start w:val="1"/>
      <w:numFmt w:val="decimal"/>
      <w:lvlText w:val="%7."/>
      <w:lvlJc w:val="left"/>
      <w:pPr>
        <w:ind w:left="5531" w:hanging="360"/>
      </w:pPr>
    </w:lvl>
    <w:lvl w:ilvl="7" w:tplc="0C0A0019">
      <w:start w:val="1"/>
      <w:numFmt w:val="lowerLetter"/>
      <w:lvlText w:val="%8."/>
      <w:lvlJc w:val="left"/>
      <w:pPr>
        <w:ind w:left="6251" w:hanging="360"/>
      </w:pPr>
    </w:lvl>
    <w:lvl w:ilvl="8" w:tplc="0C0A001B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7263AEC"/>
    <w:multiLevelType w:val="hybridMultilevel"/>
    <w:tmpl w:val="6F5485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347807"/>
    <w:multiLevelType w:val="hybridMultilevel"/>
    <w:tmpl w:val="57D63644"/>
    <w:lvl w:ilvl="0" w:tplc="42285DB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508C562E"/>
    <w:multiLevelType w:val="hybridMultilevel"/>
    <w:tmpl w:val="C3341F86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FF699B"/>
    <w:multiLevelType w:val="hybridMultilevel"/>
    <w:tmpl w:val="4712F628"/>
    <w:lvl w:ilvl="0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">
    <w:nsid w:val="58FA3211"/>
    <w:multiLevelType w:val="hybridMultilevel"/>
    <w:tmpl w:val="80EC69D4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04A4CA6"/>
    <w:multiLevelType w:val="hybridMultilevel"/>
    <w:tmpl w:val="B972BBC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6906EC"/>
    <w:multiLevelType w:val="hybridMultilevel"/>
    <w:tmpl w:val="C6A64B5E"/>
    <w:lvl w:ilvl="0" w:tplc="AC1412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7230663"/>
    <w:multiLevelType w:val="hybridMultilevel"/>
    <w:tmpl w:val="C6A64B5E"/>
    <w:lvl w:ilvl="0" w:tplc="AC1412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10E773D"/>
    <w:multiLevelType w:val="hybridMultilevel"/>
    <w:tmpl w:val="3C6ED12C"/>
    <w:lvl w:ilvl="0" w:tplc="3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7F024BE9"/>
    <w:multiLevelType w:val="hybridMultilevel"/>
    <w:tmpl w:val="EA4E50D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6CF95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1"/>
  </w:num>
  <w:num w:numId="5">
    <w:abstractNumId w:val="10"/>
  </w:num>
  <w:num w:numId="6">
    <w:abstractNumId w:val="16"/>
  </w:num>
  <w:num w:numId="7">
    <w:abstractNumId w:val="8"/>
  </w:num>
  <w:num w:numId="8">
    <w:abstractNumId w:val="12"/>
  </w:num>
  <w:num w:numId="9">
    <w:abstractNumId w:val="5"/>
  </w:num>
  <w:num w:numId="10">
    <w:abstractNumId w:val="14"/>
  </w:num>
  <w:num w:numId="11">
    <w:abstractNumId w:val="13"/>
  </w:num>
  <w:num w:numId="12">
    <w:abstractNumId w:val="0"/>
  </w:num>
  <w:num w:numId="13">
    <w:abstractNumId w:val="15"/>
  </w:num>
  <w:num w:numId="14">
    <w:abstractNumId w:val="9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62C"/>
    <w:rsid w:val="00015B96"/>
    <w:rsid w:val="000178A9"/>
    <w:rsid w:val="000203BD"/>
    <w:rsid w:val="0002198B"/>
    <w:rsid w:val="000271FB"/>
    <w:rsid w:val="00030D58"/>
    <w:rsid w:val="00041C1A"/>
    <w:rsid w:val="00042930"/>
    <w:rsid w:val="00054CC0"/>
    <w:rsid w:val="000561CE"/>
    <w:rsid w:val="000628E1"/>
    <w:rsid w:val="00063DE4"/>
    <w:rsid w:val="00064DCD"/>
    <w:rsid w:val="00077028"/>
    <w:rsid w:val="00094D58"/>
    <w:rsid w:val="000A5CB3"/>
    <w:rsid w:val="000B0E79"/>
    <w:rsid w:val="000B3382"/>
    <w:rsid w:val="000B3949"/>
    <w:rsid w:val="000D0F41"/>
    <w:rsid w:val="000D1147"/>
    <w:rsid w:val="000D4577"/>
    <w:rsid w:val="000D481E"/>
    <w:rsid w:val="000F14B1"/>
    <w:rsid w:val="000F1E5C"/>
    <w:rsid w:val="000F2F8D"/>
    <w:rsid w:val="000F5063"/>
    <w:rsid w:val="001035C5"/>
    <w:rsid w:val="00110D4A"/>
    <w:rsid w:val="00113E26"/>
    <w:rsid w:val="0011702E"/>
    <w:rsid w:val="00117940"/>
    <w:rsid w:val="0013190C"/>
    <w:rsid w:val="001369EA"/>
    <w:rsid w:val="00141028"/>
    <w:rsid w:val="00142088"/>
    <w:rsid w:val="00147C12"/>
    <w:rsid w:val="00152818"/>
    <w:rsid w:val="001624B9"/>
    <w:rsid w:val="00166F38"/>
    <w:rsid w:val="0017174D"/>
    <w:rsid w:val="0017298B"/>
    <w:rsid w:val="0018516C"/>
    <w:rsid w:val="001B5CE6"/>
    <w:rsid w:val="001C7823"/>
    <w:rsid w:val="001D3DF4"/>
    <w:rsid w:val="001D7571"/>
    <w:rsid w:val="001E2770"/>
    <w:rsid w:val="001E48ED"/>
    <w:rsid w:val="001E4DF1"/>
    <w:rsid w:val="001E5382"/>
    <w:rsid w:val="001F15C1"/>
    <w:rsid w:val="001F74A1"/>
    <w:rsid w:val="002227C7"/>
    <w:rsid w:val="002235C4"/>
    <w:rsid w:val="0023199F"/>
    <w:rsid w:val="0024209D"/>
    <w:rsid w:val="00243EF5"/>
    <w:rsid w:val="0025545F"/>
    <w:rsid w:val="00255DCC"/>
    <w:rsid w:val="002747F2"/>
    <w:rsid w:val="00275088"/>
    <w:rsid w:val="00277D5F"/>
    <w:rsid w:val="0029349C"/>
    <w:rsid w:val="002A33C4"/>
    <w:rsid w:val="002A7B5B"/>
    <w:rsid w:val="002C44DD"/>
    <w:rsid w:val="002C72A1"/>
    <w:rsid w:val="002D516F"/>
    <w:rsid w:val="002E7E89"/>
    <w:rsid w:val="002F22A2"/>
    <w:rsid w:val="002F6C00"/>
    <w:rsid w:val="0030259D"/>
    <w:rsid w:val="00302B36"/>
    <w:rsid w:val="0031078F"/>
    <w:rsid w:val="003428CC"/>
    <w:rsid w:val="00352067"/>
    <w:rsid w:val="003642F9"/>
    <w:rsid w:val="003673AE"/>
    <w:rsid w:val="00373862"/>
    <w:rsid w:val="0037446E"/>
    <w:rsid w:val="00380414"/>
    <w:rsid w:val="00384FA4"/>
    <w:rsid w:val="00385DF3"/>
    <w:rsid w:val="00386FF9"/>
    <w:rsid w:val="00391B5E"/>
    <w:rsid w:val="00392882"/>
    <w:rsid w:val="003A1FA1"/>
    <w:rsid w:val="003A64D7"/>
    <w:rsid w:val="003A6A98"/>
    <w:rsid w:val="003B7F53"/>
    <w:rsid w:val="003C0311"/>
    <w:rsid w:val="003C38BD"/>
    <w:rsid w:val="003C664A"/>
    <w:rsid w:val="003D2821"/>
    <w:rsid w:val="003D3612"/>
    <w:rsid w:val="003D57BC"/>
    <w:rsid w:val="003F55F5"/>
    <w:rsid w:val="003F5708"/>
    <w:rsid w:val="00401D01"/>
    <w:rsid w:val="00421656"/>
    <w:rsid w:val="0044727F"/>
    <w:rsid w:val="004515EA"/>
    <w:rsid w:val="00465918"/>
    <w:rsid w:val="0047341C"/>
    <w:rsid w:val="00484EC7"/>
    <w:rsid w:val="0048721E"/>
    <w:rsid w:val="00495B86"/>
    <w:rsid w:val="004A07B5"/>
    <w:rsid w:val="004B2357"/>
    <w:rsid w:val="004B269B"/>
    <w:rsid w:val="004C2A2A"/>
    <w:rsid w:val="004F7BA1"/>
    <w:rsid w:val="0050694E"/>
    <w:rsid w:val="00512AB8"/>
    <w:rsid w:val="0052383D"/>
    <w:rsid w:val="005254DA"/>
    <w:rsid w:val="0053033D"/>
    <w:rsid w:val="00540757"/>
    <w:rsid w:val="00557EBA"/>
    <w:rsid w:val="005639FA"/>
    <w:rsid w:val="00565981"/>
    <w:rsid w:val="0057260A"/>
    <w:rsid w:val="00575C13"/>
    <w:rsid w:val="0057741D"/>
    <w:rsid w:val="00587439"/>
    <w:rsid w:val="00591601"/>
    <w:rsid w:val="005947E5"/>
    <w:rsid w:val="00594D92"/>
    <w:rsid w:val="005A05BC"/>
    <w:rsid w:val="005A275A"/>
    <w:rsid w:val="005C027D"/>
    <w:rsid w:val="005C0EF0"/>
    <w:rsid w:val="005C1C00"/>
    <w:rsid w:val="005C1F73"/>
    <w:rsid w:val="005C7F46"/>
    <w:rsid w:val="005E2A18"/>
    <w:rsid w:val="005E4C48"/>
    <w:rsid w:val="005F520E"/>
    <w:rsid w:val="00627113"/>
    <w:rsid w:val="00635AF6"/>
    <w:rsid w:val="00636E07"/>
    <w:rsid w:val="00636FC7"/>
    <w:rsid w:val="006433F5"/>
    <w:rsid w:val="006538D3"/>
    <w:rsid w:val="0066489D"/>
    <w:rsid w:val="00673CF9"/>
    <w:rsid w:val="00674909"/>
    <w:rsid w:val="006A69D9"/>
    <w:rsid w:val="006B2998"/>
    <w:rsid w:val="006C3787"/>
    <w:rsid w:val="006C7A2C"/>
    <w:rsid w:val="006C7DBB"/>
    <w:rsid w:val="006E70DC"/>
    <w:rsid w:val="006E7AA1"/>
    <w:rsid w:val="006F34E8"/>
    <w:rsid w:val="006F6124"/>
    <w:rsid w:val="006F685B"/>
    <w:rsid w:val="006F73B3"/>
    <w:rsid w:val="00710B8E"/>
    <w:rsid w:val="007230D8"/>
    <w:rsid w:val="00733AF4"/>
    <w:rsid w:val="007371DC"/>
    <w:rsid w:val="007411EA"/>
    <w:rsid w:val="00743B2C"/>
    <w:rsid w:val="007446E4"/>
    <w:rsid w:val="00744754"/>
    <w:rsid w:val="00760BCD"/>
    <w:rsid w:val="0076204C"/>
    <w:rsid w:val="0078234F"/>
    <w:rsid w:val="00785748"/>
    <w:rsid w:val="00790CD9"/>
    <w:rsid w:val="007B0513"/>
    <w:rsid w:val="007B0A94"/>
    <w:rsid w:val="007C0CFE"/>
    <w:rsid w:val="007C3904"/>
    <w:rsid w:val="007D08CC"/>
    <w:rsid w:val="007E0DCD"/>
    <w:rsid w:val="007F3FCD"/>
    <w:rsid w:val="007F5B12"/>
    <w:rsid w:val="00804E21"/>
    <w:rsid w:val="008168B2"/>
    <w:rsid w:val="008174EA"/>
    <w:rsid w:val="008326B5"/>
    <w:rsid w:val="008329F1"/>
    <w:rsid w:val="00841AD4"/>
    <w:rsid w:val="00843AA4"/>
    <w:rsid w:val="00845268"/>
    <w:rsid w:val="00850089"/>
    <w:rsid w:val="00850990"/>
    <w:rsid w:val="008579A1"/>
    <w:rsid w:val="008650D1"/>
    <w:rsid w:val="008653F2"/>
    <w:rsid w:val="00865735"/>
    <w:rsid w:val="00870F22"/>
    <w:rsid w:val="00871C76"/>
    <w:rsid w:val="00872DB1"/>
    <w:rsid w:val="008A0EAE"/>
    <w:rsid w:val="008A2038"/>
    <w:rsid w:val="008A7446"/>
    <w:rsid w:val="008C2423"/>
    <w:rsid w:val="008C3260"/>
    <w:rsid w:val="008D625B"/>
    <w:rsid w:val="00902499"/>
    <w:rsid w:val="00905A56"/>
    <w:rsid w:val="0091155A"/>
    <w:rsid w:val="00912B8C"/>
    <w:rsid w:val="00925917"/>
    <w:rsid w:val="00933FFC"/>
    <w:rsid w:val="00934C4A"/>
    <w:rsid w:val="00935ED9"/>
    <w:rsid w:val="009365EB"/>
    <w:rsid w:val="0094066C"/>
    <w:rsid w:val="00941F67"/>
    <w:rsid w:val="00946521"/>
    <w:rsid w:val="00947633"/>
    <w:rsid w:val="00951AEB"/>
    <w:rsid w:val="009563C8"/>
    <w:rsid w:val="009912E0"/>
    <w:rsid w:val="00993583"/>
    <w:rsid w:val="0099662C"/>
    <w:rsid w:val="009A36C2"/>
    <w:rsid w:val="009A7CFA"/>
    <w:rsid w:val="009B1F70"/>
    <w:rsid w:val="009E24A7"/>
    <w:rsid w:val="009E2993"/>
    <w:rsid w:val="009E35F4"/>
    <w:rsid w:val="009F064C"/>
    <w:rsid w:val="00A046AB"/>
    <w:rsid w:val="00A075FE"/>
    <w:rsid w:val="00A12535"/>
    <w:rsid w:val="00A409CF"/>
    <w:rsid w:val="00A45F6D"/>
    <w:rsid w:val="00A568EA"/>
    <w:rsid w:val="00A56E5C"/>
    <w:rsid w:val="00A64DE1"/>
    <w:rsid w:val="00A66173"/>
    <w:rsid w:val="00A85991"/>
    <w:rsid w:val="00A96E75"/>
    <w:rsid w:val="00AB56E6"/>
    <w:rsid w:val="00AB709A"/>
    <w:rsid w:val="00AC5B97"/>
    <w:rsid w:val="00AD498D"/>
    <w:rsid w:val="00AE3769"/>
    <w:rsid w:val="00B054F9"/>
    <w:rsid w:val="00B13B2F"/>
    <w:rsid w:val="00B1681C"/>
    <w:rsid w:val="00B17E07"/>
    <w:rsid w:val="00B25871"/>
    <w:rsid w:val="00B3372B"/>
    <w:rsid w:val="00B36F26"/>
    <w:rsid w:val="00B445D8"/>
    <w:rsid w:val="00B505F0"/>
    <w:rsid w:val="00B51A33"/>
    <w:rsid w:val="00B53B67"/>
    <w:rsid w:val="00B559BD"/>
    <w:rsid w:val="00B65C1E"/>
    <w:rsid w:val="00B7166F"/>
    <w:rsid w:val="00B81465"/>
    <w:rsid w:val="00B9764E"/>
    <w:rsid w:val="00BB1632"/>
    <w:rsid w:val="00BB6277"/>
    <w:rsid w:val="00BD6BC5"/>
    <w:rsid w:val="00BE1126"/>
    <w:rsid w:val="00BE6091"/>
    <w:rsid w:val="00BE63CF"/>
    <w:rsid w:val="00BE78B4"/>
    <w:rsid w:val="00C05D0E"/>
    <w:rsid w:val="00C06254"/>
    <w:rsid w:val="00C150FE"/>
    <w:rsid w:val="00C23F3C"/>
    <w:rsid w:val="00C303F1"/>
    <w:rsid w:val="00C32AD7"/>
    <w:rsid w:val="00C33F75"/>
    <w:rsid w:val="00C37287"/>
    <w:rsid w:val="00C41DC3"/>
    <w:rsid w:val="00C479B6"/>
    <w:rsid w:val="00C578AE"/>
    <w:rsid w:val="00C6166C"/>
    <w:rsid w:val="00C630F6"/>
    <w:rsid w:val="00C669F1"/>
    <w:rsid w:val="00C7644E"/>
    <w:rsid w:val="00C80508"/>
    <w:rsid w:val="00CC2D45"/>
    <w:rsid w:val="00CC5A41"/>
    <w:rsid w:val="00CD5E58"/>
    <w:rsid w:val="00CE2CAA"/>
    <w:rsid w:val="00CF0683"/>
    <w:rsid w:val="00CF7B93"/>
    <w:rsid w:val="00D019A4"/>
    <w:rsid w:val="00D04C18"/>
    <w:rsid w:val="00D07F64"/>
    <w:rsid w:val="00D13694"/>
    <w:rsid w:val="00D154CC"/>
    <w:rsid w:val="00D16252"/>
    <w:rsid w:val="00D16918"/>
    <w:rsid w:val="00D16A6D"/>
    <w:rsid w:val="00D21B85"/>
    <w:rsid w:val="00D256C2"/>
    <w:rsid w:val="00D273E8"/>
    <w:rsid w:val="00D30463"/>
    <w:rsid w:val="00D35323"/>
    <w:rsid w:val="00D368D8"/>
    <w:rsid w:val="00D608D0"/>
    <w:rsid w:val="00D66C97"/>
    <w:rsid w:val="00D73E50"/>
    <w:rsid w:val="00DD39A1"/>
    <w:rsid w:val="00DD593A"/>
    <w:rsid w:val="00DD743F"/>
    <w:rsid w:val="00DE6679"/>
    <w:rsid w:val="00E00178"/>
    <w:rsid w:val="00E04FDD"/>
    <w:rsid w:val="00E3353D"/>
    <w:rsid w:val="00E44822"/>
    <w:rsid w:val="00E53A08"/>
    <w:rsid w:val="00E70976"/>
    <w:rsid w:val="00E75949"/>
    <w:rsid w:val="00E764F1"/>
    <w:rsid w:val="00E82989"/>
    <w:rsid w:val="00E95AFC"/>
    <w:rsid w:val="00E97E3A"/>
    <w:rsid w:val="00EA5D83"/>
    <w:rsid w:val="00EC35D2"/>
    <w:rsid w:val="00EC7A4A"/>
    <w:rsid w:val="00ED1B66"/>
    <w:rsid w:val="00ED7498"/>
    <w:rsid w:val="00F002E7"/>
    <w:rsid w:val="00F07C11"/>
    <w:rsid w:val="00F24FAA"/>
    <w:rsid w:val="00F3459B"/>
    <w:rsid w:val="00F4022A"/>
    <w:rsid w:val="00F41B54"/>
    <w:rsid w:val="00F42D13"/>
    <w:rsid w:val="00F478BC"/>
    <w:rsid w:val="00F5483B"/>
    <w:rsid w:val="00F615B6"/>
    <w:rsid w:val="00F71984"/>
    <w:rsid w:val="00F92A45"/>
    <w:rsid w:val="00FB3E3A"/>
    <w:rsid w:val="00FC16D6"/>
    <w:rsid w:val="00FC769A"/>
    <w:rsid w:val="00FE377C"/>
    <w:rsid w:val="00FF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F70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locked/>
    <w:rsid w:val="00C41DC3"/>
    <w:pPr>
      <w:keepNext/>
      <w:jc w:val="center"/>
      <w:outlineLvl w:val="1"/>
    </w:pPr>
    <w:rPr>
      <w:rFonts w:ascii="Arial" w:hAnsi="Arial" w:cs="Arial"/>
      <w:b/>
      <w:color w:val="00000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9E2993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rsid w:val="006A69D9"/>
    <w:pPr>
      <w:spacing w:line="360" w:lineRule="auto"/>
      <w:jc w:val="both"/>
    </w:pPr>
    <w:rPr>
      <w:rFonts w:ascii="Arial" w:hAnsi="Arial" w:cs="Arial"/>
      <w:bCs/>
      <w:color w:val="000000"/>
      <w:szCs w:val="20"/>
      <w:u w:val="single"/>
      <w:lang w:val="es-ES_tradnl"/>
    </w:rPr>
  </w:style>
  <w:style w:type="character" w:customStyle="1" w:styleId="TextoindependienteCar">
    <w:name w:val="Texto independiente Car"/>
    <w:link w:val="Textoindependiente"/>
    <w:uiPriority w:val="99"/>
    <w:locked/>
    <w:rsid w:val="006A69D9"/>
    <w:rPr>
      <w:rFonts w:ascii="Arial" w:hAnsi="Arial" w:cs="Arial"/>
      <w:bCs/>
      <w:color w:val="000000"/>
      <w:sz w:val="20"/>
      <w:szCs w:val="20"/>
      <w:u w:val="single"/>
      <w:lang w:val="es-ES_tradnl" w:eastAsia="es-ES"/>
    </w:rPr>
  </w:style>
  <w:style w:type="paragraph" w:styleId="Ttulo">
    <w:name w:val="Title"/>
    <w:basedOn w:val="Normal"/>
    <w:link w:val="TtuloCar"/>
    <w:qFormat/>
    <w:rsid w:val="00030D58"/>
    <w:pPr>
      <w:spacing w:line="360" w:lineRule="auto"/>
      <w:jc w:val="center"/>
    </w:pPr>
    <w:rPr>
      <w:rFonts w:ascii="Arial" w:hAnsi="Arial"/>
      <w:b/>
      <w:u w:val="single"/>
      <w:lang w:val="es-UY"/>
    </w:rPr>
  </w:style>
  <w:style w:type="character" w:customStyle="1" w:styleId="TtuloCar">
    <w:name w:val="Título Car"/>
    <w:link w:val="Ttulo"/>
    <w:locked/>
    <w:rsid w:val="00030D58"/>
    <w:rPr>
      <w:rFonts w:ascii="Arial" w:hAnsi="Arial" w:cs="Times New Roman"/>
      <w:b/>
      <w:sz w:val="24"/>
      <w:szCs w:val="24"/>
      <w:u w:val="single"/>
      <w:lang w:val="es-UY" w:eastAsia="es-ES"/>
    </w:rPr>
  </w:style>
  <w:style w:type="paragraph" w:styleId="Encabezado">
    <w:name w:val="header"/>
    <w:basedOn w:val="Normal"/>
    <w:link w:val="EncabezadoCar"/>
    <w:uiPriority w:val="99"/>
    <w:rsid w:val="008174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8174EA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8174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8174EA"/>
    <w:rPr>
      <w:rFonts w:ascii="Times New Roman" w:hAnsi="Times New Roman" w:cs="Times New Roman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D30463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D30463"/>
    <w:rPr>
      <w:rFonts w:ascii="Times New Roman" w:eastAsia="Times New Roman" w:hAnsi="Times New Roman"/>
      <w:sz w:val="24"/>
      <w:szCs w:val="24"/>
    </w:rPr>
  </w:style>
  <w:style w:type="character" w:customStyle="1" w:styleId="Ttulo2Car">
    <w:name w:val="Título 2 Car"/>
    <w:link w:val="Ttulo2"/>
    <w:rsid w:val="00C41DC3"/>
    <w:rPr>
      <w:rFonts w:ascii="Arial" w:eastAsia="Times New Roman" w:hAnsi="Arial" w:cs="Arial"/>
      <w:b/>
      <w:color w:val="000000"/>
      <w:sz w:val="24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34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7341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F70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locked/>
    <w:rsid w:val="00C41DC3"/>
    <w:pPr>
      <w:keepNext/>
      <w:jc w:val="center"/>
      <w:outlineLvl w:val="1"/>
    </w:pPr>
    <w:rPr>
      <w:rFonts w:ascii="Arial" w:hAnsi="Arial" w:cs="Arial"/>
      <w:b/>
      <w:color w:val="00000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9E2993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rsid w:val="006A69D9"/>
    <w:pPr>
      <w:spacing w:line="360" w:lineRule="auto"/>
      <w:jc w:val="both"/>
    </w:pPr>
    <w:rPr>
      <w:rFonts w:ascii="Arial" w:hAnsi="Arial" w:cs="Arial"/>
      <w:bCs/>
      <w:color w:val="000000"/>
      <w:szCs w:val="20"/>
      <w:u w:val="single"/>
      <w:lang w:val="es-ES_tradnl"/>
    </w:rPr>
  </w:style>
  <w:style w:type="character" w:customStyle="1" w:styleId="TextoindependienteCar">
    <w:name w:val="Texto independiente Car"/>
    <w:link w:val="Textoindependiente"/>
    <w:uiPriority w:val="99"/>
    <w:locked/>
    <w:rsid w:val="006A69D9"/>
    <w:rPr>
      <w:rFonts w:ascii="Arial" w:hAnsi="Arial" w:cs="Arial"/>
      <w:bCs/>
      <w:color w:val="000000"/>
      <w:sz w:val="20"/>
      <w:szCs w:val="20"/>
      <w:u w:val="single"/>
      <w:lang w:val="es-ES_tradnl" w:eastAsia="es-ES"/>
    </w:rPr>
  </w:style>
  <w:style w:type="paragraph" w:styleId="Ttulo">
    <w:name w:val="Title"/>
    <w:basedOn w:val="Normal"/>
    <w:link w:val="TtuloCar"/>
    <w:qFormat/>
    <w:rsid w:val="00030D58"/>
    <w:pPr>
      <w:spacing w:line="360" w:lineRule="auto"/>
      <w:jc w:val="center"/>
    </w:pPr>
    <w:rPr>
      <w:rFonts w:ascii="Arial" w:hAnsi="Arial"/>
      <w:b/>
      <w:u w:val="single"/>
      <w:lang w:val="es-UY"/>
    </w:rPr>
  </w:style>
  <w:style w:type="character" w:customStyle="1" w:styleId="TtuloCar">
    <w:name w:val="Título Car"/>
    <w:link w:val="Ttulo"/>
    <w:locked/>
    <w:rsid w:val="00030D58"/>
    <w:rPr>
      <w:rFonts w:ascii="Arial" w:hAnsi="Arial" w:cs="Times New Roman"/>
      <w:b/>
      <w:sz w:val="24"/>
      <w:szCs w:val="24"/>
      <w:u w:val="single"/>
      <w:lang w:val="es-UY" w:eastAsia="es-ES"/>
    </w:rPr>
  </w:style>
  <w:style w:type="paragraph" w:styleId="Encabezado">
    <w:name w:val="header"/>
    <w:basedOn w:val="Normal"/>
    <w:link w:val="EncabezadoCar"/>
    <w:uiPriority w:val="99"/>
    <w:rsid w:val="008174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8174EA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8174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8174EA"/>
    <w:rPr>
      <w:rFonts w:ascii="Times New Roman" w:hAnsi="Times New Roman" w:cs="Times New Roman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D30463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D30463"/>
    <w:rPr>
      <w:rFonts w:ascii="Times New Roman" w:eastAsia="Times New Roman" w:hAnsi="Times New Roman"/>
      <w:sz w:val="24"/>
      <w:szCs w:val="24"/>
    </w:rPr>
  </w:style>
  <w:style w:type="character" w:customStyle="1" w:styleId="Ttulo2Car">
    <w:name w:val="Título 2 Car"/>
    <w:link w:val="Ttulo2"/>
    <w:rsid w:val="00C41DC3"/>
    <w:rPr>
      <w:rFonts w:ascii="Arial" w:eastAsia="Times New Roman" w:hAnsi="Arial" w:cs="Arial"/>
      <w:b/>
      <w:color w:val="000000"/>
      <w:sz w:val="24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34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7341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1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9E67C-7E14-4C0F-B768-4C090A0EA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1090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Nº: 2013-17-1-0004124</vt:lpstr>
    </vt:vector>
  </TitlesOfParts>
  <Company/>
  <LinksUpToDate>false</LinksUpToDate>
  <CharactersWithSpaces>7090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Nº: 2013-17-1-0004124</dc:title>
  <dc:creator>Tribunal1</dc:creator>
  <cp:lastModifiedBy>tribunal1</cp:lastModifiedBy>
  <cp:revision>2</cp:revision>
  <cp:lastPrinted>2019-06-27T17:06:00Z</cp:lastPrinted>
  <dcterms:created xsi:type="dcterms:W3CDTF">2019-06-28T13:12:00Z</dcterms:created>
  <dcterms:modified xsi:type="dcterms:W3CDTF">2019-06-28T13:12:00Z</dcterms:modified>
</cp:coreProperties>
</file>