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62" w:rsidRPr="00786EEB" w:rsidRDefault="00ED5862" w:rsidP="00786EEB">
      <w:pPr>
        <w:tabs>
          <w:tab w:val="center" w:pos="4253"/>
        </w:tabs>
        <w:suppressAutoHyphens/>
        <w:jc w:val="right"/>
        <w:rPr>
          <w:rFonts w:cs="Arial"/>
          <w:b/>
          <w:sz w:val="28"/>
          <w:szCs w:val="28"/>
          <w:lang w:val="es-ES_tradnl"/>
        </w:rPr>
      </w:pPr>
      <w:r>
        <w:rPr>
          <w:rFonts w:cs="Arial"/>
          <w:b/>
          <w:sz w:val="28"/>
          <w:szCs w:val="28"/>
          <w:lang w:val="es-ES_tradnl"/>
        </w:rPr>
        <w:t>RES. 1421/19</w:t>
      </w:r>
    </w:p>
    <w:p w:rsidR="00ED5862" w:rsidRDefault="00ED5862" w:rsidP="00786EEB">
      <w:pPr>
        <w:tabs>
          <w:tab w:val="center" w:pos="4253"/>
        </w:tabs>
        <w:suppressAutoHyphens/>
        <w:jc w:val="right"/>
        <w:rPr>
          <w:rFonts w:cs="Arial"/>
          <w:b/>
          <w:lang w:val="es-ES_tradnl"/>
        </w:rPr>
      </w:pPr>
    </w:p>
    <w:p w:rsidR="00ED5862" w:rsidRPr="00762B34" w:rsidRDefault="00ED5862">
      <w:pPr>
        <w:tabs>
          <w:tab w:val="center" w:pos="4253"/>
        </w:tabs>
        <w:suppressAutoHyphens/>
        <w:jc w:val="center"/>
        <w:rPr>
          <w:rFonts w:cs="Arial"/>
          <w:b/>
          <w:lang w:val="es-ES_tradnl"/>
        </w:rPr>
      </w:pPr>
      <w:r w:rsidRPr="00762B34">
        <w:rPr>
          <w:rFonts w:cs="Arial"/>
          <w:b/>
          <w:lang w:val="es-ES_tradnl"/>
        </w:rPr>
        <w:t>RESOLUCION ADOPTADA POR EL</w:t>
      </w:r>
    </w:p>
    <w:p w:rsidR="00ED5862" w:rsidRPr="00762B34" w:rsidRDefault="00ED5862">
      <w:pPr>
        <w:tabs>
          <w:tab w:val="left" w:pos="-720"/>
        </w:tabs>
        <w:suppressAutoHyphens/>
        <w:jc w:val="center"/>
        <w:rPr>
          <w:rFonts w:cs="Arial"/>
          <w:b/>
          <w:lang w:val="es-ES_tradnl"/>
        </w:rPr>
      </w:pPr>
    </w:p>
    <w:p w:rsidR="00ED5862" w:rsidRPr="00762B34" w:rsidRDefault="00ED5862">
      <w:pPr>
        <w:tabs>
          <w:tab w:val="center" w:pos="4253"/>
        </w:tabs>
        <w:suppressAutoHyphens/>
        <w:jc w:val="center"/>
        <w:rPr>
          <w:rFonts w:cs="Arial"/>
          <w:b/>
          <w:lang w:val="es-ES_tradnl"/>
        </w:rPr>
      </w:pPr>
      <w:r w:rsidRPr="00762B34">
        <w:rPr>
          <w:rFonts w:cs="Arial"/>
          <w:b/>
          <w:lang w:val="es-ES_tradnl"/>
        </w:rPr>
        <w:t>TRIBUNAL DE CUENTAS</w:t>
      </w:r>
    </w:p>
    <w:p w:rsidR="00ED5862" w:rsidRPr="00762B34" w:rsidRDefault="00ED5862">
      <w:pPr>
        <w:tabs>
          <w:tab w:val="left" w:pos="-720"/>
        </w:tabs>
        <w:suppressAutoHyphens/>
        <w:jc w:val="center"/>
        <w:rPr>
          <w:rFonts w:cs="Arial"/>
          <w:b/>
          <w:lang w:val="es-ES_tradnl"/>
        </w:rPr>
      </w:pPr>
    </w:p>
    <w:p w:rsidR="00ED5862" w:rsidRPr="00762B34" w:rsidRDefault="00ED5862">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12 DE JUNIO DE 2019</w:t>
      </w:r>
    </w:p>
    <w:p w:rsidR="00ED5862" w:rsidRPr="00762B34" w:rsidRDefault="00ED5862">
      <w:pPr>
        <w:tabs>
          <w:tab w:val="center" w:pos="4253"/>
        </w:tabs>
        <w:suppressAutoHyphens/>
        <w:jc w:val="center"/>
        <w:rPr>
          <w:rFonts w:cs="Arial"/>
          <w:b/>
          <w:lang w:val="es-ES_tradnl"/>
        </w:rPr>
      </w:pPr>
    </w:p>
    <w:p w:rsidR="00ED5862" w:rsidRPr="00762B34" w:rsidRDefault="00ED5862">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2018-17-1-0005082</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1313/19</w:t>
      </w:r>
      <w:r w:rsidRPr="00762B34">
        <w:rPr>
          <w:rFonts w:cs="Arial"/>
          <w:b/>
          <w:lang w:val="en-US"/>
        </w:rPr>
        <w:t>)</w:t>
      </w:r>
    </w:p>
    <w:p w:rsidR="00ED5862" w:rsidRDefault="00ED5862">
      <w:pPr>
        <w:tabs>
          <w:tab w:val="center" w:pos="4253"/>
        </w:tabs>
        <w:suppressAutoHyphens/>
        <w:jc w:val="center"/>
        <w:rPr>
          <w:rFonts w:ascii="Helvetica" w:hAnsi="Helvetica"/>
          <w:b/>
          <w:lang w:val="en-US"/>
        </w:rPr>
      </w:pPr>
    </w:p>
    <w:p w:rsidR="00D75601" w:rsidRDefault="00CB4405" w:rsidP="00D75601">
      <w:pPr>
        <w:spacing w:line="360" w:lineRule="auto"/>
        <w:ind w:firstLine="851"/>
        <w:jc w:val="both"/>
        <w:rPr>
          <w:rFonts w:cs="Arial"/>
        </w:rPr>
      </w:pPr>
      <w:r>
        <w:rPr>
          <w:rFonts w:cs="Arial"/>
          <w:b/>
          <w:bCs/>
        </w:rPr>
        <w:t>VISTO:</w:t>
      </w:r>
      <w:r>
        <w:rPr>
          <w:rFonts w:cs="Arial"/>
        </w:rPr>
        <w:t xml:space="preserve"> la consulta remitida por </w:t>
      </w:r>
      <w:r w:rsidR="00766EDC">
        <w:rPr>
          <w:rFonts w:cs="Arial"/>
        </w:rPr>
        <w:t xml:space="preserve">el </w:t>
      </w:r>
      <w:r w:rsidR="007E063D">
        <w:rPr>
          <w:rFonts w:cs="Arial"/>
        </w:rPr>
        <w:t>Instituto Nacional de Colonización</w:t>
      </w:r>
      <w:r w:rsidR="00766EDC">
        <w:rPr>
          <w:rFonts w:cs="Arial"/>
        </w:rPr>
        <w:t xml:space="preserve"> (</w:t>
      </w:r>
      <w:r w:rsidR="007E063D">
        <w:rPr>
          <w:rFonts w:cs="Arial"/>
        </w:rPr>
        <w:t>INC</w:t>
      </w:r>
      <w:r w:rsidR="00766EDC">
        <w:rPr>
          <w:rFonts w:cs="Arial"/>
        </w:rPr>
        <w:t>),</w:t>
      </w:r>
      <w:r w:rsidR="00801E7B">
        <w:rPr>
          <w:rFonts w:cs="Arial"/>
        </w:rPr>
        <w:t xml:space="preserve"> relacionada con la procedencia de la tasación por</w:t>
      </w:r>
      <w:r w:rsidR="007E063D">
        <w:rPr>
          <w:rFonts w:cs="Arial"/>
        </w:rPr>
        <w:t xml:space="preserve"> la Dirección Nacional de Catastro previo a la adquisición de campos por parte del Ente;</w:t>
      </w:r>
    </w:p>
    <w:p w:rsidR="00D75601" w:rsidRDefault="00CB4405" w:rsidP="00D75601">
      <w:pPr>
        <w:spacing w:line="360" w:lineRule="auto"/>
        <w:ind w:firstLine="851"/>
        <w:jc w:val="both"/>
        <w:rPr>
          <w:rFonts w:cs="Arial"/>
        </w:rPr>
      </w:pPr>
      <w:r>
        <w:rPr>
          <w:rFonts w:cs="Arial"/>
          <w:b/>
          <w:bCs/>
        </w:rPr>
        <w:t>RESULTANDO:</w:t>
      </w:r>
      <w:r>
        <w:rPr>
          <w:rFonts w:cs="Arial"/>
        </w:rPr>
        <w:t xml:space="preserve"> </w:t>
      </w:r>
      <w:r>
        <w:rPr>
          <w:rFonts w:cs="Arial"/>
          <w:b/>
          <w:bCs/>
        </w:rPr>
        <w:t xml:space="preserve">1) </w:t>
      </w:r>
      <w:r>
        <w:rPr>
          <w:rFonts w:cs="Arial"/>
        </w:rPr>
        <w:t>que</w:t>
      </w:r>
      <w:r w:rsidR="00801E7B">
        <w:rPr>
          <w:rFonts w:cs="Arial"/>
        </w:rPr>
        <w:t xml:space="preserve"> este Tribunal por Resolución Nº 3536/18 de fecha 14 de noviembre de 2018 observó el gasto emergente de la adquisición por el Ente del Padrón Nº 3274</w:t>
      </w:r>
      <w:r w:rsidR="00D75601">
        <w:rPr>
          <w:rFonts w:cs="Arial"/>
        </w:rPr>
        <w:t xml:space="preserve"> de la Colonia César Mayo</w:t>
      </w:r>
      <w:r w:rsidR="00801E7B">
        <w:rPr>
          <w:rFonts w:cs="Arial"/>
        </w:rPr>
        <w:t xml:space="preserve"> Gutiérrez, ubicado en la 6</w:t>
      </w:r>
      <w:r w:rsidR="007864D0" w:rsidRPr="007864D0">
        <w:rPr>
          <w:rFonts w:cs="Arial"/>
          <w:vertAlign w:val="superscript"/>
        </w:rPr>
        <w:t>a</w:t>
      </w:r>
      <w:r w:rsidR="00801E7B">
        <w:rPr>
          <w:rFonts w:cs="Arial"/>
        </w:rPr>
        <w:t xml:space="preserve"> sección catastral del Departamento de </w:t>
      </w:r>
      <w:r w:rsidR="001E56D8">
        <w:rPr>
          <w:rFonts w:cs="Arial"/>
        </w:rPr>
        <w:t>Río</w:t>
      </w:r>
      <w:r w:rsidR="00801E7B">
        <w:rPr>
          <w:rFonts w:cs="Arial"/>
        </w:rPr>
        <w:t xml:space="preserve"> Negro, entre otras causales por</w:t>
      </w:r>
      <w:r w:rsidR="00E80989">
        <w:rPr>
          <w:rFonts w:cs="Arial"/>
        </w:rPr>
        <w:t xml:space="preserve"> </w:t>
      </w:r>
      <w:r w:rsidR="00801E7B">
        <w:rPr>
          <w:rFonts w:cs="Arial"/>
        </w:rPr>
        <w:t>no haber proporcionado la tasación de la Dirección General de Catastro;</w:t>
      </w:r>
    </w:p>
    <w:p w:rsidR="00D75601" w:rsidRDefault="00801E7B" w:rsidP="00D75601">
      <w:pPr>
        <w:spacing w:line="360" w:lineRule="auto"/>
        <w:ind w:firstLine="2835"/>
        <w:jc w:val="both"/>
        <w:rPr>
          <w:rFonts w:cs="Arial"/>
        </w:rPr>
      </w:pPr>
      <w:r w:rsidRPr="00801E7B">
        <w:rPr>
          <w:rFonts w:cs="Arial"/>
          <w:b/>
        </w:rPr>
        <w:t xml:space="preserve">2) </w:t>
      </w:r>
      <w:r w:rsidR="00D50FB4">
        <w:rPr>
          <w:rFonts w:cs="Arial"/>
        </w:rPr>
        <w:t xml:space="preserve">por </w:t>
      </w:r>
      <w:r>
        <w:rPr>
          <w:rFonts w:cs="Arial"/>
        </w:rPr>
        <w:t xml:space="preserve">Resolución del Directorio N° 29, </w:t>
      </w:r>
      <w:r w:rsidR="00D50FB4">
        <w:rPr>
          <w:rFonts w:cs="Arial"/>
        </w:rPr>
        <w:t xml:space="preserve">Acta N° </w:t>
      </w:r>
      <w:r>
        <w:rPr>
          <w:rFonts w:cs="Arial"/>
        </w:rPr>
        <w:t>5445, de 27 de febre</w:t>
      </w:r>
      <w:r w:rsidR="00E80989">
        <w:rPr>
          <w:rFonts w:cs="Arial"/>
        </w:rPr>
        <w:t>ro de 2019  el INC, al tiempo que</w:t>
      </w:r>
      <w:r>
        <w:rPr>
          <w:rFonts w:cs="Arial"/>
        </w:rPr>
        <w:t xml:space="preserve"> deja sin efecto la adquisición que mereciera observaciones de este Tribunal, por considerar que en atención a las variaciones del mercado producidas desde el inicio del procedimiento la misma no re</w:t>
      </w:r>
      <w:r w:rsidR="00D76F97">
        <w:rPr>
          <w:rFonts w:cs="Arial"/>
        </w:rPr>
        <w:t>sulta</w:t>
      </w:r>
      <w:r w:rsidR="00C16107">
        <w:rPr>
          <w:rFonts w:cs="Arial"/>
        </w:rPr>
        <w:t>ba</w:t>
      </w:r>
      <w:r w:rsidR="00D76F97">
        <w:rPr>
          <w:rFonts w:cs="Arial"/>
        </w:rPr>
        <w:t xml:space="preserve"> conveniente, com</w:t>
      </w:r>
      <w:r w:rsidR="00D75601">
        <w:rPr>
          <w:rFonts w:cs="Arial"/>
        </w:rPr>
        <w:t>unica a este Tribunal</w:t>
      </w:r>
      <w:r w:rsidR="00D76F97">
        <w:rPr>
          <w:rFonts w:cs="Arial"/>
        </w:rPr>
        <w:t xml:space="preserve"> su posición respecto del tema de la tasación</w:t>
      </w:r>
      <w:r w:rsidR="00E80989">
        <w:rPr>
          <w:rFonts w:cs="Arial"/>
        </w:rPr>
        <w:t xml:space="preserve"> de la Dirección Nacional de Catastro</w:t>
      </w:r>
      <w:r w:rsidR="00D76F97">
        <w:rPr>
          <w:rFonts w:cs="Arial"/>
        </w:rPr>
        <w:t xml:space="preserve"> avalada por </w:t>
      </w:r>
      <w:r w:rsidR="00B47D34">
        <w:rPr>
          <w:rFonts w:cs="Arial"/>
        </w:rPr>
        <w:t xml:space="preserve">posición de la Sala de Abogados del Ente y </w:t>
      </w:r>
      <w:r w:rsidR="00D76F97">
        <w:rPr>
          <w:rFonts w:cs="Arial"/>
        </w:rPr>
        <w:t xml:space="preserve">la consulta externa </w:t>
      </w:r>
      <w:r w:rsidR="00D50FB4">
        <w:rPr>
          <w:rFonts w:cs="Arial"/>
        </w:rPr>
        <w:t>evacuada a solicitud del INC por el Profesor Dr. Jorge Fernández Reyes;</w:t>
      </w:r>
    </w:p>
    <w:p w:rsidR="00D75601" w:rsidRDefault="005965B4" w:rsidP="00D75601">
      <w:pPr>
        <w:spacing w:line="360" w:lineRule="auto"/>
        <w:ind w:firstLine="2835"/>
        <w:jc w:val="both"/>
        <w:rPr>
          <w:rFonts w:cs="Arial"/>
        </w:rPr>
      </w:pPr>
      <w:r>
        <w:rPr>
          <w:rFonts w:cs="Arial"/>
          <w:b/>
        </w:rPr>
        <w:t>3</w:t>
      </w:r>
      <w:r w:rsidR="00D50FB4">
        <w:rPr>
          <w:rFonts w:cs="Arial"/>
          <w:b/>
        </w:rPr>
        <w:t xml:space="preserve">) </w:t>
      </w:r>
      <w:r w:rsidR="00D50FB4">
        <w:rPr>
          <w:rFonts w:cs="Arial"/>
        </w:rPr>
        <w:t>que en</w:t>
      </w:r>
      <w:r w:rsidR="00D75601">
        <w:rPr>
          <w:rFonts w:cs="Arial"/>
        </w:rPr>
        <w:t xml:space="preserve"> el C</w:t>
      </w:r>
      <w:r w:rsidR="00D76F97">
        <w:rPr>
          <w:rFonts w:cs="Arial"/>
        </w:rPr>
        <w:t>onsiderando 4º de</w:t>
      </w:r>
      <w:r w:rsidR="00E80989">
        <w:rPr>
          <w:rFonts w:cs="Arial"/>
        </w:rPr>
        <w:t xml:space="preserve"> la</w:t>
      </w:r>
      <w:r w:rsidR="00D50FB4">
        <w:rPr>
          <w:rFonts w:cs="Arial"/>
        </w:rPr>
        <w:t xml:space="preserve"> </w:t>
      </w:r>
      <w:r w:rsidR="00B47D34">
        <w:rPr>
          <w:rFonts w:cs="Arial"/>
        </w:rPr>
        <w:t>Resolución consigna que la S</w:t>
      </w:r>
      <w:r w:rsidR="007864D0">
        <w:rPr>
          <w:rFonts w:cs="Arial"/>
        </w:rPr>
        <w:t>ala de A</w:t>
      </w:r>
      <w:r w:rsidR="003921C7">
        <w:rPr>
          <w:rFonts w:cs="Arial"/>
        </w:rPr>
        <w:t>bogados del INC</w:t>
      </w:r>
      <w:r w:rsidR="00B47D34">
        <w:rPr>
          <w:rFonts w:cs="Arial"/>
        </w:rPr>
        <w:t xml:space="preserve"> con</w:t>
      </w:r>
      <w:r w:rsidR="000231C5">
        <w:rPr>
          <w:rFonts w:cs="Arial"/>
        </w:rPr>
        <w:t xml:space="preserve"> </w:t>
      </w:r>
      <w:r w:rsidR="00E80989">
        <w:rPr>
          <w:rFonts w:cs="Arial"/>
        </w:rPr>
        <w:t xml:space="preserve">fecha </w:t>
      </w:r>
      <w:r w:rsidR="00B47D34">
        <w:rPr>
          <w:rFonts w:cs="Arial"/>
        </w:rPr>
        <w:t xml:space="preserve">3 de diciembre de 2018 </w:t>
      </w:r>
      <w:r w:rsidR="00D76F97">
        <w:rPr>
          <w:rFonts w:cs="Arial"/>
        </w:rPr>
        <w:t xml:space="preserve">concluye que </w:t>
      </w:r>
      <w:r w:rsidR="004B7C2F">
        <w:rPr>
          <w:rFonts w:cs="Arial"/>
          <w:i/>
        </w:rPr>
        <w:t>“la tasación de la Dirección Nacional de Catastro no corresponde, porque el procedimiento para tasar los inmuebles que se ofrecen en venta</w:t>
      </w:r>
      <w:r w:rsidR="005477CE">
        <w:rPr>
          <w:rFonts w:cs="Arial"/>
          <w:i/>
        </w:rPr>
        <w:t xml:space="preserve"> al INC está legalmente estab</w:t>
      </w:r>
      <w:r w:rsidR="00D75601">
        <w:rPr>
          <w:rFonts w:cs="Arial"/>
          <w:i/>
        </w:rPr>
        <w:t>lecido en el a</w:t>
      </w:r>
      <w:r w:rsidR="00D76F97">
        <w:rPr>
          <w:rFonts w:cs="Arial"/>
          <w:i/>
        </w:rPr>
        <w:t>rtículo 28 de la Ley N</w:t>
      </w:r>
      <w:r w:rsidR="005477CE">
        <w:rPr>
          <w:rFonts w:cs="Arial"/>
          <w:i/>
        </w:rPr>
        <w:t xml:space="preserve">° 11.029, en la </w:t>
      </w:r>
      <w:r w:rsidR="005477CE">
        <w:rPr>
          <w:rFonts w:cs="Arial"/>
          <w:i/>
        </w:rPr>
        <w:lastRenderedPageBreak/>
        <w:t>redacción dad</w:t>
      </w:r>
      <w:r w:rsidR="00D76F97">
        <w:rPr>
          <w:rFonts w:cs="Arial"/>
          <w:i/>
        </w:rPr>
        <w:t>a por el artículo 15 de la ley N</w:t>
      </w:r>
      <w:r w:rsidR="005477CE">
        <w:rPr>
          <w:rFonts w:cs="Arial"/>
          <w:i/>
        </w:rPr>
        <w:t>° 18.187, que establece: “Antes de comprar, expropiar o tomar en arrendamiento o en administración</w:t>
      </w:r>
      <w:r w:rsidR="002B3780">
        <w:rPr>
          <w:rFonts w:cs="Arial"/>
          <w:i/>
        </w:rPr>
        <w:t xml:space="preserve"> la tierra a colonizarse, se procederá por parte de los servicios del INC a la tasación del inmueble y al estudio de la posibilidad de una explotación económica regular de la misma que justifique la operación, teniendo en cuenta que el predio se encuentre situado en zonas donde los costos de producción y distribución sean económicamente viables, y que el plan de cultivos o crianzas responda a posibilidades de orden natural y técnico, y a una demanda normal o previsible de sus producciones en los mercados interno y externo”</w:t>
      </w:r>
      <w:r w:rsidR="002B3780">
        <w:rPr>
          <w:rFonts w:cs="Arial"/>
        </w:rPr>
        <w:t>;</w:t>
      </w:r>
    </w:p>
    <w:p w:rsidR="00D75601" w:rsidRDefault="005965B4" w:rsidP="00D75601">
      <w:pPr>
        <w:spacing w:line="360" w:lineRule="auto"/>
        <w:ind w:firstLine="2835"/>
        <w:jc w:val="both"/>
        <w:rPr>
          <w:rFonts w:cs="Arial"/>
        </w:rPr>
      </w:pPr>
      <w:r>
        <w:rPr>
          <w:rFonts w:cs="Arial"/>
          <w:b/>
        </w:rPr>
        <w:t>4</w:t>
      </w:r>
      <w:r w:rsidR="007034D9">
        <w:rPr>
          <w:rFonts w:cs="Arial"/>
          <w:b/>
        </w:rPr>
        <w:t xml:space="preserve">) </w:t>
      </w:r>
      <w:r w:rsidR="006323FF">
        <w:rPr>
          <w:rFonts w:cs="Arial"/>
        </w:rPr>
        <w:t>que, a su vez, el Prof. Jorge Fernández Reyes</w:t>
      </w:r>
      <w:r w:rsidR="006323FF">
        <w:rPr>
          <w:rFonts w:cs="Arial"/>
          <w:i/>
        </w:rPr>
        <w:t xml:space="preserve"> </w:t>
      </w:r>
      <w:r w:rsidR="00D76F97">
        <w:rPr>
          <w:rFonts w:cs="Arial"/>
        </w:rPr>
        <w:t>sostiene</w:t>
      </w:r>
      <w:r w:rsidR="006323FF">
        <w:rPr>
          <w:rFonts w:cs="Arial"/>
        </w:rPr>
        <w:t xml:space="preserve"> a</w:t>
      </w:r>
      <w:r w:rsidR="00D76F97">
        <w:rPr>
          <w:rFonts w:cs="Arial"/>
        </w:rPr>
        <w:t>l evacuar la consu</w:t>
      </w:r>
      <w:r w:rsidR="00C45C37">
        <w:rPr>
          <w:rFonts w:cs="Arial"/>
        </w:rPr>
        <w:t xml:space="preserve">lta formulada relacionada con la posición adoptada por </w:t>
      </w:r>
      <w:r w:rsidR="00D76F97">
        <w:rPr>
          <w:rFonts w:cs="Arial"/>
        </w:rPr>
        <w:t>este Tribunal</w:t>
      </w:r>
      <w:r w:rsidR="008900D6">
        <w:rPr>
          <w:rFonts w:cs="Arial"/>
        </w:rPr>
        <w:t xml:space="preserve"> (Resolución Nº 3536/18 y Oficio de fecha 13 de noviembre de 2018 solicitando para mejor proveer la tasación del bien en Exp</w:t>
      </w:r>
      <w:r w:rsidR="00E30F0B">
        <w:rPr>
          <w:rFonts w:cs="Arial"/>
        </w:rPr>
        <w:t>ediente</w:t>
      </w:r>
      <w:r w:rsidR="008900D6">
        <w:rPr>
          <w:rFonts w:cs="Arial"/>
        </w:rPr>
        <w:t xml:space="preserve"> 2018-1-1-0006516</w:t>
      </w:r>
      <w:r w:rsidR="00C45C37">
        <w:rPr>
          <w:rFonts w:cs="Arial"/>
        </w:rPr>
        <w:t>)</w:t>
      </w:r>
      <w:r w:rsidR="00D76F97">
        <w:rPr>
          <w:rFonts w:cs="Arial"/>
        </w:rPr>
        <w:t>,</w:t>
      </w:r>
      <w:r w:rsidR="006323FF">
        <w:rPr>
          <w:rFonts w:cs="Arial"/>
        </w:rPr>
        <w:t xml:space="preserve"> que a pa</w:t>
      </w:r>
      <w:r w:rsidR="00D75601">
        <w:rPr>
          <w:rFonts w:cs="Arial"/>
        </w:rPr>
        <w:t>rtir de la nueva redacción del A</w:t>
      </w:r>
      <w:r w:rsidR="006323FF">
        <w:rPr>
          <w:rFonts w:cs="Arial"/>
        </w:rPr>
        <w:t>rtículo 28 de la denominada Ley de Colonización</w:t>
      </w:r>
      <w:r w:rsidR="00C45C37">
        <w:rPr>
          <w:rFonts w:cs="Arial"/>
        </w:rPr>
        <w:t xml:space="preserve"> (Nº 11</w:t>
      </w:r>
      <w:r w:rsidR="00E80989">
        <w:rPr>
          <w:rFonts w:cs="Arial"/>
        </w:rPr>
        <w:t>.029)</w:t>
      </w:r>
      <w:r w:rsidR="006323FF">
        <w:rPr>
          <w:rFonts w:cs="Arial"/>
        </w:rPr>
        <w:t>, los servicios técnicos del INC se hallan obligados a proceder a la tasación de los negocios jurídicos contenidos en la norma, entre los que encuentra el valor del inmueble a adquirir, en términos de asesoramiento no vinculante a la</w:t>
      </w:r>
      <w:r w:rsidR="00D50FB4">
        <w:rPr>
          <w:rFonts w:cs="Arial"/>
        </w:rPr>
        <w:t xml:space="preserve"> </w:t>
      </w:r>
      <w:r w:rsidR="006323FF">
        <w:rPr>
          <w:rFonts w:cs="Arial"/>
        </w:rPr>
        <w:t>Dirección del Instituto;</w:t>
      </w:r>
    </w:p>
    <w:p w:rsidR="00221896" w:rsidRDefault="005965B4" w:rsidP="00D75601">
      <w:pPr>
        <w:spacing w:line="360" w:lineRule="auto"/>
        <w:ind w:firstLine="2835"/>
        <w:jc w:val="both"/>
        <w:rPr>
          <w:rFonts w:cs="Arial"/>
        </w:rPr>
      </w:pPr>
      <w:r>
        <w:rPr>
          <w:rFonts w:cs="Arial"/>
          <w:b/>
        </w:rPr>
        <w:t>5</w:t>
      </w:r>
      <w:r w:rsidR="006323FF">
        <w:rPr>
          <w:rFonts w:cs="Arial"/>
          <w:b/>
        </w:rPr>
        <w:t xml:space="preserve">) </w:t>
      </w:r>
      <w:r w:rsidR="006323FF">
        <w:rPr>
          <w:rFonts w:cs="Arial"/>
        </w:rPr>
        <w:t>que,</w:t>
      </w:r>
      <w:r w:rsidR="00E80989">
        <w:rPr>
          <w:rFonts w:cs="Arial"/>
        </w:rPr>
        <w:t xml:space="preserve"> por ende, </w:t>
      </w:r>
      <w:r w:rsidR="006323FF">
        <w:rPr>
          <w:rFonts w:cs="Arial"/>
        </w:rPr>
        <w:t>el Consult</w:t>
      </w:r>
      <w:r w:rsidR="002112F6">
        <w:rPr>
          <w:rFonts w:cs="Arial"/>
        </w:rPr>
        <w:t xml:space="preserve">or </w:t>
      </w:r>
      <w:r w:rsidR="00E80989">
        <w:rPr>
          <w:rFonts w:cs="Arial"/>
        </w:rPr>
        <w:t xml:space="preserve">entiende </w:t>
      </w:r>
      <w:r w:rsidR="00D75601">
        <w:rPr>
          <w:rFonts w:cs="Arial"/>
        </w:rPr>
        <w:t>que no corresponde -</w:t>
      </w:r>
      <w:r w:rsidR="002112F6">
        <w:rPr>
          <w:rFonts w:cs="Arial"/>
        </w:rPr>
        <w:t>por improcedente e inaplicable-</w:t>
      </w:r>
      <w:r w:rsidR="00F937A8">
        <w:rPr>
          <w:rFonts w:cs="Arial"/>
        </w:rPr>
        <w:t xml:space="preserve"> en ninguna oportunidad, que la Dirección Nacional de Catastro realice la tasación del</w:t>
      </w:r>
      <w:r w:rsidR="00D76F97">
        <w:rPr>
          <w:rFonts w:cs="Arial"/>
        </w:rPr>
        <w:t xml:space="preserve"> valor del inmueble a adquirir</w:t>
      </w:r>
      <w:r w:rsidR="00F937A8">
        <w:rPr>
          <w:rFonts w:cs="Arial"/>
        </w:rPr>
        <w:t xml:space="preserve"> mediante “compra directa” o “compra preferente”</w:t>
      </w:r>
      <w:r w:rsidR="00221896">
        <w:rPr>
          <w:rFonts w:cs="Arial"/>
        </w:rPr>
        <w:t>, tal co</w:t>
      </w:r>
      <w:r>
        <w:rPr>
          <w:rFonts w:cs="Arial"/>
        </w:rPr>
        <w:t>mo lo exigió</w:t>
      </w:r>
      <w:r w:rsidR="00221896">
        <w:rPr>
          <w:rFonts w:cs="Arial"/>
        </w:rPr>
        <w:t xml:space="preserve"> el Tribunal de Cuentas, oportunamente</w:t>
      </w:r>
      <w:r w:rsidR="00F937A8">
        <w:rPr>
          <w:rFonts w:cs="Arial"/>
        </w:rPr>
        <w:t>;</w:t>
      </w:r>
    </w:p>
    <w:p w:rsidR="00D75601" w:rsidRDefault="00E721CC" w:rsidP="00D75601">
      <w:pPr>
        <w:spacing w:line="360" w:lineRule="auto"/>
        <w:ind w:firstLine="851"/>
        <w:jc w:val="both"/>
        <w:rPr>
          <w:rFonts w:cs="Arial"/>
          <w:lang w:val="es-UY"/>
        </w:rPr>
      </w:pPr>
      <w:r>
        <w:rPr>
          <w:rFonts w:cs="Arial"/>
          <w:b/>
        </w:rPr>
        <w:t xml:space="preserve">CONSIDERANDO: 1) </w:t>
      </w:r>
      <w:r w:rsidR="00E506CA">
        <w:rPr>
          <w:rFonts w:cs="Arial"/>
        </w:rPr>
        <w:t>qu</w:t>
      </w:r>
      <w:r w:rsidR="00B47D34">
        <w:rPr>
          <w:rFonts w:cs="Arial"/>
        </w:rPr>
        <w:t>e la consulta fue remitida por Resolución del</w:t>
      </w:r>
      <w:r w:rsidR="00E506CA">
        <w:rPr>
          <w:rFonts w:cs="Arial"/>
        </w:rPr>
        <w:t xml:space="preserve"> Directorio del INC, acompañando los informes técnicos requeridos respecto de la intervención de la Dirección General de Catastro en la valuación de los bienes a adquirir por el Instituto, por lo que encuadra en</w:t>
      </w:r>
      <w:r w:rsidR="00D75601">
        <w:rPr>
          <w:rFonts w:cs="Arial"/>
        </w:rPr>
        <w:t xml:space="preserve"> las previsiones del A</w:t>
      </w:r>
      <w:r w:rsidR="003623AC">
        <w:rPr>
          <w:rFonts w:cs="Arial"/>
        </w:rPr>
        <w:t>rtí</w:t>
      </w:r>
      <w:r w:rsidR="00B47D34">
        <w:rPr>
          <w:rFonts w:cs="Arial"/>
        </w:rPr>
        <w:t>culo 112 del TOCAF, en tanto se ha dado</w:t>
      </w:r>
      <w:r w:rsidR="00D75601">
        <w:rPr>
          <w:rFonts w:cs="Arial"/>
        </w:rPr>
        <w:t xml:space="preserve"> cumplimiento con</w:t>
      </w:r>
      <w:r w:rsidR="003623AC">
        <w:rPr>
          <w:rFonts w:cs="Arial"/>
        </w:rPr>
        <w:t xml:space="preserve"> los extremos </w:t>
      </w:r>
      <w:r w:rsidR="003623AC">
        <w:rPr>
          <w:rFonts w:cs="Arial"/>
        </w:rPr>
        <w:lastRenderedPageBreak/>
        <w:t xml:space="preserve">exigidos por la Resolución de este Tribunal de fecha </w:t>
      </w:r>
      <w:r w:rsidR="003623AC" w:rsidRPr="003623AC">
        <w:rPr>
          <w:rFonts w:cs="Arial"/>
          <w:lang w:val="es-UY"/>
        </w:rPr>
        <w:t>30 de junio de 2004</w:t>
      </w:r>
      <w:r w:rsidR="00B47D34">
        <w:rPr>
          <w:rFonts w:cs="Arial"/>
          <w:lang w:val="es-UY"/>
        </w:rPr>
        <w:t xml:space="preserve">. En consecuencia, </w:t>
      </w:r>
      <w:r w:rsidR="00FB31BB">
        <w:rPr>
          <w:rFonts w:cs="Arial"/>
          <w:lang w:val="es-UY"/>
        </w:rPr>
        <w:t xml:space="preserve"> </w:t>
      </w:r>
      <w:r w:rsidR="00B47D34">
        <w:rPr>
          <w:rFonts w:cs="Arial"/>
          <w:lang w:val="es-UY"/>
        </w:rPr>
        <w:t>dicha consulta tiene carácter vinculante;</w:t>
      </w:r>
    </w:p>
    <w:p w:rsidR="007864D0" w:rsidRDefault="00362A52" w:rsidP="007864D0">
      <w:pPr>
        <w:spacing w:line="360" w:lineRule="auto"/>
        <w:ind w:firstLine="2977"/>
        <w:jc w:val="both"/>
        <w:rPr>
          <w:rFonts w:cs="Arial"/>
        </w:rPr>
      </w:pPr>
      <w:r>
        <w:rPr>
          <w:rFonts w:cs="Arial"/>
          <w:b/>
          <w:bCs/>
          <w:lang w:val="es-ES_tradnl"/>
        </w:rPr>
        <w:t xml:space="preserve">2) </w:t>
      </w:r>
      <w:r w:rsidR="00415BAF">
        <w:rPr>
          <w:rFonts w:cs="Arial"/>
        </w:rPr>
        <w:t>que</w:t>
      </w:r>
      <w:r w:rsidR="00E80989">
        <w:rPr>
          <w:rFonts w:cs="Arial"/>
        </w:rPr>
        <w:t xml:space="preserve"> la Ley Nº 11.029 de 12 de enero de 1948 creó</w:t>
      </w:r>
      <w:r w:rsidR="00415BAF">
        <w:rPr>
          <w:rFonts w:cs="Arial"/>
        </w:rPr>
        <w:t xml:space="preserve"> </w:t>
      </w:r>
      <w:r w:rsidR="00D75601">
        <w:rPr>
          <w:rFonts w:cs="Arial"/>
        </w:rPr>
        <w:t>el INC como un E</w:t>
      </w:r>
      <w:r w:rsidR="00E80989">
        <w:rPr>
          <w:rFonts w:cs="Arial"/>
        </w:rPr>
        <w:t xml:space="preserve">nte </w:t>
      </w:r>
      <w:r w:rsidR="00D75601">
        <w:rPr>
          <w:rFonts w:cs="Arial"/>
        </w:rPr>
        <w:t>Autónomo (A</w:t>
      </w:r>
      <w:r w:rsidR="00E80989">
        <w:rPr>
          <w:rFonts w:cs="Arial"/>
        </w:rPr>
        <w:t>rtículo 2), que se relaciona con el Poder Ejecutivo a trav</w:t>
      </w:r>
      <w:r w:rsidR="007864D0">
        <w:rPr>
          <w:rFonts w:cs="Arial"/>
        </w:rPr>
        <w:t>és del Ministerio de Ganadería,</w:t>
      </w:r>
      <w:r w:rsidR="00E80989">
        <w:rPr>
          <w:rFonts w:cs="Arial"/>
        </w:rPr>
        <w:t xml:space="preserve"> Agricultura</w:t>
      </w:r>
      <w:r w:rsidR="007864D0">
        <w:rPr>
          <w:rFonts w:cs="Arial"/>
        </w:rPr>
        <w:t xml:space="preserve"> y Pesca (A</w:t>
      </w:r>
      <w:r w:rsidR="00E80989">
        <w:rPr>
          <w:rFonts w:cs="Arial"/>
        </w:rPr>
        <w:t xml:space="preserve">rtículo 5), que tiene a su cargo la colonización, entendida </w:t>
      </w:r>
      <w:r w:rsidR="00A343B8">
        <w:rPr>
          <w:rFonts w:cs="Arial"/>
        </w:rPr>
        <w:t>como el conjunto de medidas a adoptar “</w:t>
      </w:r>
      <w:r w:rsidR="00A343B8" w:rsidRPr="00A343B8">
        <w:rPr>
          <w:rFonts w:cs="Arial"/>
          <w:i/>
        </w:rPr>
        <w:t>para promover una racional subdivisión de la tierra y su adecuada explotación”</w:t>
      </w:r>
      <w:r w:rsidR="00A343B8">
        <w:rPr>
          <w:rFonts w:cs="Arial"/>
          <w:i/>
        </w:rPr>
        <w:t xml:space="preserve"> </w:t>
      </w:r>
      <w:r w:rsidR="007864D0">
        <w:rPr>
          <w:rFonts w:cs="Arial"/>
        </w:rPr>
        <w:t>(A</w:t>
      </w:r>
      <w:r w:rsidR="00B47D34" w:rsidRPr="00B47D34">
        <w:rPr>
          <w:rFonts w:cs="Arial"/>
        </w:rPr>
        <w:t>rtículo 1);</w:t>
      </w:r>
    </w:p>
    <w:p w:rsidR="007864D0" w:rsidRDefault="00362A52" w:rsidP="007864D0">
      <w:pPr>
        <w:spacing w:line="360" w:lineRule="auto"/>
        <w:ind w:firstLine="2977"/>
        <w:jc w:val="both"/>
        <w:rPr>
          <w:rFonts w:cs="Arial"/>
        </w:rPr>
      </w:pPr>
      <w:r>
        <w:rPr>
          <w:rFonts w:cs="Arial"/>
          <w:b/>
        </w:rPr>
        <w:t>3</w:t>
      </w:r>
      <w:r w:rsidR="00C45C37" w:rsidRPr="00C45C37">
        <w:rPr>
          <w:rFonts w:cs="Arial"/>
          <w:b/>
        </w:rPr>
        <w:t>)</w:t>
      </w:r>
      <w:r w:rsidR="00C45C37">
        <w:rPr>
          <w:rFonts w:cs="Arial"/>
        </w:rPr>
        <w:t xml:space="preserve"> que de </w:t>
      </w:r>
      <w:r w:rsidR="007864D0">
        <w:rPr>
          <w:rFonts w:cs="Arial"/>
        </w:rPr>
        <w:t>acuerdo con lo previsto por el A</w:t>
      </w:r>
      <w:r w:rsidR="00C45C37">
        <w:rPr>
          <w:rFonts w:cs="Arial"/>
        </w:rPr>
        <w:t xml:space="preserve">rtículo 2 del TOCAF, </w:t>
      </w:r>
      <w:r w:rsidR="00EF6069">
        <w:rPr>
          <w:rFonts w:cs="Arial"/>
        </w:rPr>
        <w:t xml:space="preserve"> s</w:t>
      </w:r>
      <w:r w:rsidR="007864D0">
        <w:rPr>
          <w:rFonts w:cs="Arial"/>
        </w:rPr>
        <w:t>us normas son aplicables a los Entes A</w:t>
      </w:r>
      <w:r w:rsidR="00EF6069">
        <w:rPr>
          <w:rFonts w:cs="Arial"/>
        </w:rPr>
        <w:t>utónomos industriales o comerciales del Estado, “en tanto sus leyes orgánicas no prevean expresamente regímenes especiales”;</w:t>
      </w:r>
    </w:p>
    <w:p w:rsidR="007864D0" w:rsidRDefault="00362A52" w:rsidP="007864D0">
      <w:pPr>
        <w:spacing w:line="360" w:lineRule="auto"/>
        <w:ind w:firstLine="2977"/>
        <w:jc w:val="both"/>
        <w:rPr>
          <w:rFonts w:cs="Arial"/>
        </w:rPr>
      </w:pPr>
      <w:r>
        <w:rPr>
          <w:rFonts w:cs="Arial"/>
          <w:b/>
        </w:rPr>
        <w:t>4</w:t>
      </w:r>
      <w:r w:rsidR="00415BAF">
        <w:rPr>
          <w:rFonts w:cs="Arial"/>
          <w:b/>
        </w:rPr>
        <w:t xml:space="preserve">) </w:t>
      </w:r>
      <w:r w:rsidR="00E721CC">
        <w:rPr>
          <w:rFonts w:cs="Arial"/>
        </w:rPr>
        <w:t>que</w:t>
      </w:r>
      <w:r w:rsidR="00B21350">
        <w:rPr>
          <w:rFonts w:cs="Arial"/>
        </w:rPr>
        <w:t xml:space="preserve"> las Leyes vigentes</w:t>
      </w:r>
      <w:r w:rsidR="00EF6069">
        <w:rPr>
          <w:rFonts w:cs="Arial"/>
        </w:rPr>
        <w:t xml:space="preserve"> </w:t>
      </w:r>
      <w:r w:rsidR="009A5BFA">
        <w:rPr>
          <w:rFonts w:cs="Arial"/>
        </w:rPr>
        <w:t xml:space="preserve">en materia de adquisición de tierras </w:t>
      </w:r>
      <w:r w:rsidR="00B21350">
        <w:rPr>
          <w:rFonts w:cs="Arial"/>
        </w:rPr>
        <w:t>por el INC, consagran</w:t>
      </w:r>
      <w:r w:rsidR="009A5BFA">
        <w:rPr>
          <w:rFonts w:cs="Arial"/>
        </w:rPr>
        <w:t xml:space="preserve"> dos mecanismos</w:t>
      </w:r>
      <w:r w:rsidR="00357F8A">
        <w:rPr>
          <w:rFonts w:cs="Arial"/>
        </w:rPr>
        <w:t xml:space="preserve"> de excepción</w:t>
      </w:r>
      <w:r w:rsidR="00EF6069">
        <w:rPr>
          <w:rFonts w:cs="Arial"/>
        </w:rPr>
        <w:t xml:space="preserve"> a los procedimientos competitivos de contratación establecidos en el </w:t>
      </w:r>
      <w:r w:rsidR="007864D0">
        <w:rPr>
          <w:rFonts w:cs="Arial"/>
        </w:rPr>
        <w:t>A</w:t>
      </w:r>
      <w:r w:rsidR="00EF6069">
        <w:rPr>
          <w:rFonts w:cs="Arial"/>
        </w:rPr>
        <w:t>rtículo 33 del TOCAF</w:t>
      </w:r>
      <w:r w:rsidR="009A5BFA">
        <w:rPr>
          <w:rFonts w:cs="Arial"/>
        </w:rPr>
        <w:t>, a saber:</w:t>
      </w:r>
    </w:p>
    <w:p w:rsidR="0041202D" w:rsidRDefault="00362A52" w:rsidP="0041202D">
      <w:pPr>
        <w:spacing w:line="360" w:lineRule="auto"/>
        <w:ind w:firstLine="2977"/>
        <w:jc w:val="both"/>
        <w:rPr>
          <w:rFonts w:cs="Arial"/>
        </w:rPr>
      </w:pPr>
      <w:r w:rsidRPr="00C16107">
        <w:rPr>
          <w:rFonts w:cs="Arial"/>
          <w:b/>
        </w:rPr>
        <w:t>4</w:t>
      </w:r>
      <w:r w:rsidR="009A5BFA" w:rsidRPr="00C16107">
        <w:rPr>
          <w:rFonts w:cs="Arial"/>
          <w:b/>
        </w:rPr>
        <w:t>.1)</w:t>
      </w:r>
      <w:r w:rsidR="009A5BFA">
        <w:rPr>
          <w:rFonts w:cs="Arial"/>
        </w:rPr>
        <w:t xml:space="preserve"> </w:t>
      </w:r>
      <w:r w:rsidR="00D05F5F">
        <w:rPr>
          <w:rFonts w:cs="Arial"/>
        </w:rPr>
        <w:t>el</w:t>
      </w:r>
      <w:r w:rsidR="009A5BFA">
        <w:rPr>
          <w:rFonts w:cs="Arial"/>
        </w:rPr>
        <w:t xml:space="preserve"> previsto en el</w:t>
      </w:r>
      <w:r w:rsidR="007864D0">
        <w:rPr>
          <w:rFonts w:cs="Arial"/>
        </w:rPr>
        <w:t xml:space="preserve"> A</w:t>
      </w:r>
      <w:r w:rsidR="00B21350">
        <w:rPr>
          <w:rFonts w:cs="Arial"/>
        </w:rPr>
        <w:t>rtículo</w:t>
      </w:r>
      <w:r w:rsidR="00D05F5F">
        <w:rPr>
          <w:rFonts w:cs="Arial"/>
        </w:rPr>
        <w:t xml:space="preserve"> 35 d</w:t>
      </w:r>
      <w:r w:rsidR="007864D0">
        <w:rPr>
          <w:rFonts w:cs="Arial"/>
        </w:rPr>
        <w:t>e la Ley N°</w:t>
      </w:r>
      <w:r w:rsidR="00D05F5F">
        <w:rPr>
          <w:rFonts w:cs="Arial"/>
        </w:rPr>
        <w:t>11.029 de 12 de enero de 194</w:t>
      </w:r>
      <w:r w:rsidR="007864D0">
        <w:rPr>
          <w:rFonts w:cs="Arial"/>
        </w:rPr>
        <w:t>8, en la redacción dada por el Artículo único de la Ley N°</w:t>
      </w:r>
      <w:r w:rsidR="00D05F5F">
        <w:rPr>
          <w:rFonts w:cs="Arial"/>
        </w:rPr>
        <w:t xml:space="preserve">19.577 de 22 de diciembre de 2017, </w:t>
      </w:r>
      <w:r w:rsidR="009A5BFA">
        <w:rPr>
          <w:rFonts w:cs="Arial"/>
        </w:rPr>
        <w:t xml:space="preserve">que </w:t>
      </w:r>
      <w:r w:rsidR="00D05F5F">
        <w:rPr>
          <w:rFonts w:cs="Arial"/>
        </w:rPr>
        <w:t>consagra el</w:t>
      </w:r>
      <w:r w:rsidR="00B11BC3">
        <w:rPr>
          <w:rFonts w:cs="Arial"/>
        </w:rPr>
        <w:t xml:space="preserve"> </w:t>
      </w:r>
      <w:r w:rsidR="00D05F5F">
        <w:rPr>
          <w:rFonts w:cs="Arial"/>
        </w:rPr>
        <w:t xml:space="preserve">derecho de preferencia </w:t>
      </w:r>
      <w:r w:rsidR="006D3F13">
        <w:rPr>
          <w:rFonts w:cs="Arial"/>
        </w:rPr>
        <w:t xml:space="preserve">de compra </w:t>
      </w:r>
      <w:r w:rsidR="00B21350">
        <w:rPr>
          <w:rFonts w:cs="Arial"/>
        </w:rPr>
        <w:t>en</w:t>
      </w:r>
      <w:r w:rsidR="00D05F5F">
        <w:rPr>
          <w:rFonts w:cs="Arial"/>
        </w:rPr>
        <w:t xml:space="preserve"> favor del Instituto</w:t>
      </w:r>
      <w:r w:rsidR="00602338">
        <w:rPr>
          <w:rFonts w:cs="Arial"/>
        </w:rPr>
        <w:t>,</w:t>
      </w:r>
      <w:r w:rsidR="00D05F5F">
        <w:rPr>
          <w:rFonts w:cs="Arial"/>
        </w:rPr>
        <w:t xml:space="preserve"> en el caso de </w:t>
      </w:r>
      <w:r w:rsidR="00926B95">
        <w:rPr>
          <w:rFonts w:cs="Arial"/>
        </w:rPr>
        <w:t>enajenaciones</w:t>
      </w:r>
      <w:r w:rsidR="00D05F5F">
        <w:rPr>
          <w:rFonts w:cs="Arial"/>
        </w:rPr>
        <w:t xml:space="preserve"> de campos mayores </w:t>
      </w:r>
      <w:r w:rsidR="009A5BFA">
        <w:rPr>
          <w:rFonts w:cs="Arial"/>
        </w:rPr>
        <w:t>a</w:t>
      </w:r>
      <w:r w:rsidR="00B21350">
        <w:rPr>
          <w:rFonts w:cs="Arial"/>
        </w:rPr>
        <w:t xml:space="preserve"> 500 hectáreas</w:t>
      </w:r>
      <w:r w:rsidR="009A5BFA">
        <w:rPr>
          <w:rFonts w:cs="Arial"/>
        </w:rPr>
        <w:t>,</w:t>
      </w:r>
      <w:r w:rsidR="00D05F5F">
        <w:rPr>
          <w:rFonts w:cs="Arial"/>
        </w:rPr>
        <w:t xml:space="preserve"> de índ</w:t>
      </w:r>
      <w:r w:rsidR="004C6729">
        <w:rPr>
          <w:rFonts w:cs="Arial"/>
        </w:rPr>
        <w:t>ice de productividad CONEAT 100 y otros supuestos específicos según la región,</w:t>
      </w:r>
      <w:r w:rsidR="00D05F5F">
        <w:rPr>
          <w:rFonts w:cs="Arial"/>
        </w:rPr>
        <w:t xml:space="preserve"> por igual valor y plazo de pago</w:t>
      </w:r>
      <w:r w:rsidR="000B159F">
        <w:rPr>
          <w:rFonts w:cs="Arial"/>
        </w:rPr>
        <w:t xml:space="preserve"> </w:t>
      </w:r>
      <w:proofErr w:type="spellStart"/>
      <w:r w:rsidR="000B159F">
        <w:rPr>
          <w:rFonts w:cs="Arial"/>
        </w:rPr>
        <w:t>pactado</w:t>
      </w:r>
      <w:proofErr w:type="gramStart"/>
      <w:r w:rsidR="00D05F5F">
        <w:rPr>
          <w:rFonts w:cs="Arial"/>
        </w:rPr>
        <w:t>;</w:t>
      </w:r>
      <w:r w:rsidR="009A5BFA">
        <w:rPr>
          <w:rFonts w:cs="Arial"/>
        </w:rPr>
        <w:t>y</w:t>
      </w:r>
      <w:proofErr w:type="spellEnd"/>
      <w:proofErr w:type="gramEnd"/>
    </w:p>
    <w:p w:rsidR="0041202D" w:rsidRDefault="00362A52" w:rsidP="0041202D">
      <w:pPr>
        <w:spacing w:line="360" w:lineRule="auto"/>
        <w:ind w:firstLine="2977"/>
        <w:jc w:val="both"/>
        <w:rPr>
          <w:rFonts w:cs="Arial"/>
        </w:rPr>
      </w:pPr>
      <w:r w:rsidRPr="00C16107">
        <w:rPr>
          <w:rFonts w:cs="Arial"/>
          <w:b/>
        </w:rPr>
        <w:t>4</w:t>
      </w:r>
      <w:r w:rsidR="009A5BFA" w:rsidRPr="00C16107">
        <w:rPr>
          <w:rFonts w:cs="Arial"/>
          <w:b/>
        </w:rPr>
        <w:t>.2)</w:t>
      </w:r>
      <w:r w:rsidR="009A5BFA">
        <w:rPr>
          <w:rFonts w:cs="Arial"/>
        </w:rPr>
        <w:t xml:space="preserve"> </w:t>
      </w:r>
      <w:r w:rsidR="00926B95">
        <w:rPr>
          <w:rFonts w:cs="Arial"/>
        </w:rPr>
        <w:t>el</w:t>
      </w:r>
      <w:r w:rsidR="00B21350">
        <w:rPr>
          <w:rFonts w:cs="Arial"/>
        </w:rPr>
        <w:t xml:space="preserve"> establecido</w:t>
      </w:r>
      <w:r w:rsidR="009A5BFA">
        <w:rPr>
          <w:rFonts w:cs="Arial"/>
        </w:rPr>
        <w:t xml:space="preserve"> en el</w:t>
      </w:r>
      <w:r w:rsidR="0041202D">
        <w:rPr>
          <w:rFonts w:cs="Arial"/>
        </w:rPr>
        <w:t xml:space="preserve"> Artículo 836 de la Ley N°</w:t>
      </w:r>
      <w:r w:rsidR="00926B95">
        <w:rPr>
          <w:rFonts w:cs="Arial"/>
        </w:rPr>
        <w:t xml:space="preserve">18.719 de 27 de diciembre de 2010, </w:t>
      </w:r>
      <w:r w:rsidR="009A5BFA">
        <w:rPr>
          <w:rFonts w:cs="Arial"/>
        </w:rPr>
        <w:t xml:space="preserve">que </w:t>
      </w:r>
      <w:r w:rsidR="00926B95">
        <w:rPr>
          <w:rFonts w:cs="Arial"/>
        </w:rPr>
        <w:t xml:space="preserve">faculta </w:t>
      </w:r>
      <w:r w:rsidR="009650C3">
        <w:rPr>
          <w:rFonts w:cs="Arial"/>
        </w:rPr>
        <w:t xml:space="preserve">en forma expresa </w:t>
      </w:r>
      <w:r w:rsidR="00926B95">
        <w:rPr>
          <w:rFonts w:cs="Arial"/>
        </w:rPr>
        <w:t>al INC a adquirir</w:t>
      </w:r>
      <w:r w:rsidR="00B11BC3">
        <w:rPr>
          <w:rFonts w:cs="Arial"/>
        </w:rPr>
        <w:t>,</w:t>
      </w:r>
      <w:r w:rsidR="00926B95">
        <w:rPr>
          <w:rFonts w:cs="Arial"/>
        </w:rPr>
        <w:t xml:space="preserve"> en forma directa</w:t>
      </w:r>
      <w:r w:rsidR="00B11BC3">
        <w:rPr>
          <w:rFonts w:cs="Arial"/>
        </w:rPr>
        <w:t>,</w:t>
      </w:r>
      <w:r w:rsidR="00926B95">
        <w:rPr>
          <w:rFonts w:cs="Arial"/>
        </w:rPr>
        <w:t xml:space="preserve"> inmuebles rurales con destino a plan</w:t>
      </w:r>
      <w:r w:rsidR="009650C3">
        <w:rPr>
          <w:rFonts w:cs="Arial"/>
        </w:rPr>
        <w:t>es de colonización</w:t>
      </w:r>
      <w:r w:rsidR="00B11BC3">
        <w:rPr>
          <w:rFonts w:cs="Arial"/>
        </w:rPr>
        <w:t>, regulando el procedimiento</w:t>
      </w:r>
      <w:r w:rsidR="007B4E2C">
        <w:rPr>
          <w:rFonts w:cs="Arial"/>
        </w:rPr>
        <w:t xml:space="preserve"> especial</w:t>
      </w:r>
      <w:r w:rsidR="00B11BC3">
        <w:rPr>
          <w:rFonts w:cs="Arial"/>
        </w:rPr>
        <w:t xml:space="preserve"> aplicable para su concreción</w:t>
      </w:r>
      <w:r w:rsidR="00D034FC">
        <w:rPr>
          <w:rFonts w:cs="Arial"/>
        </w:rPr>
        <w:t>;</w:t>
      </w:r>
    </w:p>
    <w:p w:rsidR="0041202D" w:rsidRDefault="00362A52" w:rsidP="0041202D">
      <w:pPr>
        <w:spacing w:line="360" w:lineRule="auto"/>
        <w:ind w:firstLine="2977"/>
        <w:jc w:val="both"/>
        <w:rPr>
          <w:rFonts w:cs="Arial"/>
        </w:rPr>
      </w:pPr>
      <w:r>
        <w:rPr>
          <w:rFonts w:cs="Arial"/>
          <w:b/>
        </w:rPr>
        <w:lastRenderedPageBreak/>
        <w:t>5</w:t>
      </w:r>
      <w:r w:rsidR="005E62DF" w:rsidRPr="005E62DF">
        <w:rPr>
          <w:rFonts w:cs="Arial"/>
          <w:b/>
        </w:rPr>
        <w:t xml:space="preserve">) </w:t>
      </w:r>
      <w:r w:rsidR="005E62DF" w:rsidRPr="005E62DF">
        <w:rPr>
          <w:rFonts w:cs="Arial"/>
        </w:rPr>
        <w:t>que ambas modalidades de actuación implican un traslado</w:t>
      </w:r>
      <w:r w:rsidR="00704358">
        <w:rPr>
          <w:rFonts w:cs="Arial"/>
        </w:rPr>
        <w:t xml:space="preserve"> del dominio del bien inmueble en</w:t>
      </w:r>
      <w:r w:rsidR="005E62DF" w:rsidRPr="005E62DF">
        <w:rPr>
          <w:rFonts w:cs="Arial"/>
        </w:rPr>
        <w:t xml:space="preserve"> favor del INC, pasando aquel a formar parte del activo patrim</w:t>
      </w:r>
      <w:r>
        <w:rPr>
          <w:rFonts w:cs="Arial"/>
        </w:rPr>
        <w:t>onial del Instituto destinado a la</w:t>
      </w:r>
      <w:r w:rsidR="005E62DF" w:rsidRPr="005E62DF">
        <w:rPr>
          <w:rFonts w:cs="Arial"/>
        </w:rPr>
        <w:t xml:space="preserve"> colonización</w:t>
      </w:r>
      <w:r>
        <w:rPr>
          <w:rFonts w:cs="Arial"/>
        </w:rPr>
        <w:t>, tal como es definida por la Ley</w:t>
      </w:r>
      <w:r w:rsidR="005E62DF" w:rsidRPr="005E62DF">
        <w:rPr>
          <w:rFonts w:cs="Arial"/>
        </w:rPr>
        <w:t>;</w:t>
      </w:r>
    </w:p>
    <w:p w:rsidR="0041202D" w:rsidRDefault="00362A52" w:rsidP="0041202D">
      <w:pPr>
        <w:spacing w:line="360" w:lineRule="auto"/>
        <w:ind w:firstLine="2977"/>
        <w:jc w:val="both"/>
        <w:rPr>
          <w:rFonts w:cs="Arial"/>
        </w:rPr>
      </w:pPr>
      <w:r>
        <w:rPr>
          <w:rFonts w:cs="Arial"/>
          <w:b/>
        </w:rPr>
        <w:t>6</w:t>
      </w:r>
      <w:r w:rsidR="00B21350" w:rsidRPr="00B21350">
        <w:rPr>
          <w:rFonts w:cs="Arial"/>
          <w:b/>
        </w:rPr>
        <w:t>)</w:t>
      </w:r>
      <w:r w:rsidR="0041202D">
        <w:rPr>
          <w:rFonts w:cs="Arial"/>
        </w:rPr>
        <w:t xml:space="preserve"> que el A</w:t>
      </w:r>
      <w:r w:rsidR="00B21350" w:rsidRPr="00B21350">
        <w:rPr>
          <w:rFonts w:cs="Arial"/>
        </w:rPr>
        <w:t>rtículo 28 de la Ley Nº 11.029 de fecha 12 de enero de 19</w:t>
      </w:r>
      <w:r w:rsidR="0041202D">
        <w:rPr>
          <w:rFonts w:cs="Arial"/>
        </w:rPr>
        <w:t>48 en la redacción dada por el A</w:t>
      </w:r>
      <w:r w:rsidR="00B21350" w:rsidRPr="00B21350">
        <w:rPr>
          <w:rFonts w:cs="Arial"/>
        </w:rPr>
        <w:t xml:space="preserve">rtículo 15 de </w:t>
      </w:r>
      <w:r w:rsidR="0041202D">
        <w:rPr>
          <w:rFonts w:cs="Arial"/>
        </w:rPr>
        <w:t>la Ley Nº</w:t>
      </w:r>
      <w:r w:rsidR="00B21350" w:rsidRPr="00B21350">
        <w:rPr>
          <w:rFonts w:cs="Arial"/>
        </w:rPr>
        <w:t>18.187 de fecha 2 de noviembre de 2007, regula con car</w:t>
      </w:r>
      <w:r w:rsidR="00B21350">
        <w:rPr>
          <w:rFonts w:cs="Arial"/>
        </w:rPr>
        <w:t>ácter general el procedimiento de valuación de las tierras a adquirir</w:t>
      </w:r>
      <w:r w:rsidR="005965B4">
        <w:rPr>
          <w:rFonts w:cs="Arial"/>
        </w:rPr>
        <w:t xml:space="preserve"> por el INC</w:t>
      </w:r>
      <w:r w:rsidR="00B21350">
        <w:rPr>
          <w:rFonts w:cs="Arial"/>
        </w:rPr>
        <w:t>, previendo</w:t>
      </w:r>
      <w:r w:rsidR="00B21350" w:rsidRPr="00B21350">
        <w:rPr>
          <w:rFonts w:cs="Arial"/>
        </w:rPr>
        <w:t xml:space="preserve"> que los servicios técnicos del Organismo, </w:t>
      </w:r>
      <w:r w:rsidR="00B21350" w:rsidRPr="00B21350">
        <w:rPr>
          <w:rFonts w:cs="Arial"/>
          <w:i/>
        </w:rPr>
        <w:t>“antes de comprar”</w:t>
      </w:r>
      <w:r w:rsidR="00B21350" w:rsidRPr="00B21350">
        <w:rPr>
          <w:rFonts w:cs="Arial"/>
        </w:rPr>
        <w:t xml:space="preserve">, deberán proceder a </w:t>
      </w:r>
      <w:r w:rsidR="005E62DF" w:rsidRPr="005E62DF">
        <w:rPr>
          <w:rFonts w:cs="Arial"/>
          <w:i/>
        </w:rPr>
        <w:t>“</w:t>
      </w:r>
      <w:r w:rsidR="00B21350" w:rsidRPr="005E62DF">
        <w:rPr>
          <w:rFonts w:cs="Arial"/>
          <w:i/>
        </w:rPr>
        <w:t>la tasación del inmueble y al estudio de factibilidad económica del bien para los fines de colonización, de manera tal que justifiquen la operación</w:t>
      </w:r>
      <w:r w:rsidR="005E62DF" w:rsidRPr="005E62DF">
        <w:rPr>
          <w:rFonts w:cs="Arial"/>
          <w:i/>
        </w:rPr>
        <w:t>”</w:t>
      </w:r>
      <w:r w:rsidR="00B21350" w:rsidRPr="00B21350">
        <w:rPr>
          <w:rFonts w:cs="Arial"/>
        </w:rPr>
        <w:t>;</w:t>
      </w:r>
    </w:p>
    <w:p w:rsidR="0041202D" w:rsidRDefault="00362A52" w:rsidP="0041202D">
      <w:pPr>
        <w:spacing w:line="360" w:lineRule="auto"/>
        <w:ind w:firstLine="2977"/>
        <w:jc w:val="both"/>
        <w:rPr>
          <w:rFonts w:cs="Arial"/>
        </w:rPr>
      </w:pPr>
      <w:r>
        <w:rPr>
          <w:rFonts w:cs="Arial"/>
          <w:b/>
        </w:rPr>
        <w:t>7</w:t>
      </w:r>
      <w:r w:rsidR="00B21350" w:rsidRPr="005E62DF">
        <w:rPr>
          <w:rFonts w:cs="Arial"/>
          <w:b/>
        </w:rPr>
        <w:t xml:space="preserve">) </w:t>
      </w:r>
      <w:r w:rsidR="005E62DF">
        <w:rPr>
          <w:rFonts w:cs="Arial"/>
        </w:rPr>
        <w:t>que a su vez el</w:t>
      </w:r>
      <w:r w:rsidR="0041202D">
        <w:rPr>
          <w:rFonts w:cs="Arial"/>
        </w:rPr>
        <w:t xml:space="preserve"> L</w:t>
      </w:r>
      <w:r w:rsidR="00530DAD">
        <w:rPr>
          <w:rFonts w:cs="Arial"/>
        </w:rPr>
        <w:t xml:space="preserve">iteral B) del </w:t>
      </w:r>
      <w:r w:rsidR="0041202D">
        <w:rPr>
          <w:rFonts w:cs="Arial"/>
        </w:rPr>
        <w:t>A</w:t>
      </w:r>
      <w:r w:rsidR="005E62DF">
        <w:rPr>
          <w:rFonts w:cs="Arial"/>
        </w:rPr>
        <w:t xml:space="preserve">rtículo </w:t>
      </w:r>
      <w:r w:rsidR="00530DAD">
        <w:rPr>
          <w:rFonts w:cs="Arial"/>
        </w:rPr>
        <w:t>1</w:t>
      </w:r>
      <w:r w:rsidR="005E62DF">
        <w:rPr>
          <w:rFonts w:cs="Arial"/>
        </w:rPr>
        <w:t>46 de la Ley citada</w:t>
      </w:r>
      <w:r w:rsidR="00530DAD">
        <w:rPr>
          <w:rFonts w:cs="Arial"/>
        </w:rPr>
        <w:t xml:space="preserve"> exige una mayoría especial de cuatro votos conformes </w:t>
      </w:r>
      <w:r w:rsidR="00530DAD" w:rsidRPr="00530DAD">
        <w:rPr>
          <w:rFonts w:cs="Arial"/>
          <w:i/>
        </w:rPr>
        <w:t>“para realizar adquisiciones de tierras por compra directa”</w:t>
      </w:r>
      <w:r w:rsidR="0041202D">
        <w:rPr>
          <w:rFonts w:cs="Arial"/>
        </w:rPr>
        <w:t xml:space="preserve"> y el A</w:t>
      </w:r>
      <w:r w:rsidR="00530DAD">
        <w:rPr>
          <w:rFonts w:cs="Arial"/>
        </w:rPr>
        <w:t xml:space="preserve">rtículo 46  dispone que </w:t>
      </w:r>
      <w:r w:rsidR="00530DAD" w:rsidRPr="00530DAD">
        <w:rPr>
          <w:rFonts w:cs="Arial"/>
          <w:i/>
        </w:rPr>
        <w:t>“tanto en el caso de compra directa como en la designación de propiedades que vayan a ser objeto de expropiación y sin perjuicio de las informa</w:t>
      </w:r>
      <w:r w:rsidR="00704358">
        <w:rPr>
          <w:rFonts w:cs="Arial"/>
          <w:i/>
        </w:rPr>
        <w:t>ciones y valuaciones técnicas</w:t>
      </w:r>
      <w:r w:rsidR="005965B4">
        <w:rPr>
          <w:rFonts w:cs="Arial"/>
          <w:i/>
        </w:rPr>
        <w:t>,</w:t>
      </w:r>
      <w:r w:rsidR="00530DAD" w:rsidRPr="00530DAD">
        <w:rPr>
          <w:rFonts w:cs="Arial"/>
          <w:i/>
        </w:rPr>
        <w:t xml:space="preserve"> cada uno de los Directores del Instituto que intervengan en la resolución, deberá fundar circunstanciadamente su voto, por lo menos en cuanto se refiere a las conveniencias generales de la operación, al precio del bien –cuando este precio haya de fijarse o convenirse- y a la aptitud del predio para los fines a los que se destine</w:t>
      </w:r>
      <w:r w:rsidR="00704358">
        <w:rPr>
          <w:rFonts w:cs="Arial"/>
        </w:rPr>
        <w:t>”;</w:t>
      </w:r>
    </w:p>
    <w:p w:rsidR="0041202D" w:rsidRDefault="00362A52" w:rsidP="0041202D">
      <w:pPr>
        <w:spacing w:line="360" w:lineRule="auto"/>
        <w:ind w:firstLine="2977"/>
        <w:jc w:val="both"/>
        <w:rPr>
          <w:rFonts w:cs="Arial"/>
        </w:rPr>
      </w:pPr>
      <w:r>
        <w:rPr>
          <w:rFonts w:cs="Arial"/>
          <w:b/>
        </w:rPr>
        <w:t>8</w:t>
      </w:r>
      <w:r w:rsidR="00530DAD" w:rsidRPr="00530DAD">
        <w:rPr>
          <w:rFonts w:cs="Arial"/>
          <w:b/>
        </w:rPr>
        <w:t>)</w:t>
      </w:r>
      <w:r w:rsidR="00530DAD">
        <w:rPr>
          <w:rFonts w:cs="Arial"/>
        </w:rPr>
        <w:t xml:space="preserve"> que </w:t>
      </w:r>
      <w:r w:rsidR="005E62DF">
        <w:rPr>
          <w:rFonts w:cs="Arial"/>
        </w:rPr>
        <w:t xml:space="preserve">en aplicación de la normativa citada, este Tribunal hasta la entrada en vigencia de la Ley Nº </w:t>
      </w:r>
      <w:r w:rsidR="005E62DF" w:rsidRPr="005E62DF">
        <w:rPr>
          <w:rFonts w:cs="Arial"/>
        </w:rPr>
        <w:t>Ley N° 19.577 de 22 de diciembre de 2017</w:t>
      </w:r>
      <w:r w:rsidR="0041202D">
        <w:rPr>
          <w:rFonts w:cs="Arial"/>
        </w:rPr>
        <w:t xml:space="preserve"> modificativa del A</w:t>
      </w:r>
      <w:r w:rsidR="005E62DF">
        <w:rPr>
          <w:rFonts w:cs="Arial"/>
        </w:rPr>
        <w:t>rtículo 35 de la Ley Nº 11.029 de fecha 12 de enero de 1948</w:t>
      </w:r>
      <w:r w:rsidR="006722A3">
        <w:rPr>
          <w:rFonts w:cs="Arial"/>
        </w:rPr>
        <w:t>,</w:t>
      </w:r>
      <w:r w:rsidR="005E62DF">
        <w:rPr>
          <w:rFonts w:cs="Arial"/>
        </w:rPr>
        <w:t xml:space="preserve"> nunca requirió la tasación del inmueble a adquirir por la Dirección General de Catastro;</w:t>
      </w:r>
    </w:p>
    <w:p w:rsidR="0041202D" w:rsidRDefault="00362A52" w:rsidP="0041202D">
      <w:pPr>
        <w:spacing w:line="360" w:lineRule="auto"/>
        <w:ind w:firstLine="2977"/>
        <w:jc w:val="both"/>
        <w:rPr>
          <w:rFonts w:cs="Arial"/>
        </w:rPr>
      </w:pPr>
      <w:r>
        <w:rPr>
          <w:rFonts w:cs="Arial"/>
          <w:b/>
        </w:rPr>
        <w:t>9</w:t>
      </w:r>
      <w:r w:rsidR="007B4E2C">
        <w:rPr>
          <w:rFonts w:cs="Arial"/>
          <w:b/>
        </w:rPr>
        <w:t xml:space="preserve">) </w:t>
      </w:r>
      <w:r w:rsidR="007B4E2C">
        <w:rPr>
          <w:rFonts w:cs="Arial"/>
        </w:rPr>
        <w:t xml:space="preserve">que </w:t>
      </w:r>
      <w:r w:rsidR="005965B4">
        <w:rPr>
          <w:rFonts w:cs="Arial"/>
        </w:rPr>
        <w:t>dicha</w:t>
      </w:r>
      <w:r w:rsidR="006722A3">
        <w:rPr>
          <w:rFonts w:cs="Arial"/>
        </w:rPr>
        <w:t xml:space="preserve"> norma tiene una redacción confusa</w:t>
      </w:r>
      <w:r w:rsidR="00052876">
        <w:rPr>
          <w:rFonts w:cs="Arial"/>
        </w:rPr>
        <w:t>, lo</w:t>
      </w:r>
      <w:r w:rsidR="006722A3">
        <w:rPr>
          <w:rFonts w:cs="Arial"/>
        </w:rPr>
        <w:t xml:space="preserve"> </w:t>
      </w:r>
      <w:r w:rsidR="009A5BFA">
        <w:rPr>
          <w:rFonts w:cs="Arial"/>
        </w:rPr>
        <w:t xml:space="preserve">que </w:t>
      </w:r>
      <w:r w:rsidR="006722A3">
        <w:rPr>
          <w:rFonts w:cs="Arial"/>
        </w:rPr>
        <w:t>motivó la posición susten</w:t>
      </w:r>
      <w:r w:rsidR="00704358">
        <w:rPr>
          <w:rFonts w:cs="Arial"/>
        </w:rPr>
        <w:t>tad</w:t>
      </w:r>
      <w:r w:rsidR="009B0B31">
        <w:rPr>
          <w:rFonts w:cs="Arial"/>
        </w:rPr>
        <w:t xml:space="preserve">a en la Resolución Nº 3536/18 de fecha 14 de </w:t>
      </w:r>
      <w:r w:rsidR="009B0B31">
        <w:rPr>
          <w:rFonts w:cs="Arial"/>
        </w:rPr>
        <w:lastRenderedPageBreak/>
        <w:t>noviembre de 2018</w:t>
      </w:r>
      <w:r w:rsidR="008900D6">
        <w:rPr>
          <w:rFonts w:cs="Arial"/>
        </w:rPr>
        <w:t xml:space="preserve">, que </w:t>
      </w:r>
      <w:r w:rsidR="00052876">
        <w:rPr>
          <w:rFonts w:cs="Arial"/>
        </w:rPr>
        <w:t>fue</w:t>
      </w:r>
      <w:r w:rsidR="00E120C1">
        <w:rPr>
          <w:rFonts w:cs="Arial"/>
        </w:rPr>
        <w:t xml:space="preserve"> posteriormente</w:t>
      </w:r>
      <w:r w:rsidR="008900D6">
        <w:rPr>
          <w:rFonts w:cs="Arial"/>
        </w:rPr>
        <w:t xml:space="preserve"> modificada en la Resolución 80/19 de fecha 9 de enero de 2019, ya que si bien se requirió </w:t>
      </w:r>
      <w:r w:rsidR="00E120C1">
        <w:rPr>
          <w:rFonts w:cs="Arial"/>
        </w:rPr>
        <w:t>por Oficio la tasación de la Dirección General de Catastro, finalmente el gasto no fue observado por carecer de la misma</w:t>
      </w:r>
      <w:r w:rsidR="001D60C2">
        <w:rPr>
          <w:rFonts w:cs="Arial"/>
        </w:rPr>
        <w:t>,</w:t>
      </w:r>
      <w:r w:rsidR="00E120C1">
        <w:rPr>
          <w:rFonts w:cs="Arial"/>
        </w:rPr>
        <w:t xml:space="preserve"> sino por otras causales (falta de disponibilidad y contr</w:t>
      </w:r>
      <w:r w:rsidR="0041202D">
        <w:rPr>
          <w:rFonts w:cs="Arial"/>
        </w:rPr>
        <w:t>avención a lo dispuesto por el Literal B) del A</w:t>
      </w:r>
      <w:r w:rsidR="00E120C1">
        <w:rPr>
          <w:rFonts w:cs="Arial"/>
        </w:rPr>
        <w:t>rtículo 211 de la Constitución</w:t>
      </w:r>
      <w:r w:rsidR="0041202D">
        <w:rPr>
          <w:rFonts w:cs="Arial"/>
        </w:rPr>
        <w:t xml:space="preserve"> de la República</w:t>
      </w:r>
      <w:r w:rsidR="00E82D42">
        <w:rPr>
          <w:rFonts w:cs="Arial"/>
        </w:rPr>
        <w:t>)</w:t>
      </w:r>
      <w:r w:rsidR="008900D6">
        <w:rPr>
          <w:rFonts w:cs="Arial"/>
        </w:rPr>
        <w:t>;</w:t>
      </w:r>
    </w:p>
    <w:p w:rsidR="0041202D" w:rsidRDefault="008900D6" w:rsidP="0041202D">
      <w:pPr>
        <w:spacing w:line="360" w:lineRule="auto"/>
        <w:ind w:firstLine="2977"/>
        <w:jc w:val="both"/>
        <w:rPr>
          <w:rFonts w:cs="Arial"/>
        </w:rPr>
      </w:pPr>
      <w:r w:rsidRPr="008900D6">
        <w:rPr>
          <w:rFonts w:cs="Arial"/>
          <w:b/>
        </w:rPr>
        <w:t>10)</w:t>
      </w:r>
      <w:r>
        <w:rPr>
          <w:rFonts w:cs="Arial"/>
        </w:rPr>
        <w:t xml:space="preserve"> que </w:t>
      </w:r>
      <w:r w:rsidR="006722A3">
        <w:rPr>
          <w:rFonts w:cs="Arial"/>
        </w:rPr>
        <w:t>analizado nuevamente el tema a la luz de la consulta formulada y los informes adjuntos, este Tribunal considera del caso señalar:</w:t>
      </w:r>
    </w:p>
    <w:p w:rsidR="0041202D" w:rsidRDefault="008900D6" w:rsidP="0041202D">
      <w:pPr>
        <w:spacing w:line="360" w:lineRule="auto"/>
        <w:ind w:firstLine="2977"/>
        <w:jc w:val="both"/>
        <w:rPr>
          <w:rFonts w:cs="Arial"/>
        </w:rPr>
      </w:pPr>
      <w:r w:rsidRPr="00C16107">
        <w:rPr>
          <w:rFonts w:cs="Arial"/>
          <w:b/>
        </w:rPr>
        <w:t>10</w:t>
      </w:r>
      <w:r w:rsidR="004E274C" w:rsidRPr="00C16107">
        <w:rPr>
          <w:rFonts w:cs="Arial"/>
          <w:b/>
        </w:rPr>
        <w:t>.1</w:t>
      </w:r>
      <w:r w:rsidR="0041202D" w:rsidRPr="0041202D">
        <w:rPr>
          <w:rFonts w:cs="Arial"/>
          <w:b/>
        </w:rPr>
        <w:t>)</w:t>
      </w:r>
      <w:r w:rsidR="004E274C" w:rsidRPr="0041202D">
        <w:rPr>
          <w:rFonts w:cs="Arial"/>
          <w:b/>
        </w:rPr>
        <w:t xml:space="preserve"> </w:t>
      </w:r>
      <w:r w:rsidR="006722A3">
        <w:rPr>
          <w:rFonts w:cs="Arial"/>
        </w:rPr>
        <w:t xml:space="preserve">que </w:t>
      </w:r>
      <w:r w:rsidR="00362A52">
        <w:rPr>
          <w:rFonts w:cs="Arial"/>
        </w:rPr>
        <w:t xml:space="preserve">la norma </w:t>
      </w:r>
      <w:r w:rsidR="006722A3">
        <w:rPr>
          <w:rFonts w:cs="Arial"/>
        </w:rPr>
        <w:t xml:space="preserve">que </w:t>
      </w:r>
      <w:r w:rsidR="009A5BFA">
        <w:rPr>
          <w:rFonts w:cs="Arial"/>
        </w:rPr>
        <w:t>regula el ejercicio d</w:t>
      </w:r>
      <w:r w:rsidR="007B4E2C">
        <w:rPr>
          <w:rFonts w:cs="Arial"/>
        </w:rPr>
        <w:t>el derecho de preferencia para la adquisición de inmuebles rurales con fines de colonización</w:t>
      </w:r>
      <w:r w:rsidR="0041202D">
        <w:rPr>
          <w:rFonts w:cs="Arial"/>
        </w:rPr>
        <w:t xml:space="preserve"> (A</w:t>
      </w:r>
      <w:r w:rsidR="006722A3">
        <w:rPr>
          <w:rFonts w:cs="Arial"/>
        </w:rPr>
        <w:t>rtículo</w:t>
      </w:r>
      <w:r w:rsidR="00AD1E96">
        <w:rPr>
          <w:rFonts w:cs="Arial"/>
        </w:rPr>
        <w:t xml:space="preserve"> 35 de la Ley N° 11.029</w:t>
      </w:r>
      <w:r w:rsidR="009A5BFA">
        <w:rPr>
          <w:rFonts w:cs="Arial"/>
        </w:rPr>
        <w:t>)</w:t>
      </w:r>
      <w:r w:rsidR="00EE3654">
        <w:rPr>
          <w:rFonts w:cs="Arial"/>
        </w:rPr>
        <w:t>, dispone que e</w:t>
      </w:r>
      <w:r w:rsidR="00AD1E96">
        <w:rPr>
          <w:rFonts w:cs="Arial"/>
        </w:rPr>
        <w:t xml:space="preserve">l precio a pagar por el INC </w:t>
      </w:r>
      <w:r w:rsidR="00EE3654">
        <w:rPr>
          <w:rFonts w:cs="Arial"/>
        </w:rPr>
        <w:t xml:space="preserve">se fijará </w:t>
      </w:r>
      <w:r w:rsidR="00AD1E96">
        <w:rPr>
          <w:rFonts w:cs="Arial"/>
        </w:rPr>
        <w:t>en función de cómo lo hayan estipulado las partes</w:t>
      </w:r>
      <w:r w:rsidR="00EE3654">
        <w:rPr>
          <w:rFonts w:cs="Arial"/>
        </w:rPr>
        <w:t xml:space="preserve"> (privados)</w:t>
      </w:r>
      <w:r w:rsidR="006722A3">
        <w:rPr>
          <w:rFonts w:cs="Arial"/>
        </w:rPr>
        <w:t xml:space="preserve"> respecto de</w:t>
      </w:r>
      <w:r w:rsidR="00AD1E96">
        <w:rPr>
          <w:rFonts w:cs="Arial"/>
        </w:rPr>
        <w:t xml:space="preserve"> la enajenación proyectada</w:t>
      </w:r>
      <w:r w:rsidR="00EE3654">
        <w:rPr>
          <w:rFonts w:cs="Arial"/>
        </w:rPr>
        <w:t>. C</w:t>
      </w:r>
      <w:r w:rsidR="00AD1E96">
        <w:rPr>
          <w:rFonts w:cs="Arial"/>
        </w:rPr>
        <w:t>uando las partes</w:t>
      </w:r>
      <w:r w:rsidR="006722A3">
        <w:rPr>
          <w:rFonts w:cs="Arial"/>
        </w:rPr>
        <w:t xml:space="preserve"> en el</w:t>
      </w:r>
      <w:r w:rsidR="00EE3654">
        <w:rPr>
          <w:rFonts w:cs="Arial"/>
        </w:rPr>
        <w:t xml:space="preserve"> negocio privado</w:t>
      </w:r>
      <w:r w:rsidR="00AD1E96">
        <w:rPr>
          <w:rFonts w:cs="Arial"/>
        </w:rPr>
        <w:t xml:space="preserve"> h</w:t>
      </w:r>
      <w:r w:rsidR="00052876">
        <w:rPr>
          <w:rFonts w:cs="Arial"/>
        </w:rPr>
        <w:t>ubiesen estipulado el monto del precio</w:t>
      </w:r>
      <w:r w:rsidR="00AD012E">
        <w:rPr>
          <w:rFonts w:cs="Arial"/>
        </w:rPr>
        <w:t>,</w:t>
      </w:r>
      <w:r w:rsidR="006722A3">
        <w:rPr>
          <w:rFonts w:cs="Arial"/>
        </w:rPr>
        <w:t xml:space="preserve"> si el INC ejerce</w:t>
      </w:r>
      <w:r w:rsidR="00AD1E96">
        <w:rPr>
          <w:rFonts w:cs="Arial"/>
        </w:rPr>
        <w:t xml:space="preserve"> el derecho de</w:t>
      </w:r>
      <w:r w:rsidR="007B4E2C">
        <w:rPr>
          <w:rFonts w:cs="Arial"/>
        </w:rPr>
        <w:t xml:space="preserve"> preferencia, el precio que</w:t>
      </w:r>
      <w:r w:rsidR="006722A3">
        <w:rPr>
          <w:rFonts w:cs="Arial"/>
        </w:rPr>
        <w:t xml:space="preserve"> el Ente está facultado a</w:t>
      </w:r>
      <w:r w:rsidR="007B4E2C">
        <w:rPr>
          <w:rFonts w:cs="Arial"/>
        </w:rPr>
        <w:t xml:space="preserve"> abon</w:t>
      </w:r>
      <w:r w:rsidR="006722A3">
        <w:rPr>
          <w:rFonts w:cs="Arial"/>
        </w:rPr>
        <w:t>ar para adquirir el predio tiene como tope</w:t>
      </w:r>
      <w:r w:rsidR="004E274C">
        <w:rPr>
          <w:rFonts w:cs="Arial"/>
        </w:rPr>
        <w:t xml:space="preserve"> el</w:t>
      </w:r>
      <w:r w:rsidR="00AD1E96">
        <w:rPr>
          <w:rFonts w:cs="Arial"/>
        </w:rPr>
        <w:t xml:space="preserve"> referido</w:t>
      </w:r>
      <w:r w:rsidR="00ED2041">
        <w:rPr>
          <w:rFonts w:cs="Arial"/>
        </w:rPr>
        <w:t xml:space="preserve"> precio de compraventa</w:t>
      </w:r>
      <w:r w:rsidR="00DB50F8">
        <w:rPr>
          <w:rFonts w:cs="Arial"/>
        </w:rPr>
        <w:t>,</w:t>
      </w:r>
      <w:r w:rsidR="00ED2041">
        <w:rPr>
          <w:rFonts w:cs="Arial"/>
        </w:rPr>
        <w:t xml:space="preserve"> originalmente pactado</w:t>
      </w:r>
      <w:r w:rsidR="00AD1E96">
        <w:rPr>
          <w:rFonts w:cs="Arial"/>
        </w:rPr>
        <w:t xml:space="preserve"> </w:t>
      </w:r>
      <w:r w:rsidR="00D24383">
        <w:rPr>
          <w:rFonts w:cs="Arial"/>
        </w:rPr>
        <w:t>en el negocio jurídico</w:t>
      </w:r>
      <w:r w:rsidR="00EE3654">
        <w:rPr>
          <w:rFonts w:cs="Arial"/>
        </w:rPr>
        <w:t xml:space="preserve"> entre</w:t>
      </w:r>
      <w:r w:rsidR="004E274C">
        <w:rPr>
          <w:rFonts w:cs="Arial"/>
        </w:rPr>
        <w:t xml:space="preserve"> los </w:t>
      </w:r>
      <w:r w:rsidR="00EE3654">
        <w:rPr>
          <w:rFonts w:cs="Arial"/>
        </w:rPr>
        <w:t xml:space="preserve"> particular</w:t>
      </w:r>
      <w:r w:rsidR="00DB50F8">
        <w:rPr>
          <w:rFonts w:cs="Arial"/>
        </w:rPr>
        <w:t>es</w:t>
      </w:r>
      <w:r w:rsidR="00ED2041">
        <w:rPr>
          <w:rFonts w:cs="Arial"/>
        </w:rPr>
        <w:t>;</w:t>
      </w:r>
    </w:p>
    <w:p w:rsidR="0041202D" w:rsidRDefault="00052876" w:rsidP="0041202D">
      <w:pPr>
        <w:spacing w:line="360" w:lineRule="auto"/>
        <w:ind w:firstLine="2977"/>
        <w:jc w:val="both"/>
        <w:rPr>
          <w:rFonts w:cs="Arial"/>
        </w:rPr>
      </w:pPr>
      <w:r w:rsidRPr="00C16107">
        <w:rPr>
          <w:rFonts w:cs="Arial"/>
          <w:b/>
        </w:rPr>
        <w:t>10</w:t>
      </w:r>
      <w:r w:rsidR="004E274C" w:rsidRPr="00C16107">
        <w:rPr>
          <w:rFonts w:cs="Arial"/>
          <w:b/>
        </w:rPr>
        <w:t>.2</w:t>
      </w:r>
      <w:r w:rsidR="0041202D" w:rsidRPr="0041202D">
        <w:rPr>
          <w:rFonts w:cs="Arial"/>
          <w:b/>
        </w:rPr>
        <w:t>)</w:t>
      </w:r>
      <w:r w:rsidR="004E274C">
        <w:rPr>
          <w:rFonts w:cs="Arial"/>
          <w:b/>
        </w:rPr>
        <w:t xml:space="preserve"> </w:t>
      </w:r>
      <w:r w:rsidR="00D24383">
        <w:rPr>
          <w:rFonts w:cs="Arial"/>
        </w:rPr>
        <w:t>que</w:t>
      </w:r>
      <w:r w:rsidR="004E274C">
        <w:rPr>
          <w:rFonts w:cs="Arial"/>
        </w:rPr>
        <w:t xml:space="preserve"> en efecto</w:t>
      </w:r>
      <w:r w:rsidR="00416A22">
        <w:rPr>
          <w:rFonts w:cs="Arial"/>
        </w:rPr>
        <w:t>,</w:t>
      </w:r>
      <w:r w:rsidR="00D24383">
        <w:rPr>
          <w:rFonts w:cs="Arial"/>
        </w:rPr>
        <w:t xml:space="preserve"> </w:t>
      </w:r>
      <w:r w:rsidR="00415BAF">
        <w:rPr>
          <w:rFonts w:cs="Arial"/>
        </w:rPr>
        <w:t>la</w:t>
      </w:r>
      <w:r w:rsidR="00D24383">
        <w:rPr>
          <w:rFonts w:cs="Arial"/>
        </w:rPr>
        <w:t xml:space="preserve"> decisión final d</w:t>
      </w:r>
      <w:r w:rsidR="004E274C">
        <w:rPr>
          <w:rFonts w:cs="Arial"/>
        </w:rPr>
        <w:t>el Directorio del INC respecto de</w:t>
      </w:r>
      <w:r w:rsidR="00D24383">
        <w:rPr>
          <w:rFonts w:cs="Arial"/>
        </w:rPr>
        <w:t xml:space="preserve"> la conveniencia de ejercer el derecho de preferencia en la enajenación del bien inmueble en el marco del </w:t>
      </w:r>
      <w:r w:rsidR="00D24383" w:rsidRPr="00D24383">
        <w:rPr>
          <w:rFonts w:cs="Arial"/>
          <w:i/>
        </w:rPr>
        <w:t>parquet</w:t>
      </w:r>
      <w:r w:rsidR="00D24383">
        <w:rPr>
          <w:rFonts w:cs="Arial"/>
          <w:i/>
        </w:rPr>
        <w:t xml:space="preserve"> </w:t>
      </w:r>
      <w:r w:rsidR="00D24383">
        <w:rPr>
          <w:rFonts w:cs="Arial"/>
        </w:rPr>
        <w:t xml:space="preserve">normativo que delimita la fijación del precio, </w:t>
      </w:r>
      <w:r w:rsidR="00D24383" w:rsidRPr="00D24383">
        <w:rPr>
          <w:rFonts w:cs="Arial"/>
        </w:rPr>
        <w:t>deberá</w:t>
      </w:r>
      <w:r w:rsidR="00D24383">
        <w:rPr>
          <w:rFonts w:cs="Arial"/>
        </w:rPr>
        <w:t xml:space="preserve"> estar</w:t>
      </w:r>
      <w:r w:rsidR="00416A22">
        <w:rPr>
          <w:rFonts w:cs="Arial"/>
        </w:rPr>
        <w:t xml:space="preserve"> topeada por el precio acordado en el marco del negocio jurídico privado de e</w:t>
      </w:r>
      <w:r w:rsidR="004E274C">
        <w:rPr>
          <w:rFonts w:cs="Arial"/>
        </w:rPr>
        <w:t xml:space="preserve">najenación del bien </w:t>
      </w:r>
      <w:r w:rsidR="00416A22">
        <w:rPr>
          <w:rFonts w:cs="Arial"/>
        </w:rPr>
        <w:t xml:space="preserve"> y</w:t>
      </w:r>
      <w:r w:rsidR="00D24383">
        <w:rPr>
          <w:rFonts w:cs="Arial"/>
        </w:rPr>
        <w:t xml:space="preserve"> precedida</w:t>
      </w:r>
      <w:r w:rsidR="00416A22">
        <w:rPr>
          <w:rFonts w:cs="Arial"/>
        </w:rPr>
        <w:t>, asimismo,</w:t>
      </w:r>
      <w:r w:rsidR="00D24383">
        <w:rPr>
          <w:rFonts w:cs="Arial"/>
        </w:rPr>
        <w:t xml:space="preserve"> de los estudios</w:t>
      </w:r>
      <w:r w:rsidR="00992032">
        <w:rPr>
          <w:rFonts w:cs="Arial"/>
        </w:rPr>
        <w:t xml:space="preserve"> preceptivos</w:t>
      </w:r>
      <w:r w:rsidR="00D24383">
        <w:rPr>
          <w:rFonts w:cs="Arial"/>
        </w:rPr>
        <w:t xml:space="preserve"> de factibilidad económica y tasación del inmueble que realicen sus servicios técnicos</w:t>
      </w:r>
      <w:r w:rsidR="00992032">
        <w:rPr>
          <w:rFonts w:cs="Arial"/>
        </w:rPr>
        <w:t xml:space="preserve"> </w:t>
      </w:r>
      <w:r w:rsidR="0041202D">
        <w:rPr>
          <w:rFonts w:cs="Arial"/>
        </w:rPr>
        <w:t>(A</w:t>
      </w:r>
      <w:r w:rsidR="00D24383">
        <w:rPr>
          <w:rFonts w:cs="Arial"/>
        </w:rPr>
        <w:t>rt</w:t>
      </w:r>
      <w:r w:rsidR="004E274C">
        <w:rPr>
          <w:rFonts w:cs="Arial"/>
        </w:rPr>
        <w:t>ículos</w:t>
      </w:r>
      <w:r w:rsidR="00D24383">
        <w:rPr>
          <w:rFonts w:cs="Arial"/>
        </w:rPr>
        <w:t xml:space="preserve"> 28</w:t>
      </w:r>
      <w:r w:rsidR="00416A22">
        <w:rPr>
          <w:rFonts w:cs="Arial"/>
        </w:rPr>
        <w:t xml:space="preserve"> y 35</w:t>
      </w:r>
      <w:r w:rsidR="00D24383">
        <w:rPr>
          <w:rFonts w:cs="Arial"/>
        </w:rPr>
        <w:t xml:space="preserve"> de la Ley N° 11.029);</w:t>
      </w:r>
    </w:p>
    <w:p w:rsidR="0041202D" w:rsidRDefault="00052876" w:rsidP="0041202D">
      <w:pPr>
        <w:spacing w:line="360" w:lineRule="auto"/>
        <w:ind w:firstLine="2977"/>
        <w:jc w:val="both"/>
        <w:rPr>
          <w:rFonts w:cs="Arial"/>
        </w:rPr>
      </w:pPr>
      <w:r w:rsidRPr="00C16107">
        <w:rPr>
          <w:rFonts w:cs="Arial"/>
          <w:b/>
        </w:rPr>
        <w:t>10</w:t>
      </w:r>
      <w:r w:rsidR="004E274C" w:rsidRPr="00C16107">
        <w:rPr>
          <w:rFonts w:cs="Arial"/>
          <w:b/>
        </w:rPr>
        <w:t>.3</w:t>
      </w:r>
      <w:r w:rsidR="0041202D" w:rsidRPr="0041202D">
        <w:rPr>
          <w:rFonts w:cs="Arial"/>
          <w:b/>
        </w:rPr>
        <w:t>)</w:t>
      </w:r>
      <w:r w:rsidR="004E274C">
        <w:rPr>
          <w:rFonts w:cs="Arial"/>
        </w:rPr>
        <w:t xml:space="preserve"> </w:t>
      </w:r>
      <w:r w:rsidR="00C90A19" w:rsidRPr="00415BAF">
        <w:rPr>
          <w:rFonts w:cs="Arial"/>
        </w:rPr>
        <w:t>que en los supuestos de a</w:t>
      </w:r>
      <w:r w:rsidR="0041202D">
        <w:rPr>
          <w:rFonts w:cs="Arial"/>
        </w:rPr>
        <w:t>dquisición directa de tierras (A</w:t>
      </w:r>
      <w:r w:rsidR="00C90A19" w:rsidRPr="00415BAF">
        <w:rPr>
          <w:rFonts w:cs="Arial"/>
        </w:rPr>
        <w:t>rt</w:t>
      </w:r>
      <w:r w:rsidR="004E274C">
        <w:rPr>
          <w:rFonts w:cs="Arial"/>
        </w:rPr>
        <w:t>ículo</w:t>
      </w:r>
      <w:r w:rsidR="00C90A19" w:rsidRPr="00415BAF">
        <w:rPr>
          <w:rFonts w:cs="Arial"/>
        </w:rPr>
        <w:t xml:space="preserve"> 836 de la Ley </w:t>
      </w:r>
      <w:r w:rsidR="004E274C">
        <w:rPr>
          <w:rFonts w:cs="Arial"/>
        </w:rPr>
        <w:t xml:space="preserve">Nº </w:t>
      </w:r>
      <w:r w:rsidR="00C90A19" w:rsidRPr="00415BAF">
        <w:rPr>
          <w:rFonts w:cs="Arial"/>
        </w:rPr>
        <w:t>18</w:t>
      </w:r>
      <w:r w:rsidR="004E274C">
        <w:rPr>
          <w:rFonts w:cs="Arial"/>
        </w:rPr>
        <w:t xml:space="preserve">.719) el precio que debe abonar el INC será fijado por el procedimiento previsto </w:t>
      </w:r>
      <w:r w:rsidR="0041202D">
        <w:rPr>
          <w:rFonts w:cs="Arial"/>
        </w:rPr>
        <w:t>en el A</w:t>
      </w:r>
      <w:r w:rsidR="004E274C">
        <w:rPr>
          <w:rFonts w:cs="Arial"/>
        </w:rPr>
        <w:t>rtículo</w:t>
      </w:r>
      <w:r w:rsidR="00C90A19" w:rsidRPr="00415BAF">
        <w:rPr>
          <w:rFonts w:cs="Arial"/>
        </w:rPr>
        <w:t xml:space="preserve"> 28 de la Ley </w:t>
      </w:r>
      <w:r w:rsidR="004E274C">
        <w:rPr>
          <w:rFonts w:cs="Arial"/>
        </w:rPr>
        <w:t xml:space="preserve">Nº </w:t>
      </w:r>
      <w:r w:rsidR="00C90A19" w:rsidRPr="00415BAF">
        <w:rPr>
          <w:rFonts w:cs="Arial"/>
        </w:rPr>
        <w:t xml:space="preserve">11029, </w:t>
      </w:r>
      <w:r w:rsidR="00C90A19" w:rsidRPr="00415BAF">
        <w:rPr>
          <w:rFonts w:cs="Arial"/>
        </w:rPr>
        <w:lastRenderedPageBreak/>
        <w:t xml:space="preserve">por la remisión </w:t>
      </w:r>
      <w:r w:rsidR="004E274C">
        <w:rPr>
          <w:rFonts w:cs="Arial"/>
        </w:rPr>
        <w:t xml:space="preserve">específica </w:t>
      </w:r>
      <w:r w:rsidR="00C90A19" w:rsidRPr="00415BAF">
        <w:rPr>
          <w:rFonts w:cs="Arial"/>
        </w:rPr>
        <w:t>qu</w:t>
      </w:r>
      <w:r>
        <w:rPr>
          <w:rFonts w:cs="Arial"/>
        </w:rPr>
        <w:t xml:space="preserve">e </w:t>
      </w:r>
      <w:r w:rsidR="004E274C">
        <w:rPr>
          <w:rFonts w:cs="Arial"/>
        </w:rPr>
        <w:t>esa dis</w:t>
      </w:r>
      <w:r>
        <w:rPr>
          <w:rFonts w:cs="Arial"/>
        </w:rPr>
        <w:t>posición hace a la normativa vigente en la materia</w:t>
      </w:r>
      <w:r w:rsidR="00C90A19" w:rsidRPr="00415BAF">
        <w:rPr>
          <w:rFonts w:cs="Arial"/>
        </w:rPr>
        <w:t>;</w:t>
      </w:r>
    </w:p>
    <w:p w:rsidR="0041202D" w:rsidRDefault="00052876" w:rsidP="0041202D">
      <w:pPr>
        <w:spacing w:line="360" w:lineRule="auto"/>
        <w:ind w:firstLine="2977"/>
        <w:jc w:val="both"/>
        <w:rPr>
          <w:rFonts w:cs="Arial"/>
        </w:rPr>
      </w:pPr>
      <w:r w:rsidRPr="00C16107">
        <w:rPr>
          <w:rFonts w:cs="Arial"/>
          <w:b/>
        </w:rPr>
        <w:t>10</w:t>
      </w:r>
      <w:r w:rsidR="004E274C" w:rsidRPr="00C16107">
        <w:rPr>
          <w:rFonts w:cs="Arial"/>
          <w:b/>
        </w:rPr>
        <w:t>.4</w:t>
      </w:r>
      <w:r w:rsidR="0041202D">
        <w:rPr>
          <w:rFonts w:cs="Arial"/>
          <w:b/>
        </w:rPr>
        <w:t>)</w:t>
      </w:r>
      <w:r w:rsidR="004E274C">
        <w:rPr>
          <w:rFonts w:cs="Arial"/>
          <w:b/>
        </w:rPr>
        <w:t xml:space="preserve"> </w:t>
      </w:r>
      <w:r w:rsidR="005965B4">
        <w:rPr>
          <w:rFonts w:cs="Arial"/>
        </w:rPr>
        <w:t xml:space="preserve">que la </w:t>
      </w:r>
      <w:r w:rsidR="007946DE">
        <w:rPr>
          <w:rFonts w:cs="Arial"/>
        </w:rPr>
        <w:t>referencia a</w:t>
      </w:r>
      <w:r w:rsidR="00416A22">
        <w:rPr>
          <w:rFonts w:cs="Arial"/>
        </w:rPr>
        <w:t xml:space="preserve"> la Dirección Nacional de Catastro en el procedimiento excepcional de adquisición de inmuebles rurales</w:t>
      </w:r>
      <w:r w:rsidR="00362A52">
        <w:rPr>
          <w:rFonts w:cs="Arial"/>
        </w:rPr>
        <w:t>, está previsto en el caso</w:t>
      </w:r>
      <w:r w:rsidR="00C90A19">
        <w:rPr>
          <w:rFonts w:cs="Arial"/>
        </w:rPr>
        <w:t xml:space="preserve"> en que el Instituto ejerza el derecho de preferencia y</w:t>
      </w:r>
      <w:r w:rsidR="00534B77">
        <w:rPr>
          <w:rFonts w:cs="Arial"/>
        </w:rPr>
        <w:t xml:space="preserve"> únicamente</w:t>
      </w:r>
      <w:r w:rsidR="005965B4">
        <w:rPr>
          <w:rFonts w:cs="Arial"/>
        </w:rPr>
        <w:t xml:space="preserve"> en el supuesto </w:t>
      </w:r>
      <w:r w:rsidR="00270392">
        <w:rPr>
          <w:rFonts w:cs="Arial"/>
        </w:rPr>
        <w:t xml:space="preserve">en que la “contraprestación del adquirente consista total o parcialmente en la entrega de acciones, valores u otros bienes, muebles o inmuebles” </w:t>
      </w:r>
      <w:r w:rsidR="003141B6">
        <w:rPr>
          <w:rFonts w:cs="Arial"/>
        </w:rPr>
        <w:t>y deba el vendedor estimar el valor de la contraprestación del adquirente, “estimación que no podrá superar el valor real fijado al inmueble por la D</w:t>
      </w:r>
      <w:r w:rsidR="00767FC4">
        <w:rPr>
          <w:rFonts w:cs="Arial"/>
        </w:rPr>
        <w:t>i</w:t>
      </w:r>
      <w:r w:rsidR="003141B6">
        <w:rPr>
          <w:rFonts w:cs="Arial"/>
        </w:rPr>
        <w:t xml:space="preserve">rección Nacional de Catastro, y que representará </w:t>
      </w:r>
      <w:r w:rsidR="004E274C">
        <w:rPr>
          <w:rFonts w:cs="Arial"/>
        </w:rPr>
        <w:t>la suma mediante la cual el INC</w:t>
      </w:r>
      <w:r w:rsidR="003141B6">
        <w:rPr>
          <w:rFonts w:cs="Arial"/>
        </w:rPr>
        <w:t xml:space="preserve"> podrá adquirirlo”</w:t>
      </w:r>
      <w:r w:rsidR="0041202D">
        <w:rPr>
          <w:rFonts w:cs="Arial"/>
        </w:rPr>
        <w:t xml:space="preserve"> (Inciso 5º del A</w:t>
      </w:r>
      <w:r w:rsidR="00362A52">
        <w:rPr>
          <w:rFonts w:cs="Arial"/>
        </w:rPr>
        <w:t>rtículo</w:t>
      </w:r>
      <w:r w:rsidR="00C90A19">
        <w:rPr>
          <w:rFonts w:cs="Arial"/>
        </w:rPr>
        <w:t xml:space="preserve"> 35 de la Ley</w:t>
      </w:r>
      <w:r w:rsidR="003141B6">
        <w:rPr>
          <w:rFonts w:cs="Arial"/>
        </w:rPr>
        <w:t xml:space="preserve"> </w:t>
      </w:r>
      <w:r w:rsidR="00362A52">
        <w:rPr>
          <w:rFonts w:cs="Arial"/>
        </w:rPr>
        <w:t xml:space="preserve">Nº </w:t>
      </w:r>
      <w:r w:rsidR="003141B6">
        <w:rPr>
          <w:rFonts w:cs="Arial"/>
        </w:rPr>
        <w:t>11</w:t>
      </w:r>
      <w:r w:rsidR="000F5A30">
        <w:rPr>
          <w:rFonts w:cs="Arial"/>
        </w:rPr>
        <w:t>.</w:t>
      </w:r>
      <w:r w:rsidR="003141B6">
        <w:rPr>
          <w:rFonts w:cs="Arial"/>
        </w:rPr>
        <w:t>029)</w:t>
      </w:r>
      <w:r w:rsidR="00270392">
        <w:rPr>
          <w:rFonts w:cs="Arial"/>
        </w:rPr>
        <w:t>;</w:t>
      </w:r>
    </w:p>
    <w:p w:rsidR="00FD09A9" w:rsidRDefault="00052876" w:rsidP="00FD09A9">
      <w:pPr>
        <w:spacing w:line="360" w:lineRule="auto"/>
        <w:ind w:firstLine="2977"/>
        <w:jc w:val="both"/>
        <w:rPr>
          <w:rFonts w:cs="Arial"/>
        </w:rPr>
      </w:pPr>
      <w:r w:rsidRPr="00C16107">
        <w:rPr>
          <w:rFonts w:cs="Arial"/>
          <w:b/>
        </w:rPr>
        <w:t>10</w:t>
      </w:r>
      <w:r w:rsidR="000F5A30" w:rsidRPr="00C16107">
        <w:rPr>
          <w:rFonts w:cs="Arial"/>
          <w:b/>
        </w:rPr>
        <w:t>.5</w:t>
      </w:r>
      <w:r w:rsidR="0041202D" w:rsidRPr="0041202D">
        <w:rPr>
          <w:rFonts w:cs="Arial"/>
          <w:b/>
        </w:rPr>
        <w:t>)</w:t>
      </w:r>
      <w:r w:rsidR="000F5A30">
        <w:rPr>
          <w:rFonts w:cs="Arial"/>
        </w:rPr>
        <w:t xml:space="preserve"> </w:t>
      </w:r>
      <w:r w:rsidR="00432177">
        <w:rPr>
          <w:rFonts w:cs="Arial"/>
          <w:b/>
        </w:rPr>
        <w:t xml:space="preserve"> </w:t>
      </w:r>
      <w:r w:rsidR="000F5A30">
        <w:rPr>
          <w:rFonts w:cs="Arial"/>
        </w:rPr>
        <w:t>que se concluye pues</w:t>
      </w:r>
      <w:r w:rsidR="00994E31">
        <w:rPr>
          <w:rFonts w:cs="Arial"/>
        </w:rPr>
        <w:t>,</w:t>
      </w:r>
      <w:r w:rsidR="000F5A30">
        <w:rPr>
          <w:rFonts w:cs="Arial"/>
        </w:rPr>
        <w:t xml:space="preserve"> que de acuerdo con lo  establecido por la normativa aplicable</w:t>
      </w:r>
      <w:r w:rsidR="00432177">
        <w:rPr>
          <w:rFonts w:cs="Arial"/>
        </w:rPr>
        <w:t xml:space="preserve">, </w:t>
      </w:r>
      <w:r w:rsidR="000F5A30">
        <w:rPr>
          <w:rFonts w:cs="Arial"/>
        </w:rPr>
        <w:t xml:space="preserve">corresponde a </w:t>
      </w:r>
      <w:r w:rsidR="00396336">
        <w:rPr>
          <w:rFonts w:cs="Arial"/>
        </w:rPr>
        <w:t>los servicios técnicos del INC</w:t>
      </w:r>
      <w:r w:rsidR="000F5A30">
        <w:rPr>
          <w:rFonts w:cs="Arial"/>
        </w:rPr>
        <w:t xml:space="preserve"> la tasación del bien inmueble a adquirir en caso de concretarse el negocio jurídico, así como evaluar</w:t>
      </w:r>
      <w:r w:rsidR="00396336">
        <w:rPr>
          <w:rFonts w:cs="Arial"/>
        </w:rPr>
        <w:t xml:space="preserve"> las condiciones del predio y su factibilidad como unidad productiva para los fines de colonización y, </w:t>
      </w:r>
      <w:r w:rsidR="000F5A30">
        <w:rPr>
          <w:rFonts w:cs="Arial"/>
        </w:rPr>
        <w:t>será responsabilidad de los Directores que concurran a l</w:t>
      </w:r>
      <w:r w:rsidR="0041202D">
        <w:rPr>
          <w:rFonts w:cs="Arial"/>
        </w:rPr>
        <w:t>a formación de la voluntad del Ó</w:t>
      </w:r>
      <w:r w:rsidR="000F5A30">
        <w:rPr>
          <w:rFonts w:cs="Arial"/>
        </w:rPr>
        <w:t>rgano para disponer la adquisición, fundamentar su voto</w:t>
      </w:r>
      <w:r w:rsidR="001D60C2">
        <w:rPr>
          <w:rFonts w:cs="Arial"/>
        </w:rPr>
        <w:t>,</w:t>
      </w:r>
      <w:r w:rsidR="000F5A30">
        <w:rPr>
          <w:rFonts w:cs="Arial"/>
        </w:rPr>
        <w:t xml:space="preserve"> </w:t>
      </w:r>
      <w:r>
        <w:rPr>
          <w:rFonts w:cs="Arial"/>
        </w:rPr>
        <w:t>por lo menos en cuanto</w:t>
      </w:r>
      <w:r w:rsidR="000F5A30" w:rsidRPr="000F5A30">
        <w:rPr>
          <w:rFonts w:cs="Arial"/>
        </w:rPr>
        <w:t xml:space="preserve"> refiere a las conveniencias generales de la</w:t>
      </w:r>
      <w:r w:rsidR="00FD09A9">
        <w:rPr>
          <w:rFonts w:cs="Arial"/>
        </w:rPr>
        <w:t xml:space="preserve"> operación, al precio del bien -</w:t>
      </w:r>
      <w:r w:rsidR="000F5A30" w:rsidRPr="000F5A30">
        <w:rPr>
          <w:rFonts w:cs="Arial"/>
        </w:rPr>
        <w:t>cuando este pre</w:t>
      </w:r>
      <w:r>
        <w:rPr>
          <w:rFonts w:cs="Arial"/>
        </w:rPr>
        <w:t>cio haya de fijarse o acordarse</w:t>
      </w:r>
      <w:r w:rsidR="000F5A30" w:rsidRPr="000F5A30">
        <w:rPr>
          <w:rFonts w:cs="Arial"/>
        </w:rPr>
        <w:t>- y a la aptitud del predio para los fines a los que se destine</w:t>
      </w:r>
      <w:r w:rsidR="000F5A30">
        <w:rPr>
          <w:rFonts w:cs="Arial"/>
        </w:rPr>
        <w:t>, de acuerdo con lo dispu</w:t>
      </w:r>
      <w:r>
        <w:rPr>
          <w:rFonts w:cs="Arial"/>
        </w:rPr>
        <w:t xml:space="preserve">esto  por el </w:t>
      </w:r>
      <w:r w:rsidR="00FD09A9">
        <w:rPr>
          <w:rFonts w:cs="Arial"/>
        </w:rPr>
        <w:t>Literal B) del A</w:t>
      </w:r>
      <w:r w:rsidR="00FB31BB">
        <w:rPr>
          <w:rFonts w:cs="Arial"/>
        </w:rPr>
        <w:t>rtículo 146 de la Ley Nº 11.029;</w:t>
      </w:r>
    </w:p>
    <w:p w:rsidR="00FB31BB" w:rsidRPr="000F5A30" w:rsidRDefault="00052876" w:rsidP="00FD09A9">
      <w:pPr>
        <w:spacing w:line="360" w:lineRule="auto"/>
        <w:ind w:firstLine="2977"/>
        <w:jc w:val="both"/>
        <w:rPr>
          <w:rFonts w:cs="Arial"/>
        </w:rPr>
      </w:pPr>
      <w:r>
        <w:rPr>
          <w:rFonts w:cs="Arial"/>
          <w:b/>
        </w:rPr>
        <w:t>11</w:t>
      </w:r>
      <w:r w:rsidR="00FB31BB" w:rsidRPr="00FB31BB">
        <w:rPr>
          <w:rFonts w:cs="Arial"/>
          <w:b/>
        </w:rPr>
        <w:t>)</w:t>
      </w:r>
      <w:r>
        <w:rPr>
          <w:rFonts w:cs="Arial"/>
        </w:rPr>
        <w:t xml:space="preserve"> que r</w:t>
      </w:r>
      <w:r w:rsidR="00FB31BB">
        <w:rPr>
          <w:rFonts w:cs="Arial"/>
        </w:rPr>
        <w:t>especto de l</w:t>
      </w:r>
      <w:r w:rsidR="001D60C2">
        <w:rPr>
          <w:rFonts w:cs="Arial"/>
        </w:rPr>
        <w:t>as restantes consideraciones efectuadas</w:t>
      </w:r>
      <w:r w:rsidR="00FB31BB">
        <w:rPr>
          <w:rFonts w:cs="Arial"/>
        </w:rPr>
        <w:t xml:space="preserve"> en la Resolución del Directorio del </w:t>
      </w:r>
      <w:r w:rsidR="00FD09A9">
        <w:rPr>
          <w:rFonts w:cs="Arial"/>
        </w:rPr>
        <w:t>O</w:t>
      </w:r>
      <w:r w:rsidR="00FB31BB">
        <w:rPr>
          <w:rFonts w:cs="Arial"/>
        </w:rPr>
        <w:t>rganismo que se remite</w:t>
      </w:r>
      <w:r w:rsidR="00E120C1">
        <w:rPr>
          <w:rFonts w:cs="Arial"/>
        </w:rPr>
        <w:t xml:space="preserve"> en la oportunidad</w:t>
      </w:r>
      <w:r>
        <w:rPr>
          <w:rFonts w:cs="Arial"/>
        </w:rPr>
        <w:t xml:space="preserve"> respecto de las</w:t>
      </w:r>
      <w:r w:rsidR="00994E31">
        <w:rPr>
          <w:rFonts w:cs="Arial"/>
        </w:rPr>
        <w:t xml:space="preserve"> otras</w:t>
      </w:r>
      <w:r>
        <w:rPr>
          <w:rFonts w:cs="Arial"/>
        </w:rPr>
        <w:t xml:space="preserve"> observaciones formuladas en la Resolución 3536/18 de 14 de noviembre de 2018,</w:t>
      </w:r>
      <w:r w:rsidR="00FB31BB">
        <w:rPr>
          <w:rFonts w:cs="Arial"/>
        </w:rPr>
        <w:t xml:space="preserve"> no corresponde ex</w:t>
      </w:r>
      <w:r>
        <w:rPr>
          <w:rFonts w:cs="Arial"/>
        </w:rPr>
        <w:t xml:space="preserve">pedirse, </w:t>
      </w:r>
      <w:r w:rsidR="00E120C1">
        <w:rPr>
          <w:rFonts w:cs="Arial"/>
        </w:rPr>
        <w:t xml:space="preserve">en tanto </w:t>
      </w:r>
      <w:r>
        <w:rPr>
          <w:rFonts w:cs="Arial"/>
        </w:rPr>
        <w:t>el gasto fue dejado sin efecto</w:t>
      </w:r>
      <w:r w:rsidR="00FB31BB">
        <w:rPr>
          <w:rFonts w:cs="Arial"/>
        </w:rPr>
        <w:t xml:space="preserve">, y no cumplen con los requisitos establecidos por la </w:t>
      </w:r>
      <w:r w:rsidR="00FB31BB">
        <w:rPr>
          <w:rFonts w:cs="Arial"/>
        </w:rPr>
        <w:lastRenderedPageBreak/>
        <w:t xml:space="preserve">Resolución de </w:t>
      </w:r>
      <w:r w:rsidR="001E56D8">
        <w:rPr>
          <w:rFonts w:cs="Arial"/>
        </w:rPr>
        <w:t>este Tribunal</w:t>
      </w:r>
      <w:r w:rsidR="00FB31BB">
        <w:rPr>
          <w:rFonts w:cs="Arial"/>
        </w:rPr>
        <w:t xml:space="preserve"> de fecha </w:t>
      </w:r>
      <w:r w:rsidR="00FB31BB" w:rsidRPr="00FB31BB">
        <w:rPr>
          <w:rFonts w:cs="Arial"/>
          <w:lang w:val="es-UY"/>
        </w:rPr>
        <w:t>30 de junio de 2004</w:t>
      </w:r>
      <w:r w:rsidR="00FB31BB">
        <w:rPr>
          <w:rFonts w:cs="Arial"/>
          <w:lang w:val="es-UY"/>
        </w:rPr>
        <w:t xml:space="preserve"> para encuadrar en el concepto de consulta;</w:t>
      </w:r>
    </w:p>
    <w:p w:rsidR="00CB4405" w:rsidRDefault="00CB4405" w:rsidP="00FD09A9">
      <w:pPr>
        <w:spacing w:line="360" w:lineRule="auto"/>
        <w:ind w:firstLine="851"/>
        <w:jc w:val="both"/>
        <w:rPr>
          <w:rFonts w:cs="Arial"/>
        </w:rPr>
      </w:pPr>
      <w:r>
        <w:rPr>
          <w:rFonts w:cs="Arial"/>
          <w:b/>
          <w:bCs/>
        </w:rPr>
        <w:t xml:space="preserve">ATENTO: </w:t>
      </w:r>
      <w:r>
        <w:rPr>
          <w:rFonts w:cs="Arial"/>
        </w:rPr>
        <w:t>a lo precedentemente expuesto</w:t>
      </w:r>
      <w:r w:rsidR="00FD09A9">
        <w:rPr>
          <w:rFonts w:cs="Arial"/>
        </w:rPr>
        <w:t xml:space="preserve"> y a lo dispuesto por el A</w:t>
      </w:r>
      <w:r w:rsidR="00FB31BB">
        <w:rPr>
          <w:rFonts w:cs="Arial"/>
        </w:rPr>
        <w:t>rtículo 112 del TOCAF</w:t>
      </w:r>
      <w:r>
        <w:rPr>
          <w:rFonts w:cs="Arial"/>
        </w:rPr>
        <w:t>;</w:t>
      </w:r>
    </w:p>
    <w:p w:rsidR="00CB4405" w:rsidRPr="00124FDA" w:rsidRDefault="00CB4405" w:rsidP="00FD09A9">
      <w:pPr>
        <w:pStyle w:val="Ttulo1"/>
        <w:ind w:firstLine="0"/>
        <w:rPr>
          <w:rFonts w:cs="Arial"/>
          <w:u w:val="none"/>
        </w:rPr>
      </w:pPr>
      <w:r w:rsidRPr="00124FDA">
        <w:rPr>
          <w:rFonts w:cs="Arial"/>
          <w:u w:val="none"/>
        </w:rPr>
        <w:t>EL TRIBUNAL ACUERDA</w:t>
      </w:r>
    </w:p>
    <w:p w:rsidR="00FB31BB" w:rsidRDefault="00FB31BB" w:rsidP="00FD09A9">
      <w:pPr>
        <w:numPr>
          <w:ilvl w:val="0"/>
          <w:numId w:val="2"/>
        </w:numPr>
        <w:tabs>
          <w:tab w:val="clear" w:pos="720"/>
          <w:tab w:val="num" w:pos="284"/>
        </w:tabs>
        <w:spacing w:line="360" w:lineRule="auto"/>
        <w:ind w:left="284" w:hanging="284"/>
        <w:jc w:val="both"/>
        <w:rPr>
          <w:rFonts w:cs="Arial"/>
          <w:lang w:val="es-MX"/>
        </w:rPr>
      </w:pPr>
      <w:r w:rsidRPr="00FB31BB">
        <w:rPr>
          <w:rFonts w:cs="Arial"/>
        </w:rPr>
        <w:t>Evacuar la consulta formulada en los términos expresados en los Considerando</w:t>
      </w:r>
      <w:r w:rsidR="00FD09A9">
        <w:rPr>
          <w:rFonts w:cs="Arial"/>
        </w:rPr>
        <w:t>s</w:t>
      </w:r>
      <w:r w:rsidRPr="00FB31BB">
        <w:rPr>
          <w:rFonts w:cs="Arial"/>
        </w:rPr>
        <w:t xml:space="preserve"> precedentes, </w:t>
      </w:r>
      <w:r w:rsidRPr="00FB31BB">
        <w:rPr>
          <w:rFonts w:cs="Arial"/>
          <w:lang w:val="es-MX"/>
        </w:rPr>
        <w:t xml:space="preserve">expresando que la misma no implica un prejuzgamiento ni altera ni menoscaba los efectos del contralor externo atribuido al Tribunal de Cuentas por las normas constitucionales y legales (Considerando 3 y Acuerdo 1º de la Resolución de fecha 30 de junio de 2004); </w:t>
      </w:r>
    </w:p>
    <w:p w:rsidR="00FB31BB" w:rsidRDefault="00FB31BB" w:rsidP="00FD09A9">
      <w:pPr>
        <w:numPr>
          <w:ilvl w:val="0"/>
          <w:numId w:val="2"/>
        </w:numPr>
        <w:tabs>
          <w:tab w:val="clear" w:pos="720"/>
        </w:tabs>
        <w:spacing w:line="360" w:lineRule="auto"/>
        <w:ind w:left="284" w:hanging="284"/>
        <w:jc w:val="both"/>
        <w:rPr>
          <w:rFonts w:cs="Arial"/>
          <w:lang w:val="es-MX"/>
        </w:rPr>
      </w:pPr>
      <w:r>
        <w:rPr>
          <w:rFonts w:cs="Arial"/>
          <w:lang w:val="es-MX"/>
        </w:rPr>
        <w:t>Téngase presente lo señalado en el Considerando 1);</w:t>
      </w:r>
    </w:p>
    <w:p w:rsidR="00CB4405" w:rsidRPr="00ED5862" w:rsidRDefault="00CB4405" w:rsidP="00FD09A9">
      <w:pPr>
        <w:numPr>
          <w:ilvl w:val="0"/>
          <w:numId w:val="2"/>
        </w:numPr>
        <w:tabs>
          <w:tab w:val="clear" w:pos="720"/>
        </w:tabs>
        <w:spacing w:line="360" w:lineRule="auto"/>
        <w:ind w:left="284" w:hanging="284"/>
        <w:jc w:val="both"/>
        <w:rPr>
          <w:rFonts w:cs="Arial"/>
          <w:lang w:val="es-MX"/>
        </w:rPr>
      </w:pPr>
      <w:r w:rsidRPr="00FB31BB">
        <w:rPr>
          <w:rFonts w:cs="Arial"/>
          <w:bCs/>
        </w:rPr>
        <w:t>Comunicar al Organismo actuante.</w:t>
      </w:r>
    </w:p>
    <w:p w:rsidR="00ED5862" w:rsidRDefault="00ED5862" w:rsidP="00ED5862">
      <w:pPr>
        <w:spacing w:line="360" w:lineRule="auto"/>
        <w:jc w:val="both"/>
        <w:rPr>
          <w:rFonts w:cs="Arial"/>
          <w:bCs/>
        </w:rPr>
      </w:pPr>
    </w:p>
    <w:p w:rsidR="00ED5862" w:rsidRDefault="00ED5862" w:rsidP="00ED5862">
      <w:pPr>
        <w:spacing w:line="360" w:lineRule="auto"/>
        <w:jc w:val="both"/>
        <w:rPr>
          <w:rFonts w:cs="Arial"/>
          <w:bCs/>
        </w:rPr>
      </w:pPr>
    </w:p>
    <w:p w:rsidR="00ED5862" w:rsidRDefault="00ED5862" w:rsidP="00ED5862">
      <w:pPr>
        <w:spacing w:line="360" w:lineRule="auto"/>
        <w:jc w:val="both"/>
        <w:rPr>
          <w:rFonts w:cs="Arial"/>
          <w:bCs/>
        </w:rPr>
      </w:pPr>
    </w:p>
    <w:p w:rsidR="00ED5862" w:rsidRDefault="00ED5862" w:rsidP="00ED5862">
      <w:pPr>
        <w:spacing w:line="360" w:lineRule="auto"/>
        <w:jc w:val="both"/>
        <w:rPr>
          <w:rFonts w:cs="Arial"/>
          <w:bCs/>
        </w:rPr>
      </w:pPr>
    </w:p>
    <w:p w:rsidR="00ED5862" w:rsidRPr="00FD09A9" w:rsidRDefault="00ED5862" w:rsidP="00ED5862">
      <w:pPr>
        <w:spacing w:line="360" w:lineRule="auto"/>
        <w:ind w:hanging="426"/>
        <w:jc w:val="both"/>
        <w:rPr>
          <w:rFonts w:cs="Arial"/>
          <w:lang w:val="es-MX"/>
        </w:rPr>
      </w:pPr>
      <w:r>
        <w:rPr>
          <w:rFonts w:cs="Arial"/>
          <w:bCs/>
        </w:rPr>
        <w:t>dc</w:t>
      </w:r>
      <w:bookmarkStart w:id="0" w:name="_GoBack"/>
      <w:bookmarkEnd w:id="0"/>
    </w:p>
    <w:sectPr w:rsidR="00ED5862" w:rsidRPr="00FD09A9" w:rsidSect="00FD09A9">
      <w:footerReference w:type="default" r:id="rId9"/>
      <w:pgSz w:w="11906" w:h="16838" w:code="9"/>
      <w:pgMar w:top="3402" w:right="1701" w:bottom="1701" w:left="1701" w:header="709" w:footer="709" w:gutter="0"/>
      <w:paperSrc w:first="264" w:other="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01" w:rsidRDefault="00D75601" w:rsidP="00D75601">
      <w:r>
        <w:separator/>
      </w:r>
    </w:p>
  </w:endnote>
  <w:endnote w:type="continuationSeparator" w:id="0">
    <w:p w:rsidR="00D75601" w:rsidRDefault="00D75601" w:rsidP="00D7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0454"/>
      <w:docPartObj>
        <w:docPartGallery w:val="Page Numbers (Bottom of Page)"/>
        <w:docPartUnique/>
      </w:docPartObj>
    </w:sdtPr>
    <w:sdtContent>
      <w:p w:rsidR="00D75601" w:rsidRDefault="00D75601">
        <w:pPr>
          <w:pStyle w:val="Piedepgina"/>
          <w:jc w:val="center"/>
        </w:pPr>
        <w:r>
          <w:fldChar w:fldCharType="begin"/>
        </w:r>
        <w:r>
          <w:instrText>PAGE   \* MERGEFORMAT</w:instrText>
        </w:r>
        <w:r>
          <w:fldChar w:fldCharType="separate"/>
        </w:r>
        <w:r w:rsidR="00ED5862">
          <w:rPr>
            <w:noProof/>
          </w:rPr>
          <w:t>7</w:t>
        </w:r>
        <w:r>
          <w:fldChar w:fldCharType="end"/>
        </w:r>
      </w:p>
    </w:sdtContent>
  </w:sdt>
  <w:p w:rsidR="00D75601" w:rsidRDefault="00D756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01" w:rsidRDefault="00D75601" w:rsidP="00D75601">
      <w:r>
        <w:separator/>
      </w:r>
    </w:p>
  </w:footnote>
  <w:footnote w:type="continuationSeparator" w:id="0">
    <w:p w:rsidR="00D75601" w:rsidRDefault="00D75601" w:rsidP="00D75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4F02"/>
    <w:multiLevelType w:val="hybridMultilevel"/>
    <w:tmpl w:val="D85E26CA"/>
    <w:lvl w:ilvl="0" w:tplc="6EE02A3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F9A064B"/>
    <w:multiLevelType w:val="hybridMultilevel"/>
    <w:tmpl w:val="C6B832D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405"/>
    <w:rsid w:val="00004E60"/>
    <w:rsid w:val="000231C5"/>
    <w:rsid w:val="0003211C"/>
    <w:rsid w:val="00052876"/>
    <w:rsid w:val="00082CAD"/>
    <w:rsid w:val="000B159F"/>
    <w:rsid w:val="000F578F"/>
    <w:rsid w:val="000F5A30"/>
    <w:rsid w:val="00107F1E"/>
    <w:rsid w:val="00124FDA"/>
    <w:rsid w:val="00145A47"/>
    <w:rsid w:val="001A128E"/>
    <w:rsid w:val="001A1B08"/>
    <w:rsid w:val="001C3BBA"/>
    <w:rsid w:val="001D60C2"/>
    <w:rsid w:val="001E455F"/>
    <w:rsid w:val="001E56D8"/>
    <w:rsid w:val="00202D9C"/>
    <w:rsid w:val="00207AF2"/>
    <w:rsid w:val="002112F6"/>
    <w:rsid w:val="00214C99"/>
    <w:rsid w:val="00221896"/>
    <w:rsid w:val="002440D2"/>
    <w:rsid w:val="00270392"/>
    <w:rsid w:val="002852FF"/>
    <w:rsid w:val="00294839"/>
    <w:rsid w:val="002A6C2D"/>
    <w:rsid w:val="002B3780"/>
    <w:rsid w:val="002C5A42"/>
    <w:rsid w:val="002F3C6A"/>
    <w:rsid w:val="003141B6"/>
    <w:rsid w:val="003240EA"/>
    <w:rsid w:val="00337031"/>
    <w:rsid w:val="00357F8A"/>
    <w:rsid w:val="003623AC"/>
    <w:rsid w:val="00362A52"/>
    <w:rsid w:val="003921C7"/>
    <w:rsid w:val="00396336"/>
    <w:rsid w:val="0041202D"/>
    <w:rsid w:val="00414D10"/>
    <w:rsid w:val="00415BAF"/>
    <w:rsid w:val="00416A22"/>
    <w:rsid w:val="00432177"/>
    <w:rsid w:val="004B7C2F"/>
    <w:rsid w:val="004C6729"/>
    <w:rsid w:val="004C7BC6"/>
    <w:rsid w:val="004E274C"/>
    <w:rsid w:val="004F231A"/>
    <w:rsid w:val="004F3C71"/>
    <w:rsid w:val="004F5253"/>
    <w:rsid w:val="00513E54"/>
    <w:rsid w:val="00517BEC"/>
    <w:rsid w:val="00522854"/>
    <w:rsid w:val="00530DAD"/>
    <w:rsid w:val="00534B77"/>
    <w:rsid w:val="005477CE"/>
    <w:rsid w:val="005804EE"/>
    <w:rsid w:val="00581BC9"/>
    <w:rsid w:val="00587CE0"/>
    <w:rsid w:val="005965B4"/>
    <w:rsid w:val="005E62DF"/>
    <w:rsid w:val="005F38BC"/>
    <w:rsid w:val="00602338"/>
    <w:rsid w:val="00612F2A"/>
    <w:rsid w:val="00626CBA"/>
    <w:rsid w:val="006323FF"/>
    <w:rsid w:val="0065242C"/>
    <w:rsid w:val="00655A37"/>
    <w:rsid w:val="006722A3"/>
    <w:rsid w:val="00696DE5"/>
    <w:rsid w:val="006D3F13"/>
    <w:rsid w:val="006D7AC4"/>
    <w:rsid w:val="007034D9"/>
    <w:rsid w:val="00704358"/>
    <w:rsid w:val="00707C38"/>
    <w:rsid w:val="00731384"/>
    <w:rsid w:val="00746473"/>
    <w:rsid w:val="00756004"/>
    <w:rsid w:val="007576F6"/>
    <w:rsid w:val="00766EDC"/>
    <w:rsid w:val="00767FC4"/>
    <w:rsid w:val="007864D0"/>
    <w:rsid w:val="007946DE"/>
    <w:rsid w:val="007B4E2C"/>
    <w:rsid w:val="007C03F1"/>
    <w:rsid w:val="007E063D"/>
    <w:rsid w:val="007E17E0"/>
    <w:rsid w:val="00801E7B"/>
    <w:rsid w:val="00816482"/>
    <w:rsid w:val="00850785"/>
    <w:rsid w:val="00865FD3"/>
    <w:rsid w:val="008900D6"/>
    <w:rsid w:val="0089415F"/>
    <w:rsid w:val="008B0A1A"/>
    <w:rsid w:val="008B2F95"/>
    <w:rsid w:val="008B3072"/>
    <w:rsid w:val="00905704"/>
    <w:rsid w:val="00926B95"/>
    <w:rsid w:val="0093179A"/>
    <w:rsid w:val="00961863"/>
    <w:rsid w:val="009650C3"/>
    <w:rsid w:val="00992032"/>
    <w:rsid w:val="00994E31"/>
    <w:rsid w:val="009A5BFA"/>
    <w:rsid w:val="009B0B31"/>
    <w:rsid w:val="009F0901"/>
    <w:rsid w:val="00A06263"/>
    <w:rsid w:val="00A2666E"/>
    <w:rsid w:val="00A343B8"/>
    <w:rsid w:val="00A40030"/>
    <w:rsid w:val="00A47A8D"/>
    <w:rsid w:val="00A6311E"/>
    <w:rsid w:val="00A74B87"/>
    <w:rsid w:val="00AD012E"/>
    <w:rsid w:val="00AD1E96"/>
    <w:rsid w:val="00B0148A"/>
    <w:rsid w:val="00B11BC3"/>
    <w:rsid w:val="00B21350"/>
    <w:rsid w:val="00B2264E"/>
    <w:rsid w:val="00B47D34"/>
    <w:rsid w:val="00B53918"/>
    <w:rsid w:val="00BE29D0"/>
    <w:rsid w:val="00C16107"/>
    <w:rsid w:val="00C45C37"/>
    <w:rsid w:val="00C90A19"/>
    <w:rsid w:val="00CB4405"/>
    <w:rsid w:val="00CE4D30"/>
    <w:rsid w:val="00D034FC"/>
    <w:rsid w:val="00D05F5F"/>
    <w:rsid w:val="00D24383"/>
    <w:rsid w:val="00D32BCE"/>
    <w:rsid w:val="00D32D4D"/>
    <w:rsid w:val="00D5097B"/>
    <w:rsid w:val="00D50FB4"/>
    <w:rsid w:val="00D6658D"/>
    <w:rsid w:val="00D75601"/>
    <w:rsid w:val="00D76F97"/>
    <w:rsid w:val="00D77D53"/>
    <w:rsid w:val="00DA0E4D"/>
    <w:rsid w:val="00DB50F8"/>
    <w:rsid w:val="00DE520E"/>
    <w:rsid w:val="00DF54EF"/>
    <w:rsid w:val="00E04268"/>
    <w:rsid w:val="00E120C1"/>
    <w:rsid w:val="00E15550"/>
    <w:rsid w:val="00E30F0B"/>
    <w:rsid w:val="00E474AB"/>
    <w:rsid w:val="00E506CA"/>
    <w:rsid w:val="00E721CC"/>
    <w:rsid w:val="00E80989"/>
    <w:rsid w:val="00E82D42"/>
    <w:rsid w:val="00ED2041"/>
    <w:rsid w:val="00ED5862"/>
    <w:rsid w:val="00EE3654"/>
    <w:rsid w:val="00EF0B05"/>
    <w:rsid w:val="00EF6069"/>
    <w:rsid w:val="00F55067"/>
    <w:rsid w:val="00F72E8F"/>
    <w:rsid w:val="00F74F69"/>
    <w:rsid w:val="00F937A8"/>
    <w:rsid w:val="00F95B75"/>
    <w:rsid w:val="00FB31BB"/>
    <w:rsid w:val="00FD09A9"/>
    <w:rsid w:val="00FD49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05"/>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CB4405"/>
    <w:pPr>
      <w:keepNext/>
      <w:spacing w:line="360" w:lineRule="auto"/>
      <w:ind w:firstLine="708"/>
      <w:jc w:val="center"/>
      <w:outlineLvl w:val="0"/>
    </w:pPr>
    <w:rPr>
      <w:b/>
      <w:bCs/>
      <w:u w:val="single"/>
    </w:rPr>
  </w:style>
  <w:style w:type="paragraph" w:styleId="Ttulo2">
    <w:name w:val="heading 2"/>
    <w:basedOn w:val="Normal"/>
    <w:next w:val="Normal"/>
    <w:link w:val="Ttulo2Car"/>
    <w:qFormat/>
    <w:rsid w:val="00CB4405"/>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4405"/>
    <w:rPr>
      <w:rFonts w:ascii="Arial" w:eastAsia="Times New Roman" w:hAnsi="Arial" w:cs="Times New Roman"/>
      <w:b/>
      <w:bCs/>
      <w:sz w:val="24"/>
      <w:szCs w:val="24"/>
      <w:u w:val="single"/>
      <w:lang w:eastAsia="es-ES"/>
    </w:rPr>
  </w:style>
  <w:style w:type="character" w:customStyle="1" w:styleId="Ttulo2Car">
    <w:name w:val="Título 2 Car"/>
    <w:basedOn w:val="Fuentedeprrafopredeter"/>
    <w:link w:val="Ttulo2"/>
    <w:rsid w:val="00CB4405"/>
    <w:rPr>
      <w:rFonts w:ascii="Arial" w:eastAsia="Times New Roman" w:hAnsi="Arial" w:cs="Times New Roman"/>
      <w:b/>
      <w:bCs/>
      <w:sz w:val="24"/>
      <w:szCs w:val="24"/>
      <w:lang w:eastAsia="es-ES"/>
    </w:rPr>
  </w:style>
  <w:style w:type="paragraph" w:styleId="Sangradetextonormal">
    <w:name w:val="Body Text Indent"/>
    <w:basedOn w:val="Normal"/>
    <w:link w:val="SangradetextonormalCar"/>
    <w:semiHidden/>
    <w:rsid w:val="00CB4405"/>
    <w:pPr>
      <w:spacing w:line="360" w:lineRule="auto"/>
      <w:ind w:firstLine="708"/>
      <w:jc w:val="both"/>
    </w:pPr>
    <w:rPr>
      <w:rFonts w:ascii="Times New Roman" w:hAnsi="Times New Roman"/>
    </w:rPr>
  </w:style>
  <w:style w:type="character" w:customStyle="1" w:styleId="SangradetextonormalCar">
    <w:name w:val="Sangría de texto normal Car"/>
    <w:basedOn w:val="Fuentedeprrafopredeter"/>
    <w:link w:val="Sangradetextonormal"/>
    <w:semiHidden/>
    <w:rsid w:val="00CB440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CB4405"/>
    <w:pPr>
      <w:spacing w:line="360" w:lineRule="auto"/>
      <w:jc w:val="both"/>
    </w:pPr>
    <w:rPr>
      <w:rFonts w:cs="Arial"/>
    </w:rPr>
  </w:style>
  <w:style w:type="character" w:customStyle="1" w:styleId="TextoindependienteCar">
    <w:name w:val="Texto independiente Car"/>
    <w:basedOn w:val="Fuentedeprrafopredeter"/>
    <w:link w:val="Textoindependiente"/>
    <w:semiHidden/>
    <w:rsid w:val="00CB4405"/>
    <w:rPr>
      <w:rFonts w:ascii="Arial" w:eastAsia="Times New Roman" w:hAnsi="Arial" w:cs="Arial"/>
      <w:sz w:val="24"/>
      <w:szCs w:val="24"/>
      <w:lang w:eastAsia="es-ES"/>
    </w:rPr>
  </w:style>
  <w:style w:type="character" w:styleId="Hipervnculo">
    <w:name w:val="Hyperlink"/>
    <w:uiPriority w:val="99"/>
    <w:unhideWhenUsed/>
    <w:rsid w:val="00CB4405"/>
    <w:rPr>
      <w:color w:val="0000FF"/>
      <w:u w:val="single"/>
    </w:rPr>
  </w:style>
  <w:style w:type="paragraph" w:styleId="Prrafodelista">
    <w:name w:val="List Paragraph"/>
    <w:basedOn w:val="Normal"/>
    <w:uiPriority w:val="34"/>
    <w:qFormat/>
    <w:rsid w:val="00746473"/>
    <w:pPr>
      <w:ind w:left="720"/>
      <w:contextualSpacing/>
    </w:pPr>
  </w:style>
  <w:style w:type="paragraph" w:styleId="Textodeglobo">
    <w:name w:val="Balloon Text"/>
    <w:basedOn w:val="Normal"/>
    <w:link w:val="TextodegloboCar"/>
    <w:uiPriority w:val="99"/>
    <w:semiHidden/>
    <w:unhideWhenUsed/>
    <w:rsid w:val="00696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DE5"/>
    <w:rPr>
      <w:rFonts w:ascii="Tahoma" w:eastAsia="Times New Roman" w:hAnsi="Tahoma" w:cs="Tahoma"/>
      <w:sz w:val="16"/>
      <w:szCs w:val="16"/>
      <w:lang w:eastAsia="es-ES"/>
    </w:rPr>
  </w:style>
  <w:style w:type="paragraph" w:styleId="Sangra3detindependiente">
    <w:name w:val="Body Text Indent 3"/>
    <w:basedOn w:val="Normal"/>
    <w:link w:val="Sangra3detindependienteCar"/>
    <w:uiPriority w:val="99"/>
    <w:semiHidden/>
    <w:unhideWhenUsed/>
    <w:rsid w:val="003623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623AC"/>
    <w:rPr>
      <w:rFonts w:ascii="Arial" w:eastAsia="Times New Roman" w:hAnsi="Arial" w:cs="Times New Roman"/>
      <w:sz w:val="16"/>
      <w:szCs w:val="16"/>
      <w:lang w:eastAsia="es-ES"/>
    </w:rPr>
  </w:style>
  <w:style w:type="paragraph" w:styleId="Textoindependiente2">
    <w:name w:val="Body Text 2"/>
    <w:basedOn w:val="Normal"/>
    <w:link w:val="Textoindependiente2Car"/>
    <w:uiPriority w:val="99"/>
    <w:semiHidden/>
    <w:unhideWhenUsed/>
    <w:rsid w:val="003623AC"/>
    <w:pPr>
      <w:spacing w:after="120" w:line="480" w:lineRule="auto"/>
    </w:pPr>
  </w:style>
  <w:style w:type="character" w:customStyle="1" w:styleId="Textoindependiente2Car">
    <w:name w:val="Texto independiente 2 Car"/>
    <w:basedOn w:val="Fuentedeprrafopredeter"/>
    <w:link w:val="Textoindependiente2"/>
    <w:uiPriority w:val="99"/>
    <w:semiHidden/>
    <w:rsid w:val="003623AC"/>
    <w:rPr>
      <w:rFonts w:ascii="Arial" w:eastAsia="Times New Roman" w:hAnsi="Arial" w:cs="Times New Roman"/>
      <w:sz w:val="24"/>
      <w:szCs w:val="24"/>
      <w:lang w:eastAsia="es-ES"/>
    </w:rPr>
  </w:style>
  <w:style w:type="paragraph" w:styleId="Encabezado">
    <w:name w:val="header"/>
    <w:basedOn w:val="Normal"/>
    <w:link w:val="EncabezadoCar"/>
    <w:uiPriority w:val="99"/>
    <w:unhideWhenUsed/>
    <w:rsid w:val="00D75601"/>
    <w:pPr>
      <w:tabs>
        <w:tab w:val="center" w:pos="4252"/>
        <w:tab w:val="right" w:pos="8504"/>
      </w:tabs>
    </w:pPr>
  </w:style>
  <w:style w:type="character" w:customStyle="1" w:styleId="EncabezadoCar">
    <w:name w:val="Encabezado Car"/>
    <w:basedOn w:val="Fuentedeprrafopredeter"/>
    <w:link w:val="Encabezado"/>
    <w:uiPriority w:val="99"/>
    <w:rsid w:val="00D75601"/>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D75601"/>
    <w:pPr>
      <w:tabs>
        <w:tab w:val="center" w:pos="4252"/>
        <w:tab w:val="right" w:pos="8504"/>
      </w:tabs>
    </w:pPr>
  </w:style>
  <w:style w:type="character" w:customStyle="1" w:styleId="PiedepginaCar">
    <w:name w:val="Pie de página Car"/>
    <w:basedOn w:val="Fuentedeprrafopredeter"/>
    <w:link w:val="Piedepgina"/>
    <w:uiPriority w:val="99"/>
    <w:rsid w:val="00D75601"/>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05"/>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CB4405"/>
    <w:pPr>
      <w:keepNext/>
      <w:spacing w:line="360" w:lineRule="auto"/>
      <w:ind w:firstLine="708"/>
      <w:jc w:val="center"/>
      <w:outlineLvl w:val="0"/>
    </w:pPr>
    <w:rPr>
      <w:b/>
      <w:bCs/>
      <w:u w:val="single"/>
    </w:rPr>
  </w:style>
  <w:style w:type="paragraph" w:styleId="Ttulo2">
    <w:name w:val="heading 2"/>
    <w:basedOn w:val="Normal"/>
    <w:next w:val="Normal"/>
    <w:link w:val="Ttulo2Car"/>
    <w:qFormat/>
    <w:rsid w:val="00CB4405"/>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4405"/>
    <w:rPr>
      <w:rFonts w:ascii="Arial" w:eastAsia="Times New Roman" w:hAnsi="Arial" w:cs="Times New Roman"/>
      <w:b/>
      <w:bCs/>
      <w:sz w:val="24"/>
      <w:szCs w:val="24"/>
      <w:u w:val="single"/>
      <w:lang w:eastAsia="es-ES"/>
    </w:rPr>
  </w:style>
  <w:style w:type="character" w:customStyle="1" w:styleId="Ttulo2Car">
    <w:name w:val="Título 2 Car"/>
    <w:basedOn w:val="Fuentedeprrafopredeter"/>
    <w:link w:val="Ttulo2"/>
    <w:rsid w:val="00CB4405"/>
    <w:rPr>
      <w:rFonts w:ascii="Arial" w:eastAsia="Times New Roman" w:hAnsi="Arial" w:cs="Times New Roman"/>
      <w:b/>
      <w:bCs/>
      <w:sz w:val="24"/>
      <w:szCs w:val="24"/>
      <w:lang w:eastAsia="es-ES"/>
    </w:rPr>
  </w:style>
  <w:style w:type="paragraph" w:styleId="Sangradetextonormal">
    <w:name w:val="Body Text Indent"/>
    <w:basedOn w:val="Normal"/>
    <w:link w:val="SangradetextonormalCar"/>
    <w:semiHidden/>
    <w:rsid w:val="00CB4405"/>
    <w:pPr>
      <w:spacing w:line="360" w:lineRule="auto"/>
      <w:ind w:firstLine="708"/>
      <w:jc w:val="both"/>
    </w:pPr>
    <w:rPr>
      <w:rFonts w:ascii="Times New Roman" w:hAnsi="Times New Roman"/>
    </w:rPr>
  </w:style>
  <w:style w:type="character" w:customStyle="1" w:styleId="SangradetextonormalCar">
    <w:name w:val="Sangría de texto normal Car"/>
    <w:basedOn w:val="Fuentedeprrafopredeter"/>
    <w:link w:val="Sangradetextonormal"/>
    <w:semiHidden/>
    <w:rsid w:val="00CB440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CB4405"/>
    <w:pPr>
      <w:spacing w:line="360" w:lineRule="auto"/>
      <w:jc w:val="both"/>
    </w:pPr>
    <w:rPr>
      <w:rFonts w:cs="Arial"/>
    </w:rPr>
  </w:style>
  <w:style w:type="character" w:customStyle="1" w:styleId="TextoindependienteCar">
    <w:name w:val="Texto independiente Car"/>
    <w:basedOn w:val="Fuentedeprrafopredeter"/>
    <w:link w:val="Textoindependiente"/>
    <w:semiHidden/>
    <w:rsid w:val="00CB4405"/>
    <w:rPr>
      <w:rFonts w:ascii="Arial" w:eastAsia="Times New Roman" w:hAnsi="Arial" w:cs="Arial"/>
      <w:sz w:val="24"/>
      <w:szCs w:val="24"/>
      <w:lang w:eastAsia="es-ES"/>
    </w:rPr>
  </w:style>
  <w:style w:type="character" w:styleId="Hipervnculo">
    <w:name w:val="Hyperlink"/>
    <w:uiPriority w:val="99"/>
    <w:unhideWhenUsed/>
    <w:rsid w:val="00CB4405"/>
    <w:rPr>
      <w:color w:val="0000FF"/>
      <w:u w:val="single"/>
    </w:rPr>
  </w:style>
  <w:style w:type="paragraph" w:styleId="Prrafodelista">
    <w:name w:val="List Paragraph"/>
    <w:basedOn w:val="Normal"/>
    <w:uiPriority w:val="34"/>
    <w:qFormat/>
    <w:rsid w:val="00746473"/>
    <w:pPr>
      <w:ind w:left="720"/>
      <w:contextualSpacing/>
    </w:pPr>
  </w:style>
  <w:style w:type="paragraph" w:styleId="Textodeglobo">
    <w:name w:val="Balloon Text"/>
    <w:basedOn w:val="Normal"/>
    <w:link w:val="TextodegloboCar"/>
    <w:uiPriority w:val="99"/>
    <w:semiHidden/>
    <w:unhideWhenUsed/>
    <w:rsid w:val="00696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DE5"/>
    <w:rPr>
      <w:rFonts w:ascii="Tahoma" w:eastAsia="Times New Roman" w:hAnsi="Tahoma" w:cs="Tahoma"/>
      <w:sz w:val="16"/>
      <w:szCs w:val="16"/>
      <w:lang w:eastAsia="es-ES"/>
    </w:rPr>
  </w:style>
  <w:style w:type="paragraph" w:styleId="Sangra3detindependiente">
    <w:name w:val="Body Text Indent 3"/>
    <w:basedOn w:val="Normal"/>
    <w:link w:val="Sangra3detindependienteCar"/>
    <w:uiPriority w:val="99"/>
    <w:semiHidden/>
    <w:unhideWhenUsed/>
    <w:rsid w:val="003623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623AC"/>
    <w:rPr>
      <w:rFonts w:ascii="Arial" w:eastAsia="Times New Roman" w:hAnsi="Arial" w:cs="Times New Roman"/>
      <w:sz w:val="16"/>
      <w:szCs w:val="16"/>
      <w:lang w:eastAsia="es-ES"/>
    </w:rPr>
  </w:style>
  <w:style w:type="paragraph" w:styleId="Textoindependiente2">
    <w:name w:val="Body Text 2"/>
    <w:basedOn w:val="Normal"/>
    <w:link w:val="Textoindependiente2Car"/>
    <w:uiPriority w:val="99"/>
    <w:semiHidden/>
    <w:unhideWhenUsed/>
    <w:rsid w:val="003623AC"/>
    <w:pPr>
      <w:spacing w:after="120" w:line="480" w:lineRule="auto"/>
    </w:pPr>
  </w:style>
  <w:style w:type="character" w:customStyle="1" w:styleId="Textoindependiente2Car">
    <w:name w:val="Texto independiente 2 Car"/>
    <w:basedOn w:val="Fuentedeprrafopredeter"/>
    <w:link w:val="Textoindependiente2"/>
    <w:uiPriority w:val="99"/>
    <w:semiHidden/>
    <w:rsid w:val="003623AC"/>
    <w:rPr>
      <w:rFonts w:ascii="Arial" w:eastAsia="Times New Roman" w:hAnsi="Arial" w:cs="Times New Roman"/>
      <w:sz w:val="24"/>
      <w:szCs w:val="24"/>
      <w:lang w:eastAsia="es-ES"/>
    </w:rPr>
  </w:style>
  <w:style w:type="paragraph" w:styleId="Encabezado">
    <w:name w:val="header"/>
    <w:basedOn w:val="Normal"/>
    <w:link w:val="EncabezadoCar"/>
    <w:uiPriority w:val="99"/>
    <w:unhideWhenUsed/>
    <w:rsid w:val="00D75601"/>
    <w:pPr>
      <w:tabs>
        <w:tab w:val="center" w:pos="4252"/>
        <w:tab w:val="right" w:pos="8504"/>
      </w:tabs>
    </w:pPr>
  </w:style>
  <w:style w:type="character" w:customStyle="1" w:styleId="EncabezadoCar">
    <w:name w:val="Encabezado Car"/>
    <w:basedOn w:val="Fuentedeprrafopredeter"/>
    <w:link w:val="Encabezado"/>
    <w:uiPriority w:val="99"/>
    <w:rsid w:val="00D75601"/>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D75601"/>
    <w:pPr>
      <w:tabs>
        <w:tab w:val="center" w:pos="4252"/>
        <w:tab w:val="right" w:pos="8504"/>
      </w:tabs>
    </w:pPr>
  </w:style>
  <w:style w:type="character" w:customStyle="1" w:styleId="PiedepginaCar">
    <w:name w:val="Pie de página Car"/>
    <w:basedOn w:val="Fuentedeprrafopredeter"/>
    <w:link w:val="Piedepgina"/>
    <w:uiPriority w:val="99"/>
    <w:rsid w:val="00D75601"/>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58AE-030A-402B-8CD7-E7A62EF4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2019-06-13T16:29:00Z</cp:lastPrinted>
  <dcterms:created xsi:type="dcterms:W3CDTF">2019-06-13T16:33:00Z</dcterms:created>
  <dcterms:modified xsi:type="dcterms:W3CDTF">2019-06-13T16:33:00Z</dcterms:modified>
</cp:coreProperties>
</file>