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4A" w:rsidRPr="007A7443" w:rsidRDefault="00F8444A" w:rsidP="00F8444A">
      <w:pPr>
        <w:tabs>
          <w:tab w:val="center" w:pos="4253"/>
        </w:tabs>
        <w:suppressAutoHyphens/>
        <w:spacing w:line="480" w:lineRule="auto"/>
        <w:jc w:val="right"/>
        <w:rPr>
          <w:rFonts w:cs="Arial"/>
          <w:b/>
          <w:sz w:val="28"/>
          <w:szCs w:val="28"/>
        </w:rPr>
      </w:pPr>
      <w:r w:rsidRPr="007A7443">
        <w:rPr>
          <w:rFonts w:cs="Arial"/>
          <w:b/>
          <w:sz w:val="28"/>
          <w:szCs w:val="28"/>
        </w:rPr>
        <w:t>RES.</w:t>
      </w:r>
      <w:bookmarkStart w:id="0" w:name="_GoBack"/>
      <w:bookmarkEnd w:id="0"/>
      <w:r w:rsidRPr="007A7443">
        <w:rPr>
          <w:rFonts w:cs="Arial"/>
          <w:b/>
          <w:sz w:val="28"/>
          <w:szCs w:val="28"/>
        </w:rPr>
        <w:t xml:space="preserve"> </w:t>
      </w:r>
      <w:r>
        <w:rPr>
          <w:rFonts w:cs="Arial"/>
          <w:b/>
          <w:sz w:val="28"/>
          <w:szCs w:val="28"/>
        </w:rPr>
        <w:t>1437</w:t>
      </w:r>
      <w:r w:rsidRPr="007A7443">
        <w:rPr>
          <w:rFonts w:cs="Arial"/>
          <w:b/>
          <w:sz w:val="28"/>
          <w:szCs w:val="28"/>
        </w:rPr>
        <w:t>/19</w:t>
      </w:r>
    </w:p>
    <w:p w:rsidR="00F8444A" w:rsidRPr="000F48AC" w:rsidRDefault="00F8444A" w:rsidP="00F8444A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RESOLUCION ADOPTADA POR EL</w:t>
      </w:r>
    </w:p>
    <w:p w:rsidR="00F8444A" w:rsidRPr="000F48AC" w:rsidRDefault="00F8444A" w:rsidP="00F8444A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>TRIBUNAL DE CUENTAS</w:t>
      </w:r>
    </w:p>
    <w:p w:rsidR="00F8444A" w:rsidRPr="000F48AC" w:rsidRDefault="00F8444A" w:rsidP="00F8444A">
      <w:pPr>
        <w:tabs>
          <w:tab w:val="center" w:pos="4253"/>
        </w:tabs>
        <w:suppressAutoHyphens/>
        <w:spacing w:line="480" w:lineRule="auto"/>
        <w:jc w:val="center"/>
        <w:rPr>
          <w:rFonts w:cs="Arial"/>
          <w:b/>
          <w:lang w:val="es-ES_tradnl"/>
        </w:rPr>
      </w:pPr>
      <w:r w:rsidRPr="000F48AC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>12 DE JUNIO DE 2019</w:t>
      </w:r>
    </w:p>
    <w:p w:rsidR="00F8444A" w:rsidRDefault="00F8444A" w:rsidP="00F8444A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  <w:r w:rsidRPr="00BB4DEC">
        <w:rPr>
          <w:rFonts w:cs="Arial"/>
          <w:b/>
        </w:rPr>
        <w:t>(E.</w:t>
      </w:r>
      <w:r>
        <w:rPr>
          <w:rFonts w:cs="Arial"/>
          <w:b/>
        </w:rPr>
        <w:t xml:space="preserve"> E. Nº 2019-17-1-0002513, </w:t>
      </w:r>
      <w:proofErr w:type="spellStart"/>
      <w:r>
        <w:rPr>
          <w:rFonts w:cs="Arial"/>
          <w:b/>
        </w:rPr>
        <w:t>Ent</w:t>
      </w:r>
      <w:proofErr w:type="spellEnd"/>
      <w:r>
        <w:rPr>
          <w:rFonts w:cs="Arial"/>
          <w:b/>
        </w:rPr>
        <w:t>. N° 1993/19</w:t>
      </w:r>
      <w:r w:rsidRPr="00BB4DEC">
        <w:rPr>
          <w:rFonts w:cs="Arial"/>
          <w:b/>
        </w:rPr>
        <w:t>)</w:t>
      </w:r>
    </w:p>
    <w:p w:rsidR="00F8444A" w:rsidRPr="00BB4DEC" w:rsidRDefault="00F8444A" w:rsidP="00F8444A">
      <w:pPr>
        <w:tabs>
          <w:tab w:val="center" w:pos="4253"/>
        </w:tabs>
        <w:suppressAutoHyphens/>
        <w:spacing w:line="360" w:lineRule="auto"/>
        <w:jc w:val="center"/>
        <w:rPr>
          <w:rFonts w:cs="Arial"/>
          <w:b/>
        </w:rPr>
      </w:pPr>
    </w:p>
    <w:p w:rsidR="00E63F08" w:rsidRPr="00F8444A" w:rsidRDefault="00E63F08" w:rsidP="00F8444A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</w:rPr>
      </w:pPr>
      <w:r w:rsidRPr="00F8444A">
        <w:rPr>
          <w:rFonts w:cs="Arial"/>
          <w:b/>
          <w:spacing w:val="-3"/>
          <w:lang w:val="es-ES_tradnl"/>
        </w:rPr>
        <w:t>VISTO:</w:t>
      </w:r>
      <w:r w:rsidRPr="00F8444A">
        <w:rPr>
          <w:rFonts w:cs="Arial"/>
          <w:spacing w:val="-3"/>
          <w:lang w:val="es-ES_tradnl"/>
        </w:rPr>
        <w:t xml:space="preserve"> estos antecedentes remitidos por </w:t>
      </w:r>
      <w:r w:rsidR="00A24DCE" w:rsidRPr="00F8444A">
        <w:rPr>
          <w:rFonts w:cs="Arial"/>
          <w:spacing w:val="-3"/>
          <w:lang w:val="es-ES_tradnl"/>
        </w:rPr>
        <w:t xml:space="preserve">el </w:t>
      </w:r>
      <w:r w:rsidR="00753A2C" w:rsidRPr="00F8444A">
        <w:rPr>
          <w:rFonts w:cs="Arial"/>
          <w:spacing w:val="-3"/>
          <w:lang w:val="es-ES_tradnl"/>
        </w:rPr>
        <w:t>M</w:t>
      </w:r>
      <w:r w:rsidR="00A24DCE" w:rsidRPr="00F8444A">
        <w:rPr>
          <w:rFonts w:cs="Arial"/>
          <w:spacing w:val="-3"/>
          <w:lang w:val="es-ES_tradnl"/>
        </w:rPr>
        <w:t>inisterio de Economía y Finanzas</w:t>
      </w:r>
      <w:r w:rsidR="00753A2C" w:rsidRPr="00F8444A">
        <w:rPr>
          <w:rFonts w:cs="Arial"/>
          <w:spacing w:val="-3"/>
          <w:lang w:val="es-ES_tradnl"/>
        </w:rPr>
        <w:t xml:space="preserve"> (MEF)</w:t>
      </w:r>
      <w:r w:rsidRPr="00F8444A">
        <w:rPr>
          <w:rFonts w:cs="Arial"/>
        </w:rPr>
        <w:t xml:space="preserve">, relacionados con el acuerdo transaccional celebrado </w:t>
      </w:r>
      <w:r w:rsidR="00753A2C" w:rsidRPr="00F8444A">
        <w:rPr>
          <w:rFonts w:cs="Arial"/>
        </w:rPr>
        <w:t>entre el Ministerio de Salud Pública (MSP) y ROCHE INTERNATIONAL LTD.;</w:t>
      </w:r>
    </w:p>
    <w:p w:rsidR="00753A2C" w:rsidRPr="00F8444A" w:rsidRDefault="00E63F08" w:rsidP="00F8444A">
      <w:pPr>
        <w:spacing w:line="360" w:lineRule="auto"/>
        <w:ind w:firstLine="851"/>
        <w:jc w:val="both"/>
        <w:rPr>
          <w:rFonts w:cs="Arial"/>
        </w:rPr>
      </w:pPr>
      <w:r w:rsidRPr="00F8444A">
        <w:rPr>
          <w:rFonts w:cs="Arial"/>
          <w:b/>
        </w:rPr>
        <w:t>RESULTANDO: 1</w:t>
      </w:r>
      <w:r w:rsidRPr="00F8444A">
        <w:rPr>
          <w:rFonts w:cs="Arial"/>
          <w:b/>
          <w:bCs/>
        </w:rPr>
        <w:t xml:space="preserve">) </w:t>
      </w:r>
      <w:r w:rsidRPr="00F8444A">
        <w:rPr>
          <w:rFonts w:cs="Arial"/>
        </w:rPr>
        <w:t>que por Resolución de</w:t>
      </w:r>
      <w:r w:rsidR="00A24DCE" w:rsidRPr="00F8444A">
        <w:rPr>
          <w:rFonts w:cs="Arial"/>
        </w:rPr>
        <w:t>l</w:t>
      </w:r>
      <w:r w:rsidR="00753A2C" w:rsidRPr="00F8444A">
        <w:rPr>
          <w:rFonts w:cs="Arial"/>
        </w:rPr>
        <w:t xml:space="preserve"> Directorio del MSP</w:t>
      </w:r>
      <w:r w:rsidRPr="00F8444A">
        <w:rPr>
          <w:rFonts w:cs="Arial"/>
        </w:rPr>
        <w:t xml:space="preserve"> Nº </w:t>
      </w:r>
      <w:r w:rsidR="00A24DCE" w:rsidRPr="00F8444A">
        <w:rPr>
          <w:rFonts w:cs="Arial"/>
        </w:rPr>
        <w:t>11</w:t>
      </w:r>
      <w:r w:rsidR="00753A2C" w:rsidRPr="00F8444A">
        <w:rPr>
          <w:rFonts w:cs="Arial"/>
        </w:rPr>
        <w:t>86 de fecha 17/12/18 se aprobó el Acuerdo Transaccional a suscribirse entre Laboratorio Roche International Ltd. y dicha Secretaría de Estado en los términos propuestos por las partes litigantes;</w:t>
      </w:r>
    </w:p>
    <w:p w:rsidR="007B0C92" w:rsidRDefault="00CE3577" w:rsidP="007B0C92">
      <w:pPr>
        <w:spacing w:line="360" w:lineRule="auto"/>
        <w:ind w:firstLine="2694"/>
        <w:jc w:val="both"/>
        <w:rPr>
          <w:rFonts w:cs="Arial"/>
        </w:rPr>
      </w:pPr>
      <w:r w:rsidRPr="00F8444A">
        <w:rPr>
          <w:rFonts w:cs="Arial"/>
          <w:b/>
        </w:rPr>
        <w:t>2</w:t>
      </w:r>
      <w:r w:rsidR="00A24DCE" w:rsidRPr="00F8444A">
        <w:rPr>
          <w:rFonts w:cs="Arial"/>
          <w:b/>
        </w:rPr>
        <w:t xml:space="preserve">) </w:t>
      </w:r>
      <w:r w:rsidR="00A24DCE" w:rsidRPr="00F8444A">
        <w:rPr>
          <w:rFonts w:cs="Arial"/>
        </w:rPr>
        <w:t>que con fecha 1</w:t>
      </w:r>
      <w:r w:rsidR="00753A2C" w:rsidRPr="00F8444A">
        <w:rPr>
          <w:rFonts w:cs="Arial"/>
        </w:rPr>
        <w:t>7</w:t>
      </w:r>
      <w:r w:rsidR="00A24DCE" w:rsidRPr="00F8444A">
        <w:rPr>
          <w:rFonts w:cs="Arial"/>
        </w:rPr>
        <w:t>/12/18, se suscribió el acuerdo</w:t>
      </w:r>
      <w:r w:rsidR="00753A2C" w:rsidRPr="00F8444A">
        <w:rPr>
          <w:rFonts w:cs="Arial"/>
        </w:rPr>
        <w:t xml:space="preserve"> transaccional, respecto a la deuda que el MSP mantiene con el Laboratorio por compraventas facturadas hasta el 31/12/18, las que se consi</w:t>
      </w:r>
      <w:r w:rsidRPr="00F8444A">
        <w:rPr>
          <w:rFonts w:cs="Arial"/>
        </w:rPr>
        <w:t>d</w:t>
      </w:r>
      <w:r w:rsidR="00753A2C" w:rsidRPr="00F8444A">
        <w:rPr>
          <w:rFonts w:cs="Arial"/>
        </w:rPr>
        <w:t>erarán canceladas si el Ministerio abona la suma de $ 41:669.725 antes del día 31/5/19</w:t>
      </w:r>
      <w:r w:rsidRPr="00F8444A">
        <w:rPr>
          <w:rFonts w:cs="Arial"/>
        </w:rPr>
        <w:t>;</w:t>
      </w:r>
    </w:p>
    <w:p w:rsidR="007B0C92" w:rsidRDefault="00CE3577" w:rsidP="007B0C92">
      <w:pPr>
        <w:spacing w:line="360" w:lineRule="auto"/>
        <w:ind w:firstLine="2694"/>
        <w:jc w:val="both"/>
        <w:rPr>
          <w:rFonts w:cs="Arial"/>
        </w:rPr>
      </w:pPr>
      <w:r w:rsidRPr="00F8444A">
        <w:rPr>
          <w:rFonts w:cs="Arial"/>
          <w:b/>
        </w:rPr>
        <w:t xml:space="preserve">3) </w:t>
      </w:r>
      <w:r w:rsidRPr="00F8444A">
        <w:rPr>
          <w:rFonts w:cs="Arial"/>
        </w:rPr>
        <w:t>que el acuerdo transaccional fue homologado judicialmente por el Juzgado Letrado en lo Civil de 3º Turno, en el expediente IUE 2-57685/2018;</w:t>
      </w:r>
    </w:p>
    <w:p w:rsidR="00AC4A33" w:rsidRPr="00F8444A" w:rsidRDefault="00CE3577" w:rsidP="007B0C92">
      <w:pPr>
        <w:spacing w:line="360" w:lineRule="auto"/>
        <w:ind w:firstLine="2694"/>
        <w:jc w:val="both"/>
        <w:rPr>
          <w:rFonts w:cs="Arial"/>
        </w:rPr>
      </w:pPr>
      <w:r w:rsidRPr="00F8444A">
        <w:rPr>
          <w:rFonts w:cs="Arial"/>
          <w:b/>
        </w:rPr>
        <w:t xml:space="preserve">4) </w:t>
      </w:r>
      <w:r w:rsidR="005F4121" w:rsidRPr="00F8444A">
        <w:rPr>
          <w:rFonts w:cs="Arial"/>
        </w:rPr>
        <w:t xml:space="preserve">que consta </w:t>
      </w:r>
      <w:r w:rsidRPr="00F8444A">
        <w:rPr>
          <w:rFonts w:cs="Arial"/>
        </w:rPr>
        <w:t>A</w:t>
      </w:r>
      <w:r w:rsidR="005F4121" w:rsidRPr="00F8444A">
        <w:rPr>
          <w:rFonts w:cs="Arial"/>
        </w:rPr>
        <w:t>fectación N</w:t>
      </w:r>
      <w:r w:rsidRPr="00F8444A">
        <w:rPr>
          <w:rFonts w:cs="Arial"/>
        </w:rPr>
        <w:t>º</w:t>
      </w:r>
      <w:r w:rsidR="005F4121" w:rsidRPr="00F8444A">
        <w:rPr>
          <w:rFonts w:cs="Arial"/>
        </w:rPr>
        <w:t xml:space="preserve"> 00</w:t>
      </w:r>
      <w:r w:rsidRPr="00F8444A">
        <w:rPr>
          <w:rFonts w:cs="Arial"/>
        </w:rPr>
        <w:t>0897</w:t>
      </w:r>
      <w:r w:rsidR="005F4121" w:rsidRPr="00F8444A">
        <w:rPr>
          <w:rFonts w:cs="Arial"/>
        </w:rPr>
        <w:t xml:space="preserve"> de fecha 21/</w:t>
      </w:r>
      <w:r w:rsidRPr="00F8444A">
        <w:rPr>
          <w:rFonts w:cs="Arial"/>
        </w:rPr>
        <w:t>5/19</w:t>
      </w:r>
      <w:r w:rsidR="005F4121" w:rsidRPr="00F8444A">
        <w:rPr>
          <w:rFonts w:cs="Arial"/>
        </w:rPr>
        <w:t xml:space="preserve"> por la suma de $ 41:</w:t>
      </w:r>
      <w:r w:rsidRPr="00F8444A">
        <w:rPr>
          <w:rFonts w:cs="Arial"/>
        </w:rPr>
        <w:t>669.725</w:t>
      </w:r>
      <w:r w:rsidR="005F4121" w:rsidRPr="00F8444A">
        <w:rPr>
          <w:rFonts w:cs="Arial"/>
        </w:rPr>
        <w:t>, con cargo al Programa 488, Objeto de Gasto 711, Financiación 1.1 Rentas Generales</w:t>
      </w:r>
      <w:r w:rsidRPr="00F8444A">
        <w:rPr>
          <w:rFonts w:cs="Arial"/>
        </w:rPr>
        <w:t>, documento verificado y no confirmado;</w:t>
      </w:r>
      <w:r w:rsidR="005F4121" w:rsidRPr="00F8444A">
        <w:rPr>
          <w:rFonts w:cs="Arial"/>
          <w:b/>
        </w:rPr>
        <w:t xml:space="preserve"> </w:t>
      </w:r>
    </w:p>
    <w:p w:rsidR="00530A50" w:rsidRDefault="00E63F08" w:rsidP="00530A50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bCs/>
          <w:spacing w:val="-3"/>
          <w:lang w:val="es-ES_tradnl"/>
        </w:rPr>
      </w:pPr>
      <w:r w:rsidRPr="00F8444A">
        <w:rPr>
          <w:rFonts w:cs="Arial"/>
          <w:b/>
          <w:spacing w:val="-3"/>
        </w:rPr>
        <w:t>C</w:t>
      </w:r>
      <w:r w:rsidRPr="00F8444A">
        <w:rPr>
          <w:rFonts w:cs="Arial"/>
          <w:b/>
          <w:spacing w:val="-3"/>
          <w:lang w:val="es-ES_tradnl"/>
        </w:rPr>
        <w:t>ONSIDERANDO: 1)</w:t>
      </w:r>
      <w:r w:rsidRPr="00F8444A">
        <w:rPr>
          <w:rFonts w:cs="Arial"/>
          <w:bCs/>
          <w:spacing w:val="-3"/>
          <w:lang w:val="es-ES_tradnl"/>
        </w:rPr>
        <w:t xml:space="preserve"> que por </w:t>
      </w:r>
      <w:r w:rsidR="00AC4A33" w:rsidRPr="00F8444A">
        <w:rPr>
          <w:rFonts w:cs="Arial"/>
          <w:bCs/>
          <w:spacing w:val="-3"/>
          <w:lang w:val="es-ES_tradnl"/>
        </w:rPr>
        <w:t>R</w:t>
      </w:r>
      <w:r w:rsidRPr="00F8444A">
        <w:rPr>
          <w:rFonts w:cs="Arial"/>
          <w:bCs/>
          <w:spacing w:val="-3"/>
          <w:lang w:val="es-ES_tradnl"/>
        </w:rPr>
        <w:t>esolución del Tribunal de Cuentas de</w:t>
      </w:r>
      <w:r w:rsidRPr="00F8444A">
        <w:rPr>
          <w:rFonts w:cs="Arial"/>
          <w:b/>
          <w:spacing w:val="-3"/>
          <w:lang w:val="es-ES_tradnl"/>
        </w:rPr>
        <w:t xml:space="preserve"> </w:t>
      </w:r>
      <w:r w:rsidRPr="00F8444A">
        <w:rPr>
          <w:rFonts w:cs="Arial"/>
          <w:bCs/>
          <w:spacing w:val="-3"/>
          <w:lang w:val="es-ES_tradnl"/>
        </w:rPr>
        <w:t xml:space="preserve">fecha 18 de junio de 2008 en la redacción dada por el artículo 2 de la Resolución de este Tribunal de 23.12.2009, se dispuso que se deben remitir al mismo, para </w:t>
      </w:r>
      <w:r w:rsidRPr="00F8444A">
        <w:rPr>
          <w:rFonts w:cs="Arial"/>
          <w:bCs/>
          <w:spacing w:val="-3"/>
          <w:lang w:val="es-ES_tradnl"/>
        </w:rPr>
        <w:lastRenderedPageBreak/>
        <w:t>su intervención, todos los gas</w:t>
      </w:r>
      <w:r w:rsidR="00530A50">
        <w:rPr>
          <w:rFonts w:cs="Arial"/>
          <w:bCs/>
          <w:spacing w:val="-3"/>
          <w:lang w:val="es-ES_tradnl"/>
        </w:rPr>
        <w:t>tos emergentes de transacciones</w:t>
      </w:r>
      <w:r w:rsidRPr="00F8444A">
        <w:rPr>
          <w:rFonts w:cs="Arial"/>
          <w:bCs/>
          <w:spacing w:val="-3"/>
          <w:lang w:val="es-ES_tradnl"/>
        </w:rPr>
        <w:t xml:space="preserve"> extrajudiciales y laudos  arbitrales, cualquiera sea su monto;</w:t>
      </w:r>
    </w:p>
    <w:p w:rsidR="00530A50" w:rsidRDefault="00E63F08" w:rsidP="00530A50">
      <w:pPr>
        <w:tabs>
          <w:tab w:val="left" w:pos="-720"/>
        </w:tabs>
        <w:suppressAutoHyphens/>
        <w:spacing w:line="360" w:lineRule="auto"/>
        <w:ind w:firstLine="2977"/>
        <w:jc w:val="both"/>
        <w:rPr>
          <w:rFonts w:cs="Arial"/>
          <w:bCs/>
          <w:spacing w:val="-3"/>
          <w:lang w:val="es-ES_tradnl"/>
        </w:rPr>
      </w:pPr>
      <w:r w:rsidRPr="00F8444A">
        <w:rPr>
          <w:rFonts w:cs="Arial"/>
          <w:b/>
          <w:spacing w:val="-3"/>
          <w:lang w:val="es-ES_tradnl"/>
        </w:rPr>
        <w:t>2)</w:t>
      </w:r>
      <w:r w:rsidRPr="00F8444A">
        <w:rPr>
          <w:rFonts w:cs="Arial"/>
          <w:bCs/>
          <w:spacing w:val="-3"/>
          <w:lang w:val="es-ES_tradnl"/>
        </w:rPr>
        <w:t xml:space="preserve"> que </w:t>
      </w:r>
      <w:r w:rsidR="00C34B48" w:rsidRPr="00F8444A">
        <w:rPr>
          <w:rFonts w:cs="Arial"/>
          <w:bCs/>
          <w:spacing w:val="-3"/>
          <w:lang w:val="es-ES_tradnl"/>
        </w:rPr>
        <w:t>la transacción es un contrato por el cual, haciéndose recíprocas concesiones, terminan los contrayen</w:t>
      </w:r>
      <w:r w:rsidR="008B1F98" w:rsidRPr="00F8444A">
        <w:rPr>
          <w:rFonts w:cs="Arial"/>
          <w:bCs/>
          <w:spacing w:val="-3"/>
          <w:lang w:val="es-ES_tradnl"/>
        </w:rPr>
        <w:t>tes un litigio pendiente  o prec</w:t>
      </w:r>
      <w:r w:rsidR="00C34B48" w:rsidRPr="00F8444A">
        <w:rPr>
          <w:rFonts w:cs="Arial"/>
          <w:bCs/>
          <w:spacing w:val="-3"/>
          <w:lang w:val="es-ES_tradnl"/>
        </w:rPr>
        <w:t xml:space="preserve">aven un litigio eventual (art. 2147 del Código Civil); </w:t>
      </w:r>
    </w:p>
    <w:p w:rsidR="00E63F08" w:rsidRPr="00F8444A" w:rsidRDefault="00C34B48" w:rsidP="00530A50">
      <w:pPr>
        <w:tabs>
          <w:tab w:val="left" w:pos="-720"/>
        </w:tabs>
        <w:suppressAutoHyphens/>
        <w:spacing w:line="360" w:lineRule="auto"/>
        <w:ind w:firstLine="2977"/>
        <w:jc w:val="both"/>
        <w:rPr>
          <w:rFonts w:cs="Arial"/>
          <w:bCs/>
          <w:spacing w:val="-3"/>
          <w:lang w:val="es-ES_tradnl"/>
        </w:rPr>
      </w:pPr>
      <w:r w:rsidRPr="00F8444A">
        <w:rPr>
          <w:rFonts w:cs="Arial"/>
          <w:b/>
          <w:bCs/>
          <w:spacing w:val="-3"/>
          <w:lang w:val="es-ES_tradnl"/>
        </w:rPr>
        <w:t xml:space="preserve">3) </w:t>
      </w:r>
      <w:r w:rsidRPr="00F8444A">
        <w:rPr>
          <w:rFonts w:cs="Arial"/>
          <w:bCs/>
          <w:spacing w:val="-3"/>
          <w:lang w:val="es-ES_tradnl"/>
        </w:rPr>
        <w:t xml:space="preserve"> que </w:t>
      </w:r>
      <w:r w:rsidR="00E63F08" w:rsidRPr="00F8444A">
        <w:rPr>
          <w:rFonts w:cs="Arial"/>
          <w:bCs/>
          <w:spacing w:val="-3"/>
          <w:lang w:val="es-ES_tradnl"/>
        </w:rPr>
        <w:t>la transacción remitida no merece objeciones de índole legal y los aspectos que refieren a oportunidad o conveniencia de la misma, constituyen una cuestión de mérito cuya apreciación no encuadra en el ámbito de competencias de este Tribunal;</w:t>
      </w:r>
    </w:p>
    <w:p w:rsidR="00E63F08" w:rsidRPr="00F8444A" w:rsidRDefault="00E63F08" w:rsidP="00530A50">
      <w:pPr>
        <w:tabs>
          <w:tab w:val="left" w:pos="-720"/>
        </w:tabs>
        <w:suppressAutoHyphens/>
        <w:spacing w:line="360" w:lineRule="auto"/>
        <w:ind w:firstLine="851"/>
        <w:jc w:val="both"/>
        <w:rPr>
          <w:rFonts w:cs="Arial"/>
          <w:b/>
          <w:bCs/>
        </w:rPr>
      </w:pPr>
      <w:r w:rsidRPr="00F8444A">
        <w:rPr>
          <w:rFonts w:cs="Arial"/>
          <w:b/>
          <w:spacing w:val="-3"/>
          <w:lang w:val="es-ES_tradnl"/>
        </w:rPr>
        <w:t>ATENTO:</w:t>
      </w:r>
      <w:r w:rsidRPr="00F8444A">
        <w:rPr>
          <w:rFonts w:cs="Arial"/>
          <w:spacing w:val="-3"/>
          <w:lang w:val="es-ES_tradnl"/>
        </w:rPr>
        <w:t xml:space="preserve"> </w:t>
      </w:r>
      <w:r w:rsidRPr="00F8444A">
        <w:rPr>
          <w:rFonts w:cs="Arial"/>
        </w:rPr>
        <w:t>a lo precedentemente expu</w:t>
      </w:r>
      <w:r w:rsidR="000A6969" w:rsidRPr="00F8444A">
        <w:rPr>
          <w:rFonts w:cs="Arial"/>
        </w:rPr>
        <w:t>esto, a lo dispuesto por el artículo 211 literal</w:t>
      </w:r>
      <w:r w:rsidRPr="00F8444A">
        <w:rPr>
          <w:rFonts w:cs="Arial"/>
        </w:rPr>
        <w:t xml:space="preserve"> B) de la Constitución de la República;</w:t>
      </w:r>
    </w:p>
    <w:p w:rsidR="00E63F08" w:rsidRPr="00F8444A" w:rsidRDefault="00E63F08" w:rsidP="00F8444A">
      <w:pPr>
        <w:pStyle w:val="Ttulo1"/>
        <w:widowControl/>
        <w:tabs>
          <w:tab w:val="clear" w:pos="4218"/>
        </w:tabs>
        <w:suppressAutoHyphens w:val="0"/>
        <w:autoSpaceDE w:val="0"/>
        <w:autoSpaceDN w:val="0"/>
        <w:adjustRightInd w:val="0"/>
        <w:rPr>
          <w:rFonts w:ascii="Arial" w:hAnsi="Arial" w:cs="Arial"/>
        </w:rPr>
      </w:pPr>
      <w:r w:rsidRPr="00F8444A">
        <w:rPr>
          <w:rFonts w:ascii="Arial" w:hAnsi="Arial" w:cs="Arial"/>
          <w:bCs/>
          <w:snapToGrid/>
          <w:spacing w:val="0"/>
          <w:szCs w:val="24"/>
          <w:lang w:val="es-ES"/>
        </w:rPr>
        <w:t>EL TRIBUNAL ACUERDA</w:t>
      </w:r>
    </w:p>
    <w:p w:rsidR="0041704D" w:rsidRPr="00F8444A" w:rsidRDefault="0041704D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F8444A">
        <w:rPr>
          <w:rFonts w:cs="Arial"/>
          <w:b/>
          <w:spacing w:val="-3"/>
          <w:lang w:val="es-ES_tradnl"/>
        </w:rPr>
        <w:t xml:space="preserve">1) </w:t>
      </w:r>
      <w:r w:rsidRPr="00F8444A">
        <w:rPr>
          <w:rFonts w:cs="Arial"/>
          <w:spacing w:val="-3"/>
          <w:lang w:val="es-ES_tradnl"/>
        </w:rPr>
        <w:t>No formular observaciones al acuerdo transaccional remitido;</w:t>
      </w:r>
    </w:p>
    <w:p w:rsidR="0041704D" w:rsidRPr="00F8444A" w:rsidRDefault="0041704D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F8444A">
        <w:rPr>
          <w:rFonts w:cs="Arial"/>
          <w:b/>
          <w:spacing w:val="-3"/>
          <w:lang w:val="es-ES_tradnl"/>
        </w:rPr>
        <w:t>2)</w:t>
      </w:r>
      <w:r w:rsidRPr="00F8444A">
        <w:rPr>
          <w:rFonts w:cs="Arial"/>
          <w:spacing w:val="-3"/>
          <w:lang w:val="es-ES_tradnl"/>
        </w:rPr>
        <w:t xml:space="preserve"> </w:t>
      </w:r>
      <w:r w:rsidR="00CE3577" w:rsidRPr="00F8444A">
        <w:rPr>
          <w:rFonts w:cs="Arial"/>
          <w:spacing w:val="-3"/>
          <w:lang w:val="es-ES_tradnl"/>
        </w:rPr>
        <w:t xml:space="preserve">Una vez dictada la resolución por el Ordenador competente, </w:t>
      </w:r>
      <w:r w:rsidR="008B1F98" w:rsidRPr="00F8444A">
        <w:rPr>
          <w:rFonts w:cs="Arial"/>
          <w:spacing w:val="-3"/>
          <w:lang w:val="es-ES_tradnl"/>
        </w:rPr>
        <w:t xml:space="preserve">se </w:t>
      </w:r>
      <w:r w:rsidR="00CE3577" w:rsidRPr="00F8444A">
        <w:rPr>
          <w:rFonts w:cs="Arial"/>
          <w:spacing w:val="-3"/>
          <w:lang w:val="es-ES_tradnl"/>
        </w:rPr>
        <w:t>c</w:t>
      </w:r>
      <w:r w:rsidR="008B1F98" w:rsidRPr="00F8444A">
        <w:rPr>
          <w:rFonts w:cs="Arial"/>
          <w:spacing w:val="-3"/>
          <w:lang w:val="es-ES_tradnl"/>
        </w:rPr>
        <w:t>omete</w:t>
      </w:r>
      <w:r w:rsidRPr="00F8444A">
        <w:rPr>
          <w:rFonts w:cs="Arial"/>
          <w:spacing w:val="-3"/>
          <w:lang w:val="es-ES_tradnl"/>
        </w:rPr>
        <w:t xml:space="preserve"> al Contador Auditor la intervención del gasto conjuntamente con el pago</w:t>
      </w:r>
      <w:r w:rsidR="00CE3577" w:rsidRPr="00F8444A">
        <w:rPr>
          <w:rFonts w:cs="Arial"/>
          <w:spacing w:val="-3"/>
          <w:lang w:val="es-ES_tradnl"/>
        </w:rPr>
        <w:t>,</w:t>
      </w:r>
      <w:r w:rsidRPr="00F8444A">
        <w:rPr>
          <w:rFonts w:cs="Arial"/>
          <w:spacing w:val="-3"/>
          <w:lang w:val="es-ES_tradnl"/>
        </w:rPr>
        <w:t xml:space="preserve"> por la suma de $ </w:t>
      </w:r>
      <w:r w:rsidR="00CE3577" w:rsidRPr="00F8444A">
        <w:rPr>
          <w:rFonts w:cs="Arial"/>
          <w:spacing w:val="-3"/>
          <w:lang w:val="es-ES_tradnl"/>
        </w:rPr>
        <w:t>41.669.725</w:t>
      </w:r>
      <w:r w:rsidRPr="00F8444A">
        <w:rPr>
          <w:rFonts w:cs="Arial"/>
          <w:spacing w:val="-3"/>
          <w:lang w:val="es-ES_tradnl"/>
        </w:rPr>
        <w:t xml:space="preserve">, previo control de su imputación con cargo a </w:t>
      </w:r>
      <w:r w:rsidR="00CE3577" w:rsidRPr="00F8444A">
        <w:rPr>
          <w:rFonts w:cs="Arial"/>
          <w:spacing w:val="-3"/>
          <w:lang w:val="es-ES_tradnl"/>
        </w:rPr>
        <w:t>G</w:t>
      </w:r>
      <w:r w:rsidRPr="00F8444A">
        <w:rPr>
          <w:rFonts w:cs="Arial"/>
          <w:spacing w:val="-3"/>
          <w:lang w:val="es-ES_tradnl"/>
        </w:rPr>
        <w:t>rupo adecuado</w:t>
      </w:r>
      <w:r w:rsidR="00CE3577" w:rsidRPr="00F8444A">
        <w:rPr>
          <w:rFonts w:cs="Arial"/>
          <w:spacing w:val="-3"/>
          <w:lang w:val="es-ES_tradnl"/>
        </w:rPr>
        <w:t>,</w:t>
      </w:r>
      <w:r w:rsidRPr="00F8444A">
        <w:rPr>
          <w:rFonts w:cs="Arial"/>
          <w:spacing w:val="-3"/>
          <w:lang w:val="es-ES_tradnl"/>
        </w:rPr>
        <w:t xml:space="preserve"> con disponibilidad suficiente</w:t>
      </w:r>
      <w:r w:rsidRPr="00F8444A">
        <w:rPr>
          <w:rFonts w:cs="Arial"/>
        </w:rPr>
        <w:t>;</w:t>
      </w:r>
    </w:p>
    <w:p w:rsidR="0041704D" w:rsidRPr="00F8444A" w:rsidRDefault="0041704D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F8444A">
        <w:rPr>
          <w:rFonts w:cs="Arial"/>
          <w:b/>
          <w:bCs/>
          <w:spacing w:val="-3"/>
          <w:lang w:val="es-ES_tradnl"/>
        </w:rPr>
        <w:t>3)</w:t>
      </w:r>
      <w:r w:rsidRPr="00F8444A">
        <w:rPr>
          <w:rFonts w:cs="Arial"/>
          <w:spacing w:val="-3"/>
          <w:lang w:val="es-ES_tradnl"/>
        </w:rPr>
        <w:t xml:space="preserve">  Comunicar al Contador Auditor; y</w:t>
      </w:r>
    </w:p>
    <w:p w:rsidR="00AE67B1" w:rsidRPr="00F8444A" w:rsidRDefault="0041704D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r w:rsidRPr="00F8444A">
        <w:rPr>
          <w:rFonts w:cs="Arial"/>
          <w:b/>
          <w:bCs/>
          <w:spacing w:val="-3"/>
          <w:lang w:val="es-ES_tradnl"/>
        </w:rPr>
        <w:t>4)</w:t>
      </w:r>
      <w:r w:rsidR="00AE67B1" w:rsidRPr="00F8444A">
        <w:rPr>
          <w:rFonts w:cs="Arial"/>
          <w:spacing w:val="-3"/>
          <w:lang w:val="es-ES_tradnl"/>
        </w:rPr>
        <w:t xml:space="preserve">  Devolver las actuaciones.</w:t>
      </w:r>
    </w:p>
    <w:p w:rsidR="00AE67B1" w:rsidRPr="00F8444A" w:rsidRDefault="00AE67B1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</w:p>
    <w:p w:rsidR="00CF5101" w:rsidRPr="00F8444A" w:rsidRDefault="00AE67B1" w:rsidP="00F8444A">
      <w:pPr>
        <w:tabs>
          <w:tab w:val="left" w:pos="-720"/>
        </w:tabs>
        <w:suppressAutoHyphens/>
        <w:spacing w:line="360" w:lineRule="auto"/>
        <w:jc w:val="both"/>
        <w:rPr>
          <w:rFonts w:cs="Arial"/>
          <w:spacing w:val="-3"/>
          <w:lang w:val="es-ES_tradnl"/>
        </w:rPr>
      </w:pPr>
      <w:proofErr w:type="gramStart"/>
      <w:r w:rsidRPr="00F8444A">
        <w:rPr>
          <w:rFonts w:cs="Arial"/>
          <w:spacing w:val="-3"/>
          <w:lang w:val="es-ES_tradnl"/>
        </w:rPr>
        <w:t>lm</w:t>
      </w:r>
      <w:proofErr w:type="gramEnd"/>
      <w:r w:rsidR="00E63F08" w:rsidRPr="00F8444A">
        <w:rPr>
          <w:rFonts w:cs="Arial"/>
        </w:rPr>
        <w:br/>
      </w:r>
    </w:p>
    <w:sectPr w:rsidR="00CF5101" w:rsidRPr="00F8444A" w:rsidSect="006B5B71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92" w:rsidRDefault="007B0C92" w:rsidP="007B0C92">
      <w:r>
        <w:separator/>
      </w:r>
    </w:p>
  </w:endnote>
  <w:endnote w:type="continuationSeparator" w:id="0">
    <w:p w:rsidR="007B0C92" w:rsidRDefault="007B0C92" w:rsidP="007B0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1184582"/>
      <w:docPartObj>
        <w:docPartGallery w:val="Page Numbers (Bottom of Page)"/>
        <w:docPartUnique/>
      </w:docPartObj>
    </w:sdtPr>
    <w:sdtContent>
      <w:p w:rsidR="006B5B71" w:rsidRDefault="006B5B7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92" w:rsidRDefault="007B0C92" w:rsidP="007B0C92">
      <w:r>
        <w:separator/>
      </w:r>
    </w:p>
  </w:footnote>
  <w:footnote w:type="continuationSeparator" w:id="0">
    <w:p w:rsidR="007B0C92" w:rsidRDefault="007B0C92" w:rsidP="007B0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F08"/>
    <w:rsid w:val="000A6969"/>
    <w:rsid w:val="001C4A03"/>
    <w:rsid w:val="0027554D"/>
    <w:rsid w:val="0041704D"/>
    <w:rsid w:val="00530A50"/>
    <w:rsid w:val="005B65A5"/>
    <w:rsid w:val="005F4121"/>
    <w:rsid w:val="0064067E"/>
    <w:rsid w:val="006B5B71"/>
    <w:rsid w:val="00753A2C"/>
    <w:rsid w:val="007B0C92"/>
    <w:rsid w:val="007D20FE"/>
    <w:rsid w:val="008B1F98"/>
    <w:rsid w:val="00925FDE"/>
    <w:rsid w:val="00957781"/>
    <w:rsid w:val="00982397"/>
    <w:rsid w:val="00A24DCE"/>
    <w:rsid w:val="00AC4A33"/>
    <w:rsid w:val="00AE67B1"/>
    <w:rsid w:val="00B03F6A"/>
    <w:rsid w:val="00B83A02"/>
    <w:rsid w:val="00C34B48"/>
    <w:rsid w:val="00C76010"/>
    <w:rsid w:val="00CE3577"/>
    <w:rsid w:val="00CF5101"/>
    <w:rsid w:val="00E46586"/>
    <w:rsid w:val="00E63F08"/>
    <w:rsid w:val="00F8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0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C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0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C9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F08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63F08"/>
    <w:pPr>
      <w:keepNext/>
      <w:widowControl w:val="0"/>
      <w:tabs>
        <w:tab w:val="center" w:pos="4218"/>
      </w:tabs>
      <w:suppressAutoHyphens/>
      <w:spacing w:line="360" w:lineRule="auto"/>
      <w:jc w:val="center"/>
      <w:outlineLvl w:val="0"/>
    </w:pPr>
    <w:rPr>
      <w:rFonts w:ascii="Bookman Old Style" w:hAnsi="Bookman Old Style"/>
      <w:b/>
      <w:snapToGrid w:val="0"/>
      <w:spacing w:val="-3"/>
      <w:szCs w:val="20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E63F08"/>
    <w:pPr>
      <w:keepNext/>
      <w:suppressAutoHyphens/>
      <w:spacing w:line="360" w:lineRule="auto"/>
      <w:jc w:val="both"/>
      <w:outlineLvl w:val="1"/>
    </w:pPr>
    <w:rPr>
      <w:b/>
      <w:spacing w:val="-3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63F08"/>
    <w:rPr>
      <w:rFonts w:ascii="Bookman Old Style" w:eastAsia="Times New Roman" w:hAnsi="Bookman Old Style" w:cs="Times New Roman"/>
      <w:b/>
      <w:snapToGrid w:val="0"/>
      <w:spacing w:val="-3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E63F08"/>
    <w:rPr>
      <w:rFonts w:ascii="Arial" w:eastAsia="Times New Roman" w:hAnsi="Arial" w:cs="Times New Roman"/>
      <w:b/>
      <w:spacing w:val="-3"/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3F08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B0C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B0C92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B0C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B0C92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5</cp:revision>
  <cp:lastPrinted>2019-06-14T14:56:00Z</cp:lastPrinted>
  <dcterms:created xsi:type="dcterms:W3CDTF">2019-06-14T14:23:00Z</dcterms:created>
  <dcterms:modified xsi:type="dcterms:W3CDTF">2019-06-14T14:56:00Z</dcterms:modified>
</cp:coreProperties>
</file>