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87" w:rsidRPr="00C24587" w:rsidRDefault="00C24587" w:rsidP="00C24587">
      <w:pPr>
        <w:tabs>
          <w:tab w:val="center" w:pos="4253"/>
        </w:tabs>
        <w:suppressAutoHyphens/>
        <w:spacing w:after="0" w:line="240" w:lineRule="auto"/>
        <w:jc w:val="right"/>
        <w:rPr>
          <w:rFonts w:ascii="Arial" w:eastAsia="Times New Roman" w:hAnsi="Arial" w:cs="Arial"/>
          <w:b/>
          <w:sz w:val="28"/>
          <w:szCs w:val="28"/>
          <w:lang w:val="es-ES_tradnl" w:eastAsia="es-ES"/>
        </w:rPr>
      </w:pPr>
      <w:r w:rsidRPr="00C24587">
        <w:rPr>
          <w:rFonts w:ascii="Arial" w:eastAsia="Times New Roman" w:hAnsi="Arial" w:cs="Arial"/>
          <w:b/>
          <w:sz w:val="28"/>
          <w:szCs w:val="28"/>
          <w:lang w:val="es-ES_tradnl" w:eastAsia="es-ES"/>
        </w:rPr>
        <w:t xml:space="preserve">RES  </w:t>
      </w:r>
      <w:r>
        <w:rPr>
          <w:rFonts w:ascii="Arial" w:eastAsia="Times New Roman" w:hAnsi="Arial" w:cs="Arial"/>
          <w:b/>
          <w:sz w:val="28"/>
          <w:szCs w:val="28"/>
          <w:lang w:val="es-ES_tradnl" w:eastAsia="es-ES"/>
        </w:rPr>
        <w:t>1388</w:t>
      </w:r>
      <w:r w:rsidRPr="00C24587">
        <w:rPr>
          <w:rFonts w:ascii="Arial" w:eastAsia="Times New Roman" w:hAnsi="Arial" w:cs="Arial"/>
          <w:b/>
          <w:sz w:val="28"/>
          <w:szCs w:val="28"/>
          <w:lang w:val="es-ES_tradnl" w:eastAsia="es-ES"/>
        </w:rPr>
        <w:t>/19</w:t>
      </w:r>
    </w:p>
    <w:p w:rsidR="00C24587" w:rsidRPr="00C24587" w:rsidRDefault="00C24587" w:rsidP="00C24587">
      <w:pPr>
        <w:tabs>
          <w:tab w:val="center" w:pos="4253"/>
        </w:tabs>
        <w:suppressAutoHyphens/>
        <w:spacing w:after="0" w:line="240" w:lineRule="auto"/>
        <w:jc w:val="right"/>
        <w:rPr>
          <w:rFonts w:ascii="Arial" w:eastAsia="Times New Roman" w:hAnsi="Arial" w:cs="Arial"/>
          <w:b/>
          <w:sz w:val="24"/>
          <w:szCs w:val="24"/>
          <w:lang w:val="es-ES_tradnl" w:eastAsia="es-ES"/>
        </w:rPr>
      </w:pPr>
    </w:p>
    <w:p w:rsidR="00C24587" w:rsidRPr="00C24587" w:rsidRDefault="00C24587" w:rsidP="00C24587">
      <w:pPr>
        <w:tabs>
          <w:tab w:val="center" w:pos="4253"/>
        </w:tabs>
        <w:suppressAutoHyphens/>
        <w:spacing w:after="0" w:line="240" w:lineRule="auto"/>
        <w:jc w:val="center"/>
        <w:rPr>
          <w:rFonts w:ascii="Arial" w:eastAsia="Times New Roman" w:hAnsi="Arial" w:cs="Arial"/>
          <w:b/>
          <w:sz w:val="24"/>
          <w:szCs w:val="24"/>
          <w:lang w:val="es-ES_tradnl" w:eastAsia="es-ES"/>
        </w:rPr>
      </w:pPr>
      <w:r w:rsidRPr="00C24587">
        <w:rPr>
          <w:rFonts w:ascii="Arial" w:eastAsia="Times New Roman" w:hAnsi="Arial" w:cs="Arial"/>
          <w:b/>
          <w:sz w:val="24"/>
          <w:szCs w:val="24"/>
          <w:lang w:val="es-ES_tradnl" w:eastAsia="es-ES"/>
        </w:rPr>
        <w:t>RESOLUCION ADOPTADA POR EL</w:t>
      </w:r>
    </w:p>
    <w:p w:rsidR="00C24587" w:rsidRPr="00C24587" w:rsidRDefault="00C24587" w:rsidP="00C24587">
      <w:pPr>
        <w:tabs>
          <w:tab w:val="left" w:pos="-720"/>
        </w:tabs>
        <w:suppressAutoHyphens/>
        <w:spacing w:after="0" w:line="240" w:lineRule="auto"/>
        <w:jc w:val="center"/>
        <w:rPr>
          <w:rFonts w:ascii="Arial" w:eastAsia="Times New Roman" w:hAnsi="Arial" w:cs="Arial"/>
          <w:b/>
          <w:sz w:val="24"/>
          <w:szCs w:val="24"/>
          <w:lang w:val="es-ES_tradnl" w:eastAsia="es-ES"/>
        </w:rPr>
      </w:pPr>
    </w:p>
    <w:p w:rsidR="00C24587" w:rsidRPr="00C24587" w:rsidRDefault="00C24587" w:rsidP="00C24587">
      <w:pPr>
        <w:tabs>
          <w:tab w:val="center" w:pos="4253"/>
        </w:tabs>
        <w:suppressAutoHyphens/>
        <w:spacing w:after="0" w:line="240" w:lineRule="auto"/>
        <w:jc w:val="center"/>
        <w:rPr>
          <w:rFonts w:ascii="Arial" w:eastAsia="Times New Roman" w:hAnsi="Arial" w:cs="Arial"/>
          <w:b/>
          <w:sz w:val="24"/>
          <w:szCs w:val="24"/>
          <w:lang w:val="es-ES_tradnl" w:eastAsia="es-ES"/>
        </w:rPr>
      </w:pPr>
      <w:r w:rsidRPr="00C24587">
        <w:rPr>
          <w:rFonts w:ascii="Arial" w:eastAsia="Times New Roman" w:hAnsi="Arial" w:cs="Arial"/>
          <w:b/>
          <w:sz w:val="24"/>
          <w:szCs w:val="24"/>
          <w:lang w:val="es-ES_tradnl" w:eastAsia="es-ES"/>
        </w:rPr>
        <w:t>TRIBUNAL DE CUENTAS</w:t>
      </w:r>
    </w:p>
    <w:p w:rsidR="00C24587" w:rsidRPr="00C24587" w:rsidRDefault="00C24587" w:rsidP="00C24587">
      <w:pPr>
        <w:tabs>
          <w:tab w:val="left" w:pos="-720"/>
        </w:tabs>
        <w:suppressAutoHyphens/>
        <w:spacing w:after="0" w:line="240" w:lineRule="auto"/>
        <w:jc w:val="center"/>
        <w:rPr>
          <w:rFonts w:ascii="Arial" w:eastAsia="Times New Roman" w:hAnsi="Arial" w:cs="Arial"/>
          <w:b/>
          <w:sz w:val="24"/>
          <w:szCs w:val="24"/>
          <w:lang w:val="es-ES_tradnl" w:eastAsia="es-ES"/>
        </w:rPr>
      </w:pPr>
    </w:p>
    <w:p w:rsidR="00C24587" w:rsidRPr="00C24587" w:rsidRDefault="00C24587" w:rsidP="00C24587">
      <w:pPr>
        <w:tabs>
          <w:tab w:val="center" w:pos="4253"/>
        </w:tabs>
        <w:suppressAutoHyphens/>
        <w:spacing w:after="0" w:line="240" w:lineRule="auto"/>
        <w:jc w:val="center"/>
        <w:rPr>
          <w:rFonts w:ascii="Arial" w:eastAsia="Times New Roman" w:hAnsi="Arial" w:cs="Arial"/>
          <w:b/>
          <w:sz w:val="24"/>
          <w:szCs w:val="24"/>
          <w:lang w:val="es-ES_tradnl" w:eastAsia="es-ES"/>
        </w:rPr>
      </w:pPr>
      <w:r w:rsidRPr="00C24587">
        <w:rPr>
          <w:rFonts w:ascii="Arial" w:eastAsia="Times New Roman" w:hAnsi="Arial" w:cs="Arial"/>
          <w:b/>
          <w:sz w:val="24"/>
          <w:szCs w:val="24"/>
          <w:lang w:val="es-ES_tradnl" w:eastAsia="es-ES"/>
        </w:rPr>
        <w:t xml:space="preserve">EN SESION DE FECHA 5 DE JUNIO  </w:t>
      </w:r>
      <w:r w:rsidRPr="00C24587">
        <w:rPr>
          <w:rFonts w:ascii="Helvetica" w:eastAsia="Times New Roman" w:hAnsi="Helvetica" w:cs="Times New Roman"/>
          <w:b/>
          <w:sz w:val="24"/>
          <w:szCs w:val="24"/>
          <w:lang w:val="es-ES_tradnl" w:eastAsia="es-ES"/>
        </w:rPr>
        <w:t>DE 2019</w:t>
      </w:r>
    </w:p>
    <w:p w:rsidR="00C24587" w:rsidRPr="00C24587" w:rsidRDefault="00C24587" w:rsidP="00C24587">
      <w:pPr>
        <w:tabs>
          <w:tab w:val="center" w:pos="4253"/>
        </w:tabs>
        <w:suppressAutoHyphens/>
        <w:spacing w:after="0" w:line="240" w:lineRule="auto"/>
        <w:jc w:val="center"/>
        <w:rPr>
          <w:rFonts w:ascii="Arial" w:eastAsia="Times New Roman" w:hAnsi="Arial" w:cs="Arial"/>
          <w:b/>
          <w:sz w:val="24"/>
          <w:szCs w:val="24"/>
          <w:lang w:val="es-ES_tradnl" w:eastAsia="es-ES"/>
        </w:rPr>
      </w:pPr>
    </w:p>
    <w:p w:rsidR="00C24587" w:rsidRPr="00C24587" w:rsidRDefault="00C24587" w:rsidP="00C24587">
      <w:pPr>
        <w:tabs>
          <w:tab w:val="center" w:pos="4253"/>
        </w:tabs>
        <w:suppressAutoHyphens/>
        <w:spacing w:after="0" w:line="240" w:lineRule="auto"/>
        <w:jc w:val="center"/>
        <w:rPr>
          <w:rFonts w:ascii="Arial" w:eastAsia="Times New Roman" w:hAnsi="Arial" w:cs="Arial"/>
          <w:b/>
          <w:sz w:val="24"/>
          <w:szCs w:val="24"/>
          <w:lang w:eastAsia="es-ES"/>
        </w:rPr>
      </w:pPr>
      <w:r w:rsidRPr="00C24587">
        <w:rPr>
          <w:rFonts w:ascii="Arial" w:eastAsia="Times New Roman" w:hAnsi="Arial" w:cs="Arial"/>
          <w:b/>
          <w:sz w:val="24"/>
          <w:szCs w:val="24"/>
          <w:lang w:eastAsia="es-ES"/>
        </w:rPr>
        <w:t>(E. E. Nº 201</w:t>
      </w:r>
      <w:r>
        <w:rPr>
          <w:rFonts w:ascii="Arial" w:eastAsia="Times New Roman" w:hAnsi="Arial" w:cs="Arial"/>
          <w:b/>
          <w:sz w:val="24"/>
          <w:szCs w:val="24"/>
          <w:lang w:eastAsia="es-ES"/>
        </w:rPr>
        <w:t>9</w:t>
      </w:r>
      <w:r w:rsidRPr="00C24587">
        <w:rPr>
          <w:rFonts w:ascii="Arial" w:eastAsia="Times New Roman" w:hAnsi="Arial" w:cs="Arial"/>
          <w:b/>
          <w:sz w:val="24"/>
          <w:szCs w:val="24"/>
          <w:lang w:eastAsia="es-ES"/>
        </w:rPr>
        <w:t>-17-1-000</w:t>
      </w:r>
      <w:r>
        <w:rPr>
          <w:rFonts w:ascii="Arial" w:eastAsia="Times New Roman" w:hAnsi="Arial" w:cs="Arial"/>
          <w:b/>
          <w:sz w:val="24"/>
          <w:szCs w:val="24"/>
          <w:lang w:eastAsia="es-ES"/>
        </w:rPr>
        <w:t>1606</w:t>
      </w:r>
      <w:r w:rsidRPr="00C24587">
        <w:rPr>
          <w:rFonts w:ascii="Arial" w:eastAsia="Times New Roman" w:hAnsi="Arial" w:cs="Arial"/>
          <w:b/>
          <w:sz w:val="24"/>
          <w:szCs w:val="24"/>
          <w:lang w:eastAsia="es-ES"/>
        </w:rPr>
        <w:t xml:space="preserve">, </w:t>
      </w:r>
      <w:proofErr w:type="spellStart"/>
      <w:r w:rsidRPr="00C24587">
        <w:rPr>
          <w:rFonts w:ascii="Arial" w:eastAsia="Times New Roman" w:hAnsi="Arial" w:cs="Arial"/>
          <w:b/>
          <w:sz w:val="24"/>
          <w:szCs w:val="24"/>
          <w:lang w:eastAsia="es-ES"/>
        </w:rPr>
        <w:t>Ent</w:t>
      </w:r>
      <w:proofErr w:type="spellEnd"/>
      <w:r w:rsidRPr="00C24587">
        <w:rPr>
          <w:rFonts w:ascii="Arial" w:eastAsia="Times New Roman" w:hAnsi="Arial" w:cs="Arial"/>
          <w:b/>
          <w:sz w:val="24"/>
          <w:szCs w:val="24"/>
          <w:lang w:eastAsia="es-ES"/>
        </w:rPr>
        <w:t xml:space="preserve">. N° </w:t>
      </w:r>
      <w:bookmarkStart w:id="0" w:name="_GoBack"/>
      <w:bookmarkEnd w:id="0"/>
      <w:r w:rsidR="00D66E28">
        <w:rPr>
          <w:rFonts w:ascii="Arial" w:eastAsia="Times New Roman" w:hAnsi="Arial" w:cs="Arial"/>
          <w:b/>
          <w:sz w:val="24"/>
          <w:szCs w:val="24"/>
          <w:lang w:eastAsia="es-ES"/>
        </w:rPr>
        <w:t>1960/19</w:t>
      </w:r>
      <w:r>
        <w:rPr>
          <w:rFonts w:ascii="Arial" w:eastAsia="Times New Roman" w:hAnsi="Arial" w:cs="Arial"/>
          <w:b/>
          <w:sz w:val="24"/>
          <w:szCs w:val="24"/>
          <w:lang w:eastAsia="es-ES"/>
        </w:rPr>
        <w:t>)</w:t>
      </w:r>
    </w:p>
    <w:p w:rsidR="00A07C9D" w:rsidRDefault="00A07C9D" w:rsidP="00A07C9D">
      <w:pPr>
        <w:rPr>
          <w:rFonts w:ascii="Arial" w:hAnsi="Arial" w:cs="Arial"/>
          <w:sz w:val="24"/>
          <w:szCs w:val="24"/>
        </w:rPr>
      </w:pPr>
    </w:p>
    <w:p w:rsidR="00A07C9D" w:rsidRDefault="00A07C9D" w:rsidP="00C24587">
      <w:pPr>
        <w:spacing w:after="0" w:line="360" w:lineRule="auto"/>
        <w:ind w:firstLine="709"/>
        <w:jc w:val="both"/>
        <w:rPr>
          <w:rFonts w:ascii="Arial" w:hAnsi="Arial" w:cs="Arial"/>
          <w:sz w:val="24"/>
          <w:szCs w:val="24"/>
        </w:rPr>
      </w:pPr>
      <w:r w:rsidRPr="00524CFC">
        <w:rPr>
          <w:rFonts w:ascii="Arial" w:hAnsi="Arial" w:cs="Arial"/>
          <w:b/>
          <w:sz w:val="24"/>
          <w:szCs w:val="24"/>
        </w:rPr>
        <w:t>VISTO:</w:t>
      </w:r>
      <w:r w:rsidR="00BB158F">
        <w:rPr>
          <w:rFonts w:ascii="Arial" w:hAnsi="Arial" w:cs="Arial"/>
          <w:sz w:val="24"/>
          <w:szCs w:val="24"/>
        </w:rPr>
        <w:t xml:space="preserve"> l</w:t>
      </w:r>
      <w:r>
        <w:rPr>
          <w:rFonts w:ascii="Arial" w:hAnsi="Arial" w:cs="Arial"/>
          <w:sz w:val="24"/>
          <w:szCs w:val="24"/>
        </w:rPr>
        <w:t xml:space="preserve">as actuaciones remitidas por </w:t>
      </w:r>
      <w:r w:rsidRPr="001F7883">
        <w:rPr>
          <w:rFonts w:ascii="Arial" w:hAnsi="Arial" w:cs="Arial"/>
          <w:sz w:val="24"/>
          <w:szCs w:val="24"/>
        </w:rPr>
        <w:t>Administración Nacional de Usinas y Trasmisiones Eléctricas</w:t>
      </w:r>
      <w:r>
        <w:t xml:space="preserve"> </w:t>
      </w:r>
      <w:r>
        <w:rPr>
          <w:rFonts w:ascii="Arial" w:hAnsi="Arial" w:cs="Arial"/>
          <w:sz w:val="24"/>
          <w:szCs w:val="24"/>
        </w:rPr>
        <w:t xml:space="preserve">relacionadas con la Licitación N° </w:t>
      </w:r>
      <w:r w:rsidRPr="00582AAD">
        <w:rPr>
          <w:rFonts w:ascii="Arial" w:hAnsi="Arial" w:cs="Arial"/>
          <w:sz w:val="24"/>
          <w:szCs w:val="24"/>
        </w:rPr>
        <w:t xml:space="preserve"> </w:t>
      </w:r>
      <w:r>
        <w:rPr>
          <w:rFonts w:ascii="Arial" w:hAnsi="Arial" w:cs="Arial"/>
          <w:sz w:val="24"/>
          <w:szCs w:val="24"/>
        </w:rPr>
        <w:t>P51404  para la Contratación de una empresa para la realización de servicios de mantenimiento mecánico en centrales térmicas (Central Térmica José Batlle y Ordoñez y Central Térmica de Respaldo La Tablada).</w:t>
      </w:r>
    </w:p>
    <w:p w:rsidR="00A07C9D" w:rsidRDefault="00A07C9D" w:rsidP="00C24587">
      <w:pPr>
        <w:spacing w:after="0" w:line="360" w:lineRule="auto"/>
        <w:ind w:firstLine="708"/>
        <w:jc w:val="both"/>
        <w:rPr>
          <w:rFonts w:ascii="Arial" w:hAnsi="Arial" w:cs="Arial"/>
          <w:sz w:val="24"/>
          <w:szCs w:val="24"/>
        </w:rPr>
      </w:pPr>
      <w:r w:rsidRPr="00524CFC">
        <w:rPr>
          <w:rFonts w:ascii="Arial" w:hAnsi="Arial" w:cs="Arial"/>
          <w:b/>
          <w:sz w:val="24"/>
          <w:szCs w:val="24"/>
        </w:rPr>
        <w:t>RESULTANDO: 1)</w:t>
      </w:r>
      <w:r>
        <w:rPr>
          <w:rFonts w:ascii="Arial" w:hAnsi="Arial" w:cs="Arial"/>
          <w:sz w:val="24"/>
          <w:szCs w:val="24"/>
        </w:rPr>
        <w:t xml:space="preserve"> que cumplidos los trámites legales, </w:t>
      </w:r>
      <w:r w:rsidR="00BB158F">
        <w:rPr>
          <w:rFonts w:ascii="Arial" w:hAnsi="Arial" w:cs="Arial"/>
          <w:sz w:val="24"/>
          <w:szCs w:val="24"/>
        </w:rPr>
        <w:t xml:space="preserve">al acto de apertura de </w:t>
      </w:r>
      <w:r>
        <w:rPr>
          <w:rFonts w:ascii="Arial" w:hAnsi="Arial" w:cs="Arial"/>
          <w:sz w:val="24"/>
          <w:szCs w:val="24"/>
        </w:rPr>
        <w:t xml:space="preserve"> fecha  20.12.18 </w:t>
      </w:r>
      <w:r w:rsidR="00BB158F">
        <w:rPr>
          <w:rFonts w:ascii="Arial" w:hAnsi="Arial" w:cs="Arial"/>
          <w:sz w:val="24"/>
          <w:szCs w:val="24"/>
        </w:rPr>
        <w:t>se presentaron:</w:t>
      </w:r>
      <w:r w:rsidRPr="00582AAD">
        <w:rPr>
          <w:rFonts w:ascii="Arial" w:hAnsi="Arial" w:cs="Arial"/>
          <w:sz w:val="24"/>
          <w:szCs w:val="24"/>
        </w:rPr>
        <w:t xml:space="preserve"> </w:t>
      </w:r>
      <w:r>
        <w:rPr>
          <w:rFonts w:ascii="Arial" w:hAnsi="Arial" w:cs="Arial"/>
          <w:sz w:val="24"/>
          <w:szCs w:val="24"/>
        </w:rPr>
        <w:t>TECNOCYL S.A., ENDUMAR SA  y ELECTROTECNIA NOVAS S.A;</w:t>
      </w:r>
    </w:p>
    <w:p w:rsidR="00A07C9D" w:rsidRDefault="00A07C9D" w:rsidP="00A07C9D">
      <w:pPr>
        <w:spacing w:after="0" w:line="360" w:lineRule="auto"/>
        <w:jc w:val="both"/>
        <w:rPr>
          <w:rFonts w:ascii="Arial" w:hAnsi="Arial" w:cs="Arial"/>
          <w:sz w:val="24"/>
          <w:szCs w:val="24"/>
        </w:rPr>
      </w:pPr>
      <w:r w:rsidRPr="00524CFC">
        <w:rPr>
          <w:rFonts w:ascii="Arial" w:hAnsi="Arial" w:cs="Arial"/>
          <w:b/>
          <w:sz w:val="24"/>
          <w:szCs w:val="24"/>
        </w:rPr>
        <w:t xml:space="preserve">                                </w:t>
      </w:r>
      <w:r w:rsidR="00C24587">
        <w:rPr>
          <w:rFonts w:ascii="Arial" w:hAnsi="Arial" w:cs="Arial"/>
          <w:b/>
          <w:sz w:val="24"/>
          <w:szCs w:val="24"/>
        </w:rPr>
        <w:t xml:space="preserve">      </w:t>
      </w:r>
      <w:r w:rsidRPr="00524CFC">
        <w:rPr>
          <w:rFonts w:ascii="Arial" w:hAnsi="Arial" w:cs="Arial"/>
          <w:b/>
          <w:sz w:val="24"/>
          <w:szCs w:val="24"/>
        </w:rPr>
        <w:t>2)</w:t>
      </w:r>
      <w:r w:rsidRPr="00582AAD">
        <w:rPr>
          <w:rFonts w:ascii="Arial" w:hAnsi="Arial" w:cs="Arial"/>
          <w:sz w:val="24"/>
          <w:szCs w:val="24"/>
        </w:rPr>
        <w:t xml:space="preserve"> </w:t>
      </w:r>
      <w:r>
        <w:rPr>
          <w:rFonts w:ascii="Arial" w:hAnsi="Arial" w:cs="Arial"/>
          <w:sz w:val="24"/>
          <w:szCs w:val="24"/>
        </w:rPr>
        <w:t>que evaluadas las propuestas presentadas</w:t>
      </w:r>
      <w:r w:rsidR="000C3AC5">
        <w:rPr>
          <w:rFonts w:ascii="Arial" w:hAnsi="Arial" w:cs="Arial"/>
          <w:sz w:val="24"/>
          <w:szCs w:val="24"/>
        </w:rPr>
        <w:t xml:space="preserve"> y</w:t>
      </w:r>
      <w:r>
        <w:rPr>
          <w:rFonts w:ascii="Arial" w:hAnsi="Arial" w:cs="Arial"/>
          <w:sz w:val="24"/>
          <w:szCs w:val="24"/>
        </w:rPr>
        <w:t xml:space="preserve"> teniendo en cuenta  los requisitos solicitados en las bases, todas las oferentes cumplen</w:t>
      </w:r>
      <w:r w:rsidR="000C3AC5">
        <w:rPr>
          <w:rFonts w:ascii="Arial" w:hAnsi="Arial" w:cs="Arial"/>
          <w:sz w:val="24"/>
          <w:szCs w:val="24"/>
        </w:rPr>
        <w:t>,</w:t>
      </w:r>
      <w:r>
        <w:rPr>
          <w:rFonts w:ascii="Arial" w:hAnsi="Arial" w:cs="Arial"/>
          <w:sz w:val="24"/>
          <w:szCs w:val="24"/>
        </w:rPr>
        <w:t xml:space="preserve"> con excepción de la firma ELECTROTENIA NOVAS SA, que cotizó un monto global no presentando tabla de precios  ni desglose  de los montos unitarios de cada uno de los sub ítems tal como lo solicitaba el pliego en los punto 1.6.1, apartándose de lo dispuesto en el mismo, por lo cual la Comisión Asesora aconseja su rechazo;</w:t>
      </w:r>
    </w:p>
    <w:p w:rsidR="00A07C9D" w:rsidRDefault="00A07C9D" w:rsidP="00A07C9D">
      <w:pPr>
        <w:spacing w:after="0" w:line="360" w:lineRule="auto"/>
        <w:jc w:val="both"/>
        <w:rPr>
          <w:rFonts w:ascii="Arial" w:hAnsi="Arial" w:cs="Arial"/>
          <w:sz w:val="24"/>
          <w:szCs w:val="24"/>
        </w:rPr>
      </w:pPr>
      <w:r w:rsidRPr="00524CFC">
        <w:rPr>
          <w:rFonts w:ascii="Arial" w:hAnsi="Arial" w:cs="Arial"/>
          <w:b/>
          <w:sz w:val="24"/>
          <w:szCs w:val="24"/>
        </w:rPr>
        <w:t xml:space="preserve">                                </w:t>
      </w:r>
      <w:r w:rsidR="00C24587">
        <w:rPr>
          <w:rFonts w:ascii="Arial" w:hAnsi="Arial" w:cs="Arial"/>
          <w:b/>
          <w:sz w:val="24"/>
          <w:szCs w:val="24"/>
        </w:rPr>
        <w:t xml:space="preserve">       </w:t>
      </w:r>
      <w:r w:rsidRPr="00524CFC">
        <w:rPr>
          <w:rFonts w:ascii="Arial" w:hAnsi="Arial" w:cs="Arial"/>
          <w:b/>
          <w:sz w:val="24"/>
          <w:szCs w:val="24"/>
        </w:rPr>
        <w:t>3)</w:t>
      </w:r>
      <w:r>
        <w:rPr>
          <w:rFonts w:ascii="Arial" w:hAnsi="Arial" w:cs="Arial"/>
          <w:sz w:val="24"/>
          <w:szCs w:val="24"/>
        </w:rPr>
        <w:t xml:space="preserve"> que con las restantes ofertas admisibles se realizó cuadro comparativo de precios, se aplicó la bonificación  del 5% por certificación ISO 9001-2008 para ambas ofertas por presentar la documentación respaldante;</w:t>
      </w:r>
    </w:p>
    <w:tbl>
      <w:tblPr>
        <w:tblStyle w:val="Tablaconcuadrcula"/>
        <w:tblW w:w="0" w:type="auto"/>
        <w:tblLook w:val="04A0" w:firstRow="1" w:lastRow="0" w:firstColumn="1" w:lastColumn="0" w:noHBand="0" w:noVBand="1"/>
      </w:tblPr>
      <w:tblGrid>
        <w:gridCol w:w="4322"/>
        <w:gridCol w:w="4322"/>
      </w:tblGrid>
      <w:tr w:rsidR="00A07C9D" w:rsidTr="00A07C9D">
        <w:tc>
          <w:tcPr>
            <w:tcW w:w="4322" w:type="dxa"/>
          </w:tcPr>
          <w:p w:rsidR="00A07C9D" w:rsidRPr="00457BBC" w:rsidRDefault="00A07C9D" w:rsidP="00A07C9D">
            <w:pPr>
              <w:jc w:val="center"/>
              <w:rPr>
                <w:rFonts w:ascii="Arial" w:hAnsi="Arial" w:cs="Arial"/>
                <w:b/>
                <w:sz w:val="24"/>
                <w:szCs w:val="24"/>
              </w:rPr>
            </w:pPr>
            <w:r w:rsidRPr="00457BBC">
              <w:rPr>
                <w:rFonts w:ascii="Arial" w:hAnsi="Arial" w:cs="Arial"/>
                <w:b/>
                <w:sz w:val="24"/>
                <w:szCs w:val="24"/>
              </w:rPr>
              <w:t>OFERENTE</w:t>
            </w:r>
          </w:p>
        </w:tc>
        <w:tc>
          <w:tcPr>
            <w:tcW w:w="4322" w:type="dxa"/>
          </w:tcPr>
          <w:p w:rsidR="00A07C9D" w:rsidRPr="00457BBC" w:rsidRDefault="00A07C9D" w:rsidP="00A07C9D">
            <w:pPr>
              <w:jc w:val="center"/>
              <w:rPr>
                <w:rFonts w:ascii="Arial" w:hAnsi="Arial" w:cs="Arial"/>
                <w:b/>
                <w:sz w:val="24"/>
                <w:szCs w:val="24"/>
              </w:rPr>
            </w:pPr>
            <w:r w:rsidRPr="00457BBC">
              <w:rPr>
                <w:rFonts w:ascii="Arial" w:hAnsi="Arial" w:cs="Arial"/>
                <w:b/>
                <w:sz w:val="24"/>
                <w:szCs w:val="24"/>
              </w:rPr>
              <w:t>PRECIO COMPARATIVO</w:t>
            </w:r>
          </w:p>
        </w:tc>
      </w:tr>
      <w:tr w:rsidR="00A07C9D" w:rsidTr="00A07C9D">
        <w:tc>
          <w:tcPr>
            <w:tcW w:w="4322" w:type="dxa"/>
          </w:tcPr>
          <w:p w:rsidR="00A07C9D" w:rsidRDefault="00A07C9D" w:rsidP="00A07C9D">
            <w:pPr>
              <w:jc w:val="center"/>
              <w:rPr>
                <w:rFonts w:ascii="Arial" w:hAnsi="Arial" w:cs="Arial"/>
                <w:sz w:val="24"/>
                <w:szCs w:val="24"/>
              </w:rPr>
            </w:pPr>
            <w:r>
              <w:rPr>
                <w:rFonts w:ascii="Arial" w:hAnsi="Arial" w:cs="Arial"/>
                <w:sz w:val="24"/>
                <w:szCs w:val="24"/>
              </w:rPr>
              <w:t>ENDUMAR SA.</w:t>
            </w:r>
          </w:p>
        </w:tc>
        <w:tc>
          <w:tcPr>
            <w:tcW w:w="4322" w:type="dxa"/>
          </w:tcPr>
          <w:p w:rsidR="00A07C9D" w:rsidRDefault="00A07C9D" w:rsidP="00A07C9D">
            <w:pPr>
              <w:jc w:val="center"/>
              <w:rPr>
                <w:rFonts w:ascii="Arial" w:hAnsi="Arial" w:cs="Arial"/>
                <w:sz w:val="24"/>
                <w:szCs w:val="24"/>
              </w:rPr>
            </w:pPr>
            <w:r>
              <w:rPr>
                <w:rFonts w:ascii="Arial" w:hAnsi="Arial" w:cs="Arial"/>
                <w:sz w:val="24"/>
                <w:szCs w:val="24"/>
              </w:rPr>
              <w:t>62.872.461,10</w:t>
            </w:r>
          </w:p>
        </w:tc>
      </w:tr>
      <w:tr w:rsidR="00A07C9D" w:rsidTr="00A07C9D">
        <w:tc>
          <w:tcPr>
            <w:tcW w:w="4322" w:type="dxa"/>
          </w:tcPr>
          <w:p w:rsidR="00A07C9D" w:rsidRDefault="00A07C9D" w:rsidP="00A07C9D">
            <w:pPr>
              <w:jc w:val="center"/>
              <w:rPr>
                <w:rFonts w:ascii="Arial" w:hAnsi="Arial" w:cs="Arial"/>
                <w:sz w:val="24"/>
                <w:szCs w:val="24"/>
              </w:rPr>
            </w:pPr>
            <w:r>
              <w:rPr>
                <w:rFonts w:ascii="Arial" w:hAnsi="Arial" w:cs="Arial"/>
                <w:sz w:val="24"/>
                <w:szCs w:val="24"/>
              </w:rPr>
              <w:t>TECNOCYL SA.</w:t>
            </w:r>
          </w:p>
        </w:tc>
        <w:tc>
          <w:tcPr>
            <w:tcW w:w="4322" w:type="dxa"/>
          </w:tcPr>
          <w:p w:rsidR="00A07C9D" w:rsidRDefault="00A07C9D" w:rsidP="00A07C9D">
            <w:pPr>
              <w:jc w:val="center"/>
              <w:rPr>
                <w:rFonts w:ascii="Arial" w:hAnsi="Arial" w:cs="Arial"/>
                <w:sz w:val="24"/>
                <w:szCs w:val="24"/>
              </w:rPr>
            </w:pPr>
            <w:r>
              <w:rPr>
                <w:rFonts w:ascii="Arial" w:hAnsi="Arial" w:cs="Arial"/>
                <w:sz w:val="24"/>
                <w:szCs w:val="24"/>
              </w:rPr>
              <w:t>91.498.995,25</w:t>
            </w:r>
          </w:p>
        </w:tc>
      </w:tr>
    </w:tbl>
    <w:p w:rsidR="00A07C9D" w:rsidRDefault="00A07C9D" w:rsidP="00C24587">
      <w:pPr>
        <w:spacing w:after="0" w:line="360" w:lineRule="auto"/>
        <w:ind w:firstLine="2694"/>
        <w:jc w:val="both"/>
        <w:rPr>
          <w:rFonts w:ascii="Arial" w:hAnsi="Arial" w:cs="Arial"/>
          <w:sz w:val="24"/>
          <w:szCs w:val="24"/>
        </w:rPr>
      </w:pPr>
      <w:r w:rsidRPr="00524CFC">
        <w:rPr>
          <w:rFonts w:ascii="Arial" w:hAnsi="Arial" w:cs="Arial"/>
          <w:b/>
          <w:sz w:val="24"/>
          <w:szCs w:val="24"/>
        </w:rPr>
        <w:lastRenderedPageBreak/>
        <w:t>4)</w:t>
      </w:r>
      <w:r>
        <w:rPr>
          <w:rFonts w:ascii="Arial" w:hAnsi="Arial" w:cs="Arial"/>
          <w:sz w:val="24"/>
          <w:szCs w:val="24"/>
        </w:rPr>
        <w:t xml:space="preserve"> que en consecuencia, dado que la oferta de ENDUMAR SA, resulta admisible y ser la más conveniente, la Comisión Asesora sugiere su adjudicación por un monto total $ 112.435.200 incluye el total de periodo de contratación con impuestos más imprevistos y ajustes de precios. El servicio tendrá una duración máxima de 24 meses, contados a partir del vencimiento del plazo establecido  en el punto 18 (10 días corridos, contados a partir del día siguiente de la fecha de recepción de la notificación) o hasta agotar el monto adjudicado, lo que ocurra primero;</w:t>
      </w:r>
    </w:p>
    <w:p w:rsidR="00A07C9D" w:rsidRDefault="00A07C9D" w:rsidP="00A07C9D">
      <w:pPr>
        <w:spacing w:after="0" w:line="360" w:lineRule="auto"/>
        <w:jc w:val="both"/>
        <w:rPr>
          <w:rFonts w:ascii="Arial" w:hAnsi="Arial" w:cs="Arial"/>
          <w:sz w:val="24"/>
          <w:szCs w:val="24"/>
        </w:rPr>
      </w:pPr>
      <w:r w:rsidRPr="00524CFC">
        <w:rPr>
          <w:rFonts w:ascii="Arial" w:hAnsi="Arial" w:cs="Arial"/>
          <w:b/>
          <w:sz w:val="24"/>
          <w:szCs w:val="24"/>
        </w:rPr>
        <w:t xml:space="preserve">                        </w:t>
      </w:r>
      <w:r w:rsidR="00BB158F">
        <w:rPr>
          <w:rFonts w:ascii="Arial" w:hAnsi="Arial" w:cs="Arial"/>
          <w:b/>
          <w:sz w:val="24"/>
          <w:szCs w:val="24"/>
        </w:rPr>
        <w:t xml:space="preserve"> </w:t>
      </w:r>
      <w:r w:rsidR="00C24587">
        <w:rPr>
          <w:rFonts w:ascii="Arial" w:hAnsi="Arial" w:cs="Arial"/>
          <w:b/>
          <w:sz w:val="24"/>
          <w:szCs w:val="24"/>
        </w:rPr>
        <w:t xml:space="preserve">              </w:t>
      </w:r>
      <w:r w:rsidRPr="00524CFC">
        <w:rPr>
          <w:rFonts w:ascii="Arial" w:hAnsi="Arial" w:cs="Arial"/>
          <w:b/>
          <w:sz w:val="24"/>
          <w:szCs w:val="24"/>
        </w:rPr>
        <w:t>5)</w:t>
      </w:r>
      <w:r>
        <w:rPr>
          <w:rFonts w:ascii="Arial" w:hAnsi="Arial" w:cs="Arial"/>
          <w:sz w:val="24"/>
          <w:szCs w:val="24"/>
        </w:rPr>
        <w:t xml:space="preserve"> que del informe de fecha 27.2.19 realizado por el Departamento de Registro y Control Presupuestal surge que en Grupo 2 no presenta créditos disponibles para comprometer el gasto en el ejercicio 2019, por el monto de $ 2</w:t>
      </w:r>
      <w:r w:rsidR="000C3AC5">
        <w:rPr>
          <w:rFonts w:ascii="Arial" w:hAnsi="Arial" w:cs="Arial"/>
          <w:sz w:val="24"/>
          <w:szCs w:val="24"/>
        </w:rPr>
        <w:t>6.880.000 neto de impuesto, asi</w:t>
      </w:r>
      <w:r>
        <w:rPr>
          <w:rFonts w:ascii="Arial" w:hAnsi="Arial" w:cs="Arial"/>
          <w:sz w:val="24"/>
          <w:szCs w:val="24"/>
        </w:rPr>
        <w:t>mismo expresa que existe disponibilidad para el ejercicio  2020;</w:t>
      </w:r>
    </w:p>
    <w:p w:rsidR="00A07C9D" w:rsidRDefault="00A07C9D" w:rsidP="00A07C9D">
      <w:pPr>
        <w:spacing w:after="0" w:line="360" w:lineRule="auto"/>
        <w:jc w:val="both"/>
        <w:rPr>
          <w:rFonts w:ascii="Arial" w:hAnsi="Arial" w:cs="Arial"/>
          <w:sz w:val="24"/>
          <w:szCs w:val="24"/>
        </w:rPr>
      </w:pPr>
      <w:r w:rsidRPr="00524CFC">
        <w:rPr>
          <w:rFonts w:ascii="Arial" w:hAnsi="Arial" w:cs="Arial"/>
          <w:b/>
          <w:sz w:val="24"/>
          <w:szCs w:val="24"/>
        </w:rPr>
        <w:t xml:space="preserve">                  </w:t>
      </w:r>
      <w:r w:rsidR="00BB158F">
        <w:rPr>
          <w:rFonts w:ascii="Arial" w:hAnsi="Arial" w:cs="Arial"/>
          <w:b/>
          <w:sz w:val="24"/>
          <w:szCs w:val="24"/>
        </w:rPr>
        <w:t xml:space="preserve">  </w:t>
      </w:r>
      <w:r w:rsidRPr="00524CFC">
        <w:rPr>
          <w:rFonts w:ascii="Arial" w:hAnsi="Arial" w:cs="Arial"/>
          <w:b/>
          <w:sz w:val="24"/>
          <w:szCs w:val="24"/>
        </w:rPr>
        <w:t xml:space="preserve">   </w:t>
      </w:r>
      <w:r w:rsidR="00C24587">
        <w:rPr>
          <w:rFonts w:ascii="Arial" w:hAnsi="Arial" w:cs="Arial"/>
          <w:b/>
          <w:sz w:val="24"/>
          <w:szCs w:val="24"/>
        </w:rPr>
        <w:t xml:space="preserve">                </w:t>
      </w:r>
      <w:r w:rsidRPr="00524CFC">
        <w:rPr>
          <w:rFonts w:ascii="Arial" w:hAnsi="Arial" w:cs="Arial"/>
          <w:b/>
          <w:sz w:val="24"/>
          <w:szCs w:val="24"/>
        </w:rPr>
        <w:t>6)</w:t>
      </w:r>
      <w:r>
        <w:rPr>
          <w:rFonts w:ascii="Arial" w:hAnsi="Arial" w:cs="Arial"/>
          <w:sz w:val="24"/>
          <w:szCs w:val="24"/>
        </w:rPr>
        <w:t xml:space="preserve"> que  por Resolución G.G. N° 019/19 de fecha 21.3.19 dictada por el Gerente General en atribuciones delegadas por Resolución de Directorio R.11-1990 del 22.12.18, se dispone adjudicar el llamado de acuerdo con lo sugerido por la Comisión Asesora;</w:t>
      </w:r>
    </w:p>
    <w:p w:rsidR="00A07C9D" w:rsidRDefault="00A07C9D" w:rsidP="00A07C9D">
      <w:pPr>
        <w:spacing w:after="0" w:line="360" w:lineRule="auto"/>
        <w:jc w:val="both"/>
        <w:rPr>
          <w:rFonts w:ascii="Arial" w:hAnsi="Arial" w:cs="Arial"/>
          <w:sz w:val="24"/>
          <w:szCs w:val="24"/>
        </w:rPr>
      </w:pPr>
      <w:r w:rsidRPr="002E1EAD">
        <w:rPr>
          <w:rFonts w:ascii="Arial" w:hAnsi="Arial" w:cs="Arial"/>
          <w:b/>
          <w:sz w:val="24"/>
          <w:szCs w:val="24"/>
        </w:rPr>
        <w:t xml:space="preserve">                   </w:t>
      </w:r>
      <w:r w:rsidR="00BB158F">
        <w:rPr>
          <w:rFonts w:ascii="Arial" w:hAnsi="Arial" w:cs="Arial"/>
          <w:b/>
          <w:sz w:val="24"/>
          <w:szCs w:val="24"/>
        </w:rPr>
        <w:t xml:space="preserve">  </w:t>
      </w:r>
      <w:r w:rsidR="00C24587">
        <w:rPr>
          <w:rFonts w:ascii="Arial" w:hAnsi="Arial" w:cs="Arial"/>
          <w:b/>
          <w:sz w:val="24"/>
          <w:szCs w:val="24"/>
        </w:rPr>
        <w:t xml:space="preserve">                  </w:t>
      </w:r>
      <w:r w:rsidRPr="002E1EAD">
        <w:rPr>
          <w:rFonts w:ascii="Arial" w:hAnsi="Arial" w:cs="Arial"/>
          <w:b/>
          <w:sz w:val="24"/>
          <w:szCs w:val="24"/>
        </w:rPr>
        <w:t>7)</w:t>
      </w:r>
      <w:r>
        <w:rPr>
          <w:rFonts w:ascii="Arial" w:hAnsi="Arial" w:cs="Arial"/>
          <w:sz w:val="24"/>
          <w:szCs w:val="24"/>
        </w:rPr>
        <w:t xml:space="preserve"> que por Oficio de fecha 26.4.19,  </w:t>
      </w:r>
      <w:r w:rsidR="000C3AC5">
        <w:rPr>
          <w:rFonts w:ascii="Arial" w:hAnsi="Arial" w:cs="Arial"/>
          <w:sz w:val="24"/>
          <w:szCs w:val="24"/>
        </w:rPr>
        <w:t>e</w:t>
      </w:r>
      <w:r>
        <w:rPr>
          <w:rFonts w:ascii="Arial" w:hAnsi="Arial" w:cs="Arial"/>
          <w:sz w:val="24"/>
          <w:szCs w:val="24"/>
        </w:rPr>
        <w:t>ste Tribunal, solicitó para mejor proveer al Organismo, ampliar la información evaluatoria de los oferentes, en particular del adjudicatario, respecto  a los puntos 1.3 (antecedentes), 1.4 (visita obligatoria) y 1.5 (información a integrar en la oferta) del Pliego de Condiciones Particulares que no fueron mencionados en el informe de la Comisión Asesora;</w:t>
      </w:r>
    </w:p>
    <w:p w:rsidR="00A07C9D" w:rsidRDefault="00A07C9D" w:rsidP="00A07C9D">
      <w:pPr>
        <w:spacing w:after="0" w:line="360" w:lineRule="auto"/>
        <w:jc w:val="both"/>
        <w:rPr>
          <w:rFonts w:ascii="Arial" w:hAnsi="Arial" w:cs="Arial"/>
          <w:sz w:val="24"/>
          <w:szCs w:val="24"/>
        </w:rPr>
      </w:pPr>
      <w:r w:rsidRPr="00E34EF9">
        <w:rPr>
          <w:rFonts w:ascii="Arial" w:hAnsi="Arial" w:cs="Arial"/>
          <w:b/>
          <w:sz w:val="24"/>
          <w:szCs w:val="24"/>
        </w:rPr>
        <w:t xml:space="preserve">               </w:t>
      </w:r>
      <w:r w:rsidR="00BB158F">
        <w:rPr>
          <w:rFonts w:ascii="Arial" w:hAnsi="Arial" w:cs="Arial"/>
          <w:b/>
          <w:sz w:val="24"/>
          <w:szCs w:val="24"/>
        </w:rPr>
        <w:t xml:space="preserve">  </w:t>
      </w:r>
      <w:r w:rsidRPr="00E34EF9">
        <w:rPr>
          <w:rFonts w:ascii="Arial" w:hAnsi="Arial" w:cs="Arial"/>
          <w:b/>
          <w:sz w:val="24"/>
          <w:szCs w:val="24"/>
        </w:rPr>
        <w:t xml:space="preserve">    </w:t>
      </w:r>
      <w:r w:rsidR="00C24587">
        <w:rPr>
          <w:rFonts w:ascii="Arial" w:hAnsi="Arial" w:cs="Arial"/>
          <w:b/>
          <w:sz w:val="24"/>
          <w:szCs w:val="24"/>
        </w:rPr>
        <w:t xml:space="preserve">                  </w:t>
      </w:r>
      <w:r w:rsidRPr="00E34EF9">
        <w:rPr>
          <w:rFonts w:ascii="Arial" w:hAnsi="Arial" w:cs="Arial"/>
          <w:b/>
          <w:sz w:val="24"/>
          <w:szCs w:val="24"/>
        </w:rPr>
        <w:t>8)</w:t>
      </w:r>
      <w:r>
        <w:rPr>
          <w:rFonts w:ascii="Arial" w:hAnsi="Arial" w:cs="Arial"/>
          <w:sz w:val="24"/>
          <w:szCs w:val="24"/>
        </w:rPr>
        <w:t xml:space="preserve"> que al respe</w:t>
      </w:r>
      <w:r w:rsidR="000C3AC5">
        <w:rPr>
          <w:rFonts w:ascii="Arial" w:hAnsi="Arial" w:cs="Arial"/>
          <w:sz w:val="24"/>
          <w:szCs w:val="24"/>
        </w:rPr>
        <w:t>c</w:t>
      </w:r>
      <w:r>
        <w:rPr>
          <w:rFonts w:ascii="Arial" w:hAnsi="Arial" w:cs="Arial"/>
          <w:sz w:val="24"/>
          <w:szCs w:val="24"/>
        </w:rPr>
        <w:t>to</w:t>
      </w:r>
      <w:r w:rsidR="000C3AC5">
        <w:rPr>
          <w:rFonts w:ascii="Arial" w:hAnsi="Arial" w:cs="Arial"/>
          <w:sz w:val="24"/>
          <w:szCs w:val="24"/>
        </w:rPr>
        <w:t>,</w:t>
      </w:r>
      <w:r>
        <w:rPr>
          <w:rFonts w:ascii="Arial" w:hAnsi="Arial" w:cs="Arial"/>
          <w:sz w:val="24"/>
          <w:szCs w:val="24"/>
        </w:rPr>
        <w:t xml:space="preserve"> la Jefa de Contrataciones-Gerencia  de Sector Compras, en su  informe de fecha 16.5.19 manifiesta que: </w:t>
      </w:r>
      <w:r w:rsidR="00E34EF9" w:rsidRPr="00E34EF9">
        <w:rPr>
          <w:rFonts w:ascii="Arial" w:hAnsi="Arial" w:cs="Arial"/>
          <w:b/>
          <w:sz w:val="24"/>
          <w:szCs w:val="24"/>
        </w:rPr>
        <w:t>8.</w:t>
      </w:r>
      <w:r w:rsidRPr="00E34EF9">
        <w:rPr>
          <w:rFonts w:ascii="Arial" w:hAnsi="Arial" w:cs="Arial"/>
          <w:b/>
          <w:sz w:val="24"/>
          <w:szCs w:val="24"/>
        </w:rPr>
        <w:t>1)</w:t>
      </w:r>
      <w:r>
        <w:rPr>
          <w:rFonts w:ascii="Arial" w:hAnsi="Arial" w:cs="Arial"/>
          <w:sz w:val="24"/>
          <w:szCs w:val="24"/>
        </w:rPr>
        <w:t xml:space="preserve"> </w:t>
      </w:r>
      <w:r w:rsidR="00BB62C6">
        <w:rPr>
          <w:rFonts w:ascii="Arial" w:hAnsi="Arial" w:cs="Arial"/>
          <w:sz w:val="24"/>
          <w:szCs w:val="24"/>
        </w:rPr>
        <w:t xml:space="preserve"> </w:t>
      </w:r>
      <w:r w:rsidR="000C3AC5">
        <w:rPr>
          <w:rFonts w:ascii="Arial" w:hAnsi="Arial" w:cs="Arial"/>
          <w:sz w:val="24"/>
          <w:szCs w:val="24"/>
        </w:rPr>
        <w:t>el</w:t>
      </w:r>
      <w:r w:rsidR="00BB62C6">
        <w:rPr>
          <w:rFonts w:ascii="Arial" w:hAnsi="Arial" w:cs="Arial"/>
          <w:sz w:val="24"/>
          <w:szCs w:val="24"/>
        </w:rPr>
        <w:t xml:space="preserve"> artículo 66</w:t>
      </w:r>
      <w:r>
        <w:rPr>
          <w:rFonts w:ascii="Arial" w:hAnsi="Arial" w:cs="Arial"/>
          <w:sz w:val="24"/>
          <w:szCs w:val="24"/>
        </w:rPr>
        <w:t xml:space="preserve"> </w:t>
      </w:r>
      <w:r w:rsidR="00BB62C6">
        <w:rPr>
          <w:rFonts w:ascii="Arial" w:hAnsi="Arial" w:cs="Arial"/>
          <w:sz w:val="24"/>
          <w:szCs w:val="24"/>
        </w:rPr>
        <w:t>d</w:t>
      </w:r>
      <w:r>
        <w:rPr>
          <w:rFonts w:ascii="Arial" w:hAnsi="Arial" w:cs="Arial"/>
          <w:sz w:val="24"/>
          <w:szCs w:val="24"/>
        </w:rPr>
        <w:t>el TOCAF</w:t>
      </w:r>
      <w:r w:rsidR="00BB62C6">
        <w:rPr>
          <w:rFonts w:ascii="Arial" w:hAnsi="Arial" w:cs="Arial"/>
          <w:sz w:val="24"/>
          <w:szCs w:val="24"/>
        </w:rPr>
        <w:t xml:space="preserve"> que regula la actuación de las Comisiones Asesoras </w:t>
      </w:r>
      <w:r>
        <w:rPr>
          <w:rFonts w:ascii="Arial" w:hAnsi="Arial" w:cs="Arial"/>
          <w:sz w:val="24"/>
          <w:szCs w:val="24"/>
        </w:rPr>
        <w:t xml:space="preserve"> no exige</w:t>
      </w:r>
      <w:r w:rsidR="00BB62C6">
        <w:rPr>
          <w:rFonts w:ascii="Arial" w:hAnsi="Arial" w:cs="Arial"/>
          <w:sz w:val="24"/>
          <w:szCs w:val="24"/>
        </w:rPr>
        <w:t xml:space="preserve"> </w:t>
      </w:r>
      <w:r>
        <w:rPr>
          <w:rFonts w:ascii="Arial" w:hAnsi="Arial" w:cs="Arial"/>
          <w:sz w:val="24"/>
          <w:szCs w:val="24"/>
        </w:rPr>
        <w:t>que se deje constancia de cada actividad conducente a la emisión  de su opinión, sino que s</w:t>
      </w:r>
      <w:r w:rsidR="00E34EF9">
        <w:rPr>
          <w:rFonts w:ascii="Arial" w:hAnsi="Arial" w:cs="Arial"/>
          <w:sz w:val="24"/>
          <w:szCs w:val="24"/>
        </w:rPr>
        <w:t xml:space="preserve">olo impone  </w:t>
      </w:r>
      <w:r w:rsidR="00BB62C6">
        <w:rPr>
          <w:rFonts w:ascii="Arial" w:hAnsi="Arial" w:cs="Arial"/>
          <w:sz w:val="24"/>
          <w:szCs w:val="24"/>
        </w:rPr>
        <w:t>la realización de un informe</w:t>
      </w:r>
      <w:r w:rsidR="00E34EF9">
        <w:rPr>
          <w:rFonts w:ascii="Arial" w:hAnsi="Arial" w:cs="Arial"/>
          <w:sz w:val="24"/>
          <w:szCs w:val="24"/>
        </w:rPr>
        <w:t xml:space="preserve"> </w:t>
      </w:r>
      <w:r w:rsidR="00BB62C6">
        <w:rPr>
          <w:rFonts w:ascii="Arial" w:hAnsi="Arial" w:cs="Arial"/>
          <w:sz w:val="24"/>
          <w:szCs w:val="24"/>
        </w:rPr>
        <w:t>final</w:t>
      </w:r>
      <w:r w:rsidR="00E34EF9">
        <w:rPr>
          <w:rFonts w:ascii="Arial" w:hAnsi="Arial" w:cs="Arial"/>
          <w:sz w:val="24"/>
          <w:szCs w:val="24"/>
        </w:rPr>
        <w:t xml:space="preserve">. </w:t>
      </w:r>
      <w:r w:rsidR="00E34EF9" w:rsidRPr="00E34EF9">
        <w:rPr>
          <w:rFonts w:ascii="Arial" w:hAnsi="Arial" w:cs="Arial"/>
          <w:b/>
          <w:sz w:val="24"/>
          <w:szCs w:val="24"/>
        </w:rPr>
        <w:t>8.</w:t>
      </w:r>
      <w:r w:rsidRPr="00E34EF9">
        <w:rPr>
          <w:rFonts w:ascii="Arial" w:hAnsi="Arial" w:cs="Arial"/>
          <w:b/>
          <w:sz w:val="24"/>
          <w:szCs w:val="24"/>
        </w:rPr>
        <w:t>2)</w:t>
      </w:r>
      <w:r>
        <w:rPr>
          <w:rFonts w:ascii="Arial" w:hAnsi="Arial" w:cs="Arial"/>
          <w:sz w:val="24"/>
          <w:szCs w:val="24"/>
        </w:rPr>
        <w:t xml:space="preserve"> Por otra parte, señala que al momento de pronunciarse sobre la admisibi</w:t>
      </w:r>
      <w:r w:rsidR="000C3AC5">
        <w:rPr>
          <w:rFonts w:ascii="Arial" w:hAnsi="Arial" w:cs="Arial"/>
          <w:sz w:val="24"/>
          <w:szCs w:val="24"/>
        </w:rPr>
        <w:t xml:space="preserve">lidad de las </w:t>
      </w:r>
      <w:r w:rsidR="000C3AC5">
        <w:rPr>
          <w:rFonts w:ascii="Arial" w:hAnsi="Arial" w:cs="Arial"/>
          <w:sz w:val="24"/>
          <w:szCs w:val="24"/>
        </w:rPr>
        <w:lastRenderedPageBreak/>
        <w:t>propuestas, realizó</w:t>
      </w:r>
      <w:r>
        <w:rPr>
          <w:rFonts w:ascii="Arial" w:hAnsi="Arial" w:cs="Arial"/>
          <w:sz w:val="24"/>
          <w:szCs w:val="24"/>
        </w:rPr>
        <w:t xml:space="preserve"> el análisis de los requisitos establecidos en el </w:t>
      </w:r>
      <w:r w:rsidR="00BB158F">
        <w:rPr>
          <w:rFonts w:ascii="Arial" w:hAnsi="Arial" w:cs="Arial"/>
          <w:sz w:val="24"/>
          <w:szCs w:val="24"/>
        </w:rPr>
        <w:t>Pliego y a</w:t>
      </w:r>
      <w:r>
        <w:rPr>
          <w:rFonts w:ascii="Arial" w:hAnsi="Arial" w:cs="Arial"/>
          <w:sz w:val="24"/>
          <w:szCs w:val="24"/>
        </w:rPr>
        <w:t>grega que no fueron únicamente</w:t>
      </w:r>
      <w:r w:rsidR="00E34EF9">
        <w:rPr>
          <w:rFonts w:ascii="Arial" w:hAnsi="Arial" w:cs="Arial"/>
          <w:sz w:val="24"/>
          <w:szCs w:val="24"/>
        </w:rPr>
        <w:t xml:space="preserve"> los</w:t>
      </w:r>
      <w:r>
        <w:rPr>
          <w:rFonts w:ascii="Arial" w:hAnsi="Arial" w:cs="Arial"/>
          <w:sz w:val="24"/>
          <w:szCs w:val="24"/>
        </w:rPr>
        <w:t xml:space="preserve"> puntos 1.3 (antecedentes), 1.4 (visita obligatoria) y 1.5 (información a integrar en la oferta) los que se tomaron en cuenta, sino que se analizaron todos los requisitos exigible</w:t>
      </w:r>
      <w:r w:rsidR="00E34EF9">
        <w:rPr>
          <w:rFonts w:ascii="Arial" w:hAnsi="Arial" w:cs="Arial"/>
          <w:sz w:val="24"/>
          <w:szCs w:val="24"/>
        </w:rPr>
        <w:t>s</w:t>
      </w:r>
      <w:r>
        <w:rPr>
          <w:rFonts w:ascii="Arial" w:hAnsi="Arial" w:cs="Arial"/>
          <w:sz w:val="24"/>
          <w:szCs w:val="24"/>
        </w:rPr>
        <w:t>, no considerán</w:t>
      </w:r>
      <w:r w:rsidR="00E34EF9">
        <w:rPr>
          <w:rFonts w:ascii="Arial" w:hAnsi="Arial" w:cs="Arial"/>
          <w:sz w:val="24"/>
          <w:szCs w:val="24"/>
        </w:rPr>
        <w:t>dose relevante dejarlo consignado en el informe;</w:t>
      </w:r>
    </w:p>
    <w:p w:rsidR="00A07C9D" w:rsidRDefault="00A07C9D" w:rsidP="00C24587">
      <w:pPr>
        <w:spacing w:after="0" w:line="360" w:lineRule="auto"/>
        <w:ind w:firstLine="708"/>
        <w:jc w:val="both"/>
        <w:rPr>
          <w:rFonts w:ascii="Arial" w:hAnsi="Arial" w:cs="Arial"/>
          <w:sz w:val="24"/>
          <w:szCs w:val="24"/>
        </w:rPr>
      </w:pPr>
      <w:r w:rsidRPr="00524CFC">
        <w:rPr>
          <w:rFonts w:ascii="Arial" w:hAnsi="Arial" w:cs="Arial"/>
          <w:b/>
          <w:sz w:val="24"/>
          <w:szCs w:val="24"/>
        </w:rPr>
        <w:t>CONSIDERANDO: 1)</w:t>
      </w:r>
      <w:r>
        <w:rPr>
          <w:rFonts w:ascii="Arial" w:hAnsi="Arial" w:cs="Arial"/>
          <w:sz w:val="24"/>
          <w:szCs w:val="24"/>
        </w:rPr>
        <w:t xml:space="preserve"> que el procedimiento se ajustó a lo dispuesto por el art. 33 y siguientes del TOCAF;</w:t>
      </w:r>
    </w:p>
    <w:p w:rsidR="00A07C9D" w:rsidRDefault="00A07C9D" w:rsidP="00A07C9D">
      <w:pPr>
        <w:spacing w:after="0" w:line="360" w:lineRule="auto"/>
        <w:jc w:val="both"/>
        <w:rPr>
          <w:rFonts w:ascii="Arial" w:hAnsi="Arial" w:cs="Arial"/>
          <w:sz w:val="24"/>
          <w:szCs w:val="24"/>
        </w:rPr>
      </w:pPr>
      <w:r>
        <w:rPr>
          <w:rFonts w:ascii="Arial" w:hAnsi="Arial" w:cs="Arial"/>
          <w:sz w:val="24"/>
          <w:szCs w:val="24"/>
        </w:rPr>
        <w:t xml:space="preserve">                                    </w:t>
      </w:r>
      <w:r w:rsidR="00C24587">
        <w:rPr>
          <w:rFonts w:ascii="Arial" w:hAnsi="Arial" w:cs="Arial"/>
          <w:sz w:val="24"/>
          <w:szCs w:val="24"/>
        </w:rPr>
        <w:t xml:space="preserve">    </w:t>
      </w:r>
      <w:r w:rsidRPr="00524CFC">
        <w:rPr>
          <w:rFonts w:ascii="Arial" w:hAnsi="Arial" w:cs="Arial"/>
          <w:b/>
          <w:sz w:val="24"/>
          <w:szCs w:val="24"/>
        </w:rPr>
        <w:t>2)</w:t>
      </w:r>
      <w:r>
        <w:rPr>
          <w:rFonts w:ascii="Arial" w:hAnsi="Arial" w:cs="Arial"/>
          <w:sz w:val="24"/>
          <w:szCs w:val="24"/>
        </w:rPr>
        <w:t xml:space="preserve"> que no obstante, no se dio cumplimiento a lo dispuesto por el art. 15 del TOCAF, al disponer un gasto sin disponibilidad presupuestal para el ejercicio 2019;</w:t>
      </w:r>
    </w:p>
    <w:p w:rsidR="00A07C9D" w:rsidRDefault="00A07C9D" w:rsidP="00C24587">
      <w:pPr>
        <w:spacing w:after="0" w:line="360" w:lineRule="auto"/>
        <w:ind w:firstLine="708"/>
        <w:jc w:val="both"/>
        <w:rPr>
          <w:rFonts w:ascii="Arial" w:hAnsi="Arial" w:cs="Arial"/>
          <w:sz w:val="24"/>
          <w:szCs w:val="24"/>
        </w:rPr>
      </w:pPr>
      <w:r w:rsidRPr="00524CFC">
        <w:rPr>
          <w:rFonts w:ascii="Arial" w:hAnsi="Arial" w:cs="Arial"/>
          <w:b/>
          <w:sz w:val="24"/>
          <w:szCs w:val="24"/>
        </w:rPr>
        <w:t>ATENTO:</w:t>
      </w:r>
      <w:r>
        <w:rPr>
          <w:rFonts w:ascii="Arial" w:hAnsi="Arial" w:cs="Arial"/>
          <w:sz w:val="24"/>
          <w:szCs w:val="24"/>
        </w:rPr>
        <w:t xml:space="preserve"> a lo expuesto precedentemente y a lo dispuesto por el art. 211 lit. B) de la Constitución</w:t>
      </w:r>
      <w:r w:rsidR="00C24587">
        <w:rPr>
          <w:rFonts w:ascii="Arial" w:hAnsi="Arial" w:cs="Arial"/>
          <w:sz w:val="24"/>
          <w:szCs w:val="24"/>
        </w:rPr>
        <w:t xml:space="preserve"> de la República</w:t>
      </w:r>
      <w:r>
        <w:rPr>
          <w:rFonts w:ascii="Arial" w:hAnsi="Arial" w:cs="Arial"/>
          <w:sz w:val="24"/>
          <w:szCs w:val="24"/>
        </w:rPr>
        <w:t>;</w:t>
      </w:r>
    </w:p>
    <w:p w:rsidR="00A07C9D" w:rsidRPr="00524CFC" w:rsidRDefault="00A07C9D" w:rsidP="00A07C9D">
      <w:pPr>
        <w:spacing w:after="0" w:line="360" w:lineRule="auto"/>
        <w:jc w:val="center"/>
        <w:rPr>
          <w:rFonts w:ascii="Arial" w:hAnsi="Arial" w:cs="Arial"/>
          <w:b/>
          <w:sz w:val="24"/>
          <w:szCs w:val="24"/>
        </w:rPr>
      </w:pPr>
      <w:r w:rsidRPr="00524CFC">
        <w:rPr>
          <w:rFonts w:ascii="Arial" w:hAnsi="Arial" w:cs="Arial"/>
          <w:b/>
          <w:sz w:val="24"/>
          <w:szCs w:val="24"/>
        </w:rPr>
        <w:t>EL TRIBUNAL ACUERDA</w:t>
      </w:r>
    </w:p>
    <w:p w:rsidR="00A07C9D" w:rsidRPr="00524CFC" w:rsidRDefault="00A07C9D" w:rsidP="00BB158F">
      <w:pPr>
        <w:pStyle w:val="Prrafodelista"/>
        <w:numPr>
          <w:ilvl w:val="0"/>
          <w:numId w:val="1"/>
        </w:numPr>
        <w:spacing w:after="0" w:line="360" w:lineRule="auto"/>
        <w:jc w:val="both"/>
        <w:rPr>
          <w:rFonts w:ascii="Arial" w:hAnsi="Arial" w:cs="Arial"/>
          <w:sz w:val="24"/>
          <w:szCs w:val="24"/>
        </w:rPr>
      </w:pPr>
      <w:r w:rsidRPr="00524CFC">
        <w:rPr>
          <w:rFonts w:ascii="Arial" w:hAnsi="Arial" w:cs="Arial"/>
          <w:sz w:val="24"/>
          <w:szCs w:val="24"/>
        </w:rPr>
        <w:t>Observar el gasto de $ 26.880.000 neto de impuesto co</w:t>
      </w:r>
      <w:r w:rsidR="00BB158F">
        <w:rPr>
          <w:rFonts w:ascii="Arial" w:hAnsi="Arial" w:cs="Arial"/>
          <w:sz w:val="24"/>
          <w:szCs w:val="24"/>
        </w:rPr>
        <w:t xml:space="preserve">rrespondiente al Ejercicio 2019, por lo expresado en el Considerando 2); </w:t>
      </w:r>
    </w:p>
    <w:p w:rsidR="00A07C9D" w:rsidRDefault="00A07C9D" w:rsidP="00BB158F">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Cometer al Contador Delegado la intervención d</w:t>
      </w:r>
      <w:r w:rsidR="00BB158F">
        <w:rPr>
          <w:rFonts w:ascii="Arial" w:hAnsi="Arial" w:cs="Arial"/>
          <w:sz w:val="24"/>
          <w:szCs w:val="24"/>
        </w:rPr>
        <w:t xml:space="preserve">el saldo correspondiente al  Ejercicio 2020 y siguientes, </w:t>
      </w:r>
      <w:r>
        <w:rPr>
          <w:rFonts w:ascii="Arial" w:hAnsi="Arial" w:cs="Arial"/>
          <w:sz w:val="24"/>
          <w:szCs w:val="24"/>
        </w:rPr>
        <w:t xml:space="preserve"> previo control de la imputación en el grupo adecuado con disponibilidad suficiente.</w:t>
      </w:r>
    </w:p>
    <w:p w:rsidR="00A07C9D" w:rsidRDefault="00A07C9D" w:rsidP="00BB158F">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Comunicar al Contador Delega</w:t>
      </w:r>
      <w:r w:rsidR="00BB158F">
        <w:rPr>
          <w:rFonts w:ascii="Arial" w:hAnsi="Arial" w:cs="Arial"/>
          <w:sz w:val="24"/>
          <w:szCs w:val="24"/>
        </w:rPr>
        <w:t xml:space="preserve">do; y  </w:t>
      </w:r>
    </w:p>
    <w:p w:rsidR="00A07C9D" w:rsidRPr="000B361C" w:rsidRDefault="00A07C9D" w:rsidP="00BB158F">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Devolver las actuaciones.</w:t>
      </w:r>
    </w:p>
    <w:p w:rsidR="00A07C9D" w:rsidRDefault="00A07C9D" w:rsidP="00BB158F">
      <w:pPr>
        <w:spacing w:after="0" w:line="360" w:lineRule="auto"/>
        <w:jc w:val="both"/>
        <w:rPr>
          <w:rFonts w:ascii="Arial" w:hAnsi="Arial" w:cs="Arial"/>
          <w:sz w:val="24"/>
          <w:szCs w:val="24"/>
        </w:rPr>
      </w:pPr>
    </w:p>
    <w:p w:rsidR="00BB158F" w:rsidRDefault="00BB158F" w:rsidP="00BB158F">
      <w:pPr>
        <w:spacing w:after="0" w:line="360" w:lineRule="auto"/>
        <w:jc w:val="both"/>
        <w:rPr>
          <w:rFonts w:ascii="Arial" w:hAnsi="Arial" w:cs="Arial"/>
          <w:sz w:val="24"/>
          <w:szCs w:val="24"/>
        </w:rPr>
      </w:pPr>
    </w:p>
    <w:p w:rsidR="00BB158F" w:rsidRDefault="00BB158F" w:rsidP="00BB158F">
      <w:pPr>
        <w:spacing w:after="0" w:line="360" w:lineRule="auto"/>
        <w:jc w:val="both"/>
        <w:rPr>
          <w:rFonts w:ascii="Arial" w:hAnsi="Arial" w:cs="Arial"/>
          <w:sz w:val="24"/>
          <w:szCs w:val="24"/>
        </w:rPr>
      </w:pPr>
    </w:p>
    <w:p w:rsidR="00A07C9D" w:rsidRDefault="00C24587" w:rsidP="00BB158F">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p w:rsidR="00673AC5" w:rsidRDefault="00673AC5" w:rsidP="00BB158F">
      <w:pPr>
        <w:spacing w:after="0" w:line="360" w:lineRule="auto"/>
        <w:jc w:val="both"/>
        <w:rPr>
          <w:rFonts w:ascii="Arial" w:hAnsi="Arial" w:cs="Arial"/>
          <w:sz w:val="24"/>
          <w:szCs w:val="24"/>
        </w:rPr>
      </w:pPr>
    </w:p>
    <w:p w:rsidR="00A9450B" w:rsidRDefault="00A9450B" w:rsidP="00BB158F">
      <w:pPr>
        <w:spacing w:after="0" w:line="360" w:lineRule="auto"/>
        <w:jc w:val="both"/>
        <w:rPr>
          <w:rFonts w:ascii="Arial" w:hAnsi="Arial" w:cs="Arial"/>
          <w:sz w:val="24"/>
          <w:szCs w:val="24"/>
        </w:rPr>
      </w:pPr>
      <w:r>
        <w:rPr>
          <w:rFonts w:ascii="Arial" w:hAnsi="Arial" w:cs="Arial"/>
          <w:sz w:val="24"/>
          <w:szCs w:val="24"/>
        </w:rPr>
        <w:t xml:space="preserve"> </w:t>
      </w:r>
    </w:p>
    <w:p w:rsidR="009B7CAB" w:rsidRPr="009B7CAB" w:rsidRDefault="009B7CAB" w:rsidP="00BB158F">
      <w:pPr>
        <w:spacing w:line="360" w:lineRule="auto"/>
        <w:jc w:val="both"/>
        <w:rPr>
          <w:rFonts w:ascii="Arial" w:hAnsi="Arial" w:cs="Arial"/>
          <w:sz w:val="24"/>
          <w:szCs w:val="24"/>
        </w:rPr>
      </w:pPr>
    </w:p>
    <w:sectPr w:rsidR="009B7CAB" w:rsidRPr="009B7CAB" w:rsidSect="00C24587">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103F9"/>
    <w:multiLevelType w:val="hybridMultilevel"/>
    <w:tmpl w:val="9C0634F6"/>
    <w:lvl w:ilvl="0" w:tplc="0BE81C76">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CAB"/>
    <w:rsid w:val="000B361C"/>
    <w:rsid w:val="000C3AC5"/>
    <w:rsid w:val="000C453A"/>
    <w:rsid w:val="001B133A"/>
    <w:rsid w:val="00270BE2"/>
    <w:rsid w:val="002E1EAD"/>
    <w:rsid w:val="002E5CA1"/>
    <w:rsid w:val="00457BBC"/>
    <w:rsid w:val="004F24B3"/>
    <w:rsid w:val="00524CFC"/>
    <w:rsid w:val="00582AAD"/>
    <w:rsid w:val="0058515B"/>
    <w:rsid w:val="00673AC5"/>
    <w:rsid w:val="006F5606"/>
    <w:rsid w:val="007972F5"/>
    <w:rsid w:val="007B445B"/>
    <w:rsid w:val="008872C9"/>
    <w:rsid w:val="009B7CAB"/>
    <w:rsid w:val="00A07C9D"/>
    <w:rsid w:val="00A3634A"/>
    <w:rsid w:val="00A57CE8"/>
    <w:rsid w:val="00A9450B"/>
    <w:rsid w:val="00B339D4"/>
    <w:rsid w:val="00BB158F"/>
    <w:rsid w:val="00BB62C6"/>
    <w:rsid w:val="00BB6BFB"/>
    <w:rsid w:val="00C24587"/>
    <w:rsid w:val="00C31CE1"/>
    <w:rsid w:val="00C83613"/>
    <w:rsid w:val="00D66E28"/>
    <w:rsid w:val="00E34EF9"/>
    <w:rsid w:val="00FD73F1"/>
    <w:rsid w:val="00FE0ED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7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361C"/>
    <w:pPr>
      <w:ind w:left="720"/>
      <w:contextualSpacing/>
    </w:pPr>
  </w:style>
  <w:style w:type="paragraph" w:styleId="Textodeglobo">
    <w:name w:val="Balloon Text"/>
    <w:basedOn w:val="Normal"/>
    <w:link w:val="TextodegloboCar"/>
    <w:uiPriority w:val="99"/>
    <w:semiHidden/>
    <w:unhideWhenUsed/>
    <w:rsid w:val="00C245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45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7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361C"/>
    <w:pPr>
      <w:ind w:left="720"/>
      <w:contextualSpacing/>
    </w:pPr>
  </w:style>
  <w:style w:type="paragraph" w:styleId="Textodeglobo">
    <w:name w:val="Balloon Text"/>
    <w:basedOn w:val="Normal"/>
    <w:link w:val="TextodegloboCar"/>
    <w:uiPriority w:val="99"/>
    <w:semiHidden/>
    <w:unhideWhenUsed/>
    <w:rsid w:val="00C245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4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4050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2019-06-06T18:41:00Z</cp:lastPrinted>
  <dcterms:created xsi:type="dcterms:W3CDTF">2019-06-06T18:41:00Z</dcterms:created>
  <dcterms:modified xsi:type="dcterms:W3CDTF">2019-06-06T18:41:00Z</dcterms:modified>
</cp:coreProperties>
</file>