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648" w:rsidRPr="00CB3648" w:rsidRDefault="00CB3648" w:rsidP="00CB3648">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1369/19</w:t>
      </w:r>
    </w:p>
    <w:p w:rsidR="00CB3648" w:rsidRPr="00CB3648" w:rsidRDefault="00CB3648" w:rsidP="00CB3648">
      <w:pPr>
        <w:tabs>
          <w:tab w:val="center" w:pos="4253"/>
        </w:tabs>
        <w:suppressAutoHyphens/>
        <w:spacing w:after="0" w:line="240" w:lineRule="auto"/>
        <w:jc w:val="center"/>
        <w:rPr>
          <w:rFonts w:ascii="Arial" w:hAnsi="Arial" w:cs="Arial"/>
          <w:b/>
          <w:sz w:val="24"/>
          <w:szCs w:val="24"/>
          <w:lang w:val="es-ES_tradnl"/>
        </w:rPr>
      </w:pPr>
      <w:r w:rsidRPr="00CB3648">
        <w:rPr>
          <w:rFonts w:ascii="Arial" w:hAnsi="Arial" w:cs="Arial"/>
          <w:b/>
          <w:sz w:val="24"/>
          <w:szCs w:val="24"/>
          <w:lang w:val="es-ES_tradnl"/>
        </w:rPr>
        <w:t>RESOLUCION ADOPTADA POR EL</w:t>
      </w:r>
    </w:p>
    <w:p w:rsidR="00CB3648" w:rsidRPr="00CB3648" w:rsidRDefault="00CB3648" w:rsidP="00CB3648">
      <w:pPr>
        <w:tabs>
          <w:tab w:val="left" w:pos="-720"/>
        </w:tabs>
        <w:suppressAutoHyphens/>
        <w:spacing w:after="0" w:line="240" w:lineRule="auto"/>
        <w:jc w:val="center"/>
        <w:rPr>
          <w:rFonts w:ascii="Arial" w:hAnsi="Arial" w:cs="Arial"/>
          <w:b/>
          <w:sz w:val="24"/>
          <w:szCs w:val="24"/>
          <w:lang w:val="es-ES_tradnl"/>
        </w:rPr>
      </w:pPr>
    </w:p>
    <w:p w:rsidR="00CB3648" w:rsidRPr="00CB3648" w:rsidRDefault="00CB3648" w:rsidP="00CB3648">
      <w:pPr>
        <w:tabs>
          <w:tab w:val="center" w:pos="4253"/>
        </w:tabs>
        <w:suppressAutoHyphens/>
        <w:spacing w:after="0" w:line="240" w:lineRule="auto"/>
        <w:jc w:val="center"/>
        <w:rPr>
          <w:rFonts w:ascii="Arial" w:hAnsi="Arial" w:cs="Arial"/>
          <w:b/>
          <w:sz w:val="24"/>
          <w:szCs w:val="24"/>
          <w:lang w:val="es-ES_tradnl"/>
        </w:rPr>
      </w:pPr>
      <w:r w:rsidRPr="00CB3648">
        <w:rPr>
          <w:rFonts w:ascii="Arial" w:hAnsi="Arial" w:cs="Arial"/>
          <w:b/>
          <w:sz w:val="24"/>
          <w:szCs w:val="24"/>
          <w:lang w:val="es-ES_tradnl"/>
        </w:rPr>
        <w:t>TRIBUNAL DE CUENTAS</w:t>
      </w:r>
    </w:p>
    <w:p w:rsidR="00CB3648" w:rsidRPr="00CB3648" w:rsidRDefault="00CB3648" w:rsidP="00CB3648">
      <w:pPr>
        <w:tabs>
          <w:tab w:val="left" w:pos="-720"/>
        </w:tabs>
        <w:suppressAutoHyphens/>
        <w:spacing w:after="0" w:line="240" w:lineRule="auto"/>
        <w:jc w:val="center"/>
        <w:rPr>
          <w:rFonts w:ascii="Arial" w:hAnsi="Arial" w:cs="Arial"/>
          <w:b/>
          <w:sz w:val="24"/>
          <w:szCs w:val="24"/>
          <w:lang w:val="es-ES_tradnl"/>
        </w:rPr>
      </w:pPr>
    </w:p>
    <w:p w:rsidR="00CB3648" w:rsidRPr="00CB3648" w:rsidRDefault="00CB3648" w:rsidP="00CB3648">
      <w:pPr>
        <w:tabs>
          <w:tab w:val="center" w:pos="4253"/>
        </w:tabs>
        <w:suppressAutoHyphens/>
        <w:spacing w:after="0" w:line="240" w:lineRule="auto"/>
        <w:jc w:val="center"/>
        <w:rPr>
          <w:rFonts w:ascii="Arial" w:hAnsi="Arial" w:cs="Arial"/>
          <w:b/>
          <w:sz w:val="24"/>
          <w:szCs w:val="24"/>
          <w:lang w:val="es-ES_tradnl"/>
        </w:rPr>
      </w:pPr>
      <w:r w:rsidRPr="00CB3648">
        <w:rPr>
          <w:rFonts w:ascii="Arial" w:hAnsi="Arial" w:cs="Arial"/>
          <w:b/>
          <w:sz w:val="24"/>
          <w:szCs w:val="24"/>
          <w:lang w:val="es-ES_tradnl"/>
        </w:rPr>
        <w:t xml:space="preserve">EN SESION DE FECHA 5 DE JUNIO </w:t>
      </w:r>
      <w:r w:rsidRPr="00CB3648">
        <w:rPr>
          <w:rFonts w:ascii="Helvetica" w:hAnsi="Helvetica"/>
          <w:b/>
          <w:sz w:val="24"/>
          <w:szCs w:val="24"/>
          <w:lang w:val="es-ES_tradnl"/>
        </w:rPr>
        <w:t>DE 2019</w:t>
      </w:r>
    </w:p>
    <w:p w:rsidR="00CB3648" w:rsidRPr="00CB3648" w:rsidRDefault="00CB3648" w:rsidP="00CB3648">
      <w:pPr>
        <w:tabs>
          <w:tab w:val="center" w:pos="4253"/>
        </w:tabs>
        <w:suppressAutoHyphens/>
        <w:spacing w:after="0" w:line="240" w:lineRule="auto"/>
        <w:jc w:val="center"/>
        <w:rPr>
          <w:rFonts w:ascii="Arial" w:hAnsi="Arial" w:cs="Arial"/>
          <w:b/>
          <w:sz w:val="24"/>
          <w:szCs w:val="24"/>
          <w:lang w:val="es-ES_tradnl"/>
        </w:rPr>
      </w:pPr>
    </w:p>
    <w:p w:rsidR="009C26BE" w:rsidRPr="00DA021E" w:rsidRDefault="00CB3648" w:rsidP="00CB3648">
      <w:pPr>
        <w:tabs>
          <w:tab w:val="center" w:pos="4253"/>
        </w:tabs>
        <w:suppressAutoHyphens/>
        <w:spacing w:after="0" w:line="240" w:lineRule="auto"/>
        <w:jc w:val="center"/>
        <w:rPr>
          <w:rFonts w:ascii="Arial" w:hAnsi="Arial" w:cs="Arial"/>
          <w:b/>
          <w:sz w:val="24"/>
          <w:szCs w:val="24"/>
          <w:lang w:val="es-ES"/>
        </w:rPr>
      </w:pPr>
      <w:r w:rsidRPr="008D4641">
        <w:rPr>
          <w:rFonts w:ascii="Arial" w:hAnsi="Arial" w:cs="Arial"/>
          <w:b/>
          <w:sz w:val="24"/>
          <w:szCs w:val="24"/>
          <w:lang w:val="es-ES"/>
        </w:rPr>
        <w:t>(E. E. Nº</w:t>
      </w:r>
      <w:proofErr w:type="gramStart"/>
      <w:r w:rsidRPr="00BE6CD0">
        <w:rPr>
          <w:rFonts w:ascii="Arial" w:hAnsi="Arial" w:cs="Arial"/>
          <w:b/>
          <w:sz w:val="24"/>
          <w:szCs w:val="24"/>
        </w:rPr>
        <w:t>2019-17-1-</w:t>
      </w:r>
      <w:r>
        <w:rPr>
          <w:rFonts w:ascii="Arial" w:hAnsi="Arial" w:cs="Arial"/>
          <w:b/>
          <w:sz w:val="24"/>
          <w:szCs w:val="24"/>
        </w:rPr>
        <w:t>0000</w:t>
      </w:r>
      <w:r w:rsidRPr="00BE6CD0">
        <w:rPr>
          <w:rFonts w:ascii="Arial" w:hAnsi="Arial" w:cs="Arial"/>
          <w:b/>
          <w:sz w:val="24"/>
          <w:szCs w:val="24"/>
        </w:rPr>
        <w:t>613</w:t>
      </w:r>
      <w:proofErr w:type="gramEnd"/>
      <w:r w:rsidRPr="008D4641">
        <w:rPr>
          <w:rFonts w:ascii="Arial" w:hAnsi="Arial" w:cs="Arial"/>
          <w:b/>
          <w:sz w:val="24"/>
          <w:szCs w:val="24"/>
          <w:lang w:val="es-ES"/>
        </w:rPr>
        <w:t>, Ent</w:t>
      </w:r>
      <w:r w:rsidR="00DA021E" w:rsidRPr="008D4641">
        <w:rPr>
          <w:rFonts w:ascii="Arial" w:hAnsi="Arial" w:cs="Arial"/>
          <w:b/>
          <w:sz w:val="24"/>
          <w:szCs w:val="24"/>
          <w:lang w:val="es-ES"/>
        </w:rPr>
        <w:t>s</w:t>
      </w:r>
      <w:r w:rsidRPr="008D4641">
        <w:rPr>
          <w:rFonts w:ascii="Arial" w:hAnsi="Arial" w:cs="Arial"/>
          <w:b/>
          <w:sz w:val="24"/>
          <w:szCs w:val="24"/>
          <w:lang w:val="es-ES"/>
        </w:rPr>
        <w:t>.</w:t>
      </w:r>
      <w:r w:rsidRPr="00DA021E">
        <w:rPr>
          <w:rFonts w:ascii="Arial" w:hAnsi="Arial" w:cs="Arial"/>
          <w:b/>
          <w:sz w:val="24"/>
          <w:szCs w:val="24"/>
          <w:lang w:val="es-ES"/>
        </w:rPr>
        <w:t xml:space="preserve"> N°</w:t>
      </w:r>
      <w:r w:rsidRPr="00BE6CD0">
        <w:rPr>
          <w:rFonts w:ascii="Arial" w:hAnsi="Arial" w:cs="Arial"/>
          <w:b/>
          <w:sz w:val="24"/>
          <w:szCs w:val="24"/>
        </w:rPr>
        <w:t>1606</w:t>
      </w:r>
      <w:r>
        <w:rPr>
          <w:rFonts w:ascii="Arial" w:hAnsi="Arial" w:cs="Arial"/>
          <w:b/>
          <w:sz w:val="24"/>
          <w:szCs w:val="24"/>
        </w:rPr>
        <w:t xml:space="preserve"> /19</w:t>
      </w:r>
      <w:r w:rsidR="00DA021E">
        <w:rPr>
          <w:rFonts w:ascii="Arial" w:hAnsi="Arial" w:cs="Arial"/>
          <w:b/>
          <w:sz w:val="24"/>
          <w:szCs w:val="24"/>
        </w:rPr>
        <w:t xml:space="preserve"> y 1697/19</w:t>
      </w:r>
      <w:bookmarkStart w:id="0" w:name="_GoBack"/>
      <w:bookmarkEnd w:id="0"/>
      <w:r w:rsidRPr="00DA021E">
        <w:rPr>
          <w:rFonts w:ascii="Arial" w:hAnsi="Arial" w:cs="Arial"/>
          <w:b/>
          <w:sz w:val="24"/>
          <w:szCs w:val="24"/>
          <w:lang w:val="es-ES"/>
        </w:rPr>
        <w:t>)</w:t>
      </w:r>
    </w:p>
    <w:p w:rsidR="00CB3648" w:rsidRPr="00DA021E" w:rsidRDefault="00CB3648" w:rsidP="00CB3648">
      <w:pPr>
        <w:tabs>
          <w:tab w:val="center" w:pos="4253"/>
        </w:tabs>
        <w:suppressAutoHyphens/>
        <w:spacing w:after="0" w:line="240" w:lineRule="auto"/>
        <w:jc w:val="center"/>
        <w:rPr>
          <w:rFonts w:ascii="Arial" w:hAnsi="Arial" w:cs="Arial"/>
          <w:b/>
          <w:sz w:val="24"/>
          <w:szCs w:val="24"/>
          <w:lang w:val="es-ES"/>
        </w:rPr>
      </w:pPr>
    </w:p>
    <w:p w:rsidR="00E86AA9" w:rsidRPr="007C191A" w:rsidRDefault="00E86AA9" w:rsidP="00CB3648">
      <w:pPr>
        <w:spacing w:after="0" w:line="360" w:lineRule="auto"/>
        <w:ind w:firstLine="851"/>
        <w:jc w:val="both"/>
        <w:rPr>
          <w:rFonts w:ascii="Arial" w:hAnsi="Arial" w:cs="Arial"/>
          <w:sz w:val="24"/>
          <w:szCs w:val="24"/>
        </w:rPr>
      </w:pPr>
      <w:r w:rsidRPr="00ED3C47">
        <w:rPr>
          <w:rFonts w:ascii="Arial" w:hAnsi="Arial" w:cs="Arial"/>
          <w:b/>
          <w:sz w:val="24"/>
          <w:szCs w:val="24"/>
        </w:rPr>
        <w:t>VISTO:</w:t>
      </w:r>
      <w:r w:rsidRPr="00E86AA9">
        <w:rPr>
          <w:rFonts w:ascii="Arial" w:hAnsi="Arial" w:cs="Arial"/>
          <w:sz w:val="24"/>
          <w:szCs w:val="24"/>
        </w:rPr>
        <w:t xml:space="preserve"> </w:t>
      </w:r>
      <w:r>
        <w:rPr>
          <w:rFonts w:ascii="Arial" w:hAnsi="Arial" w:cs="Arial"/>
          <w:sz w:val="24"/>
          <w:szCs w:val="24"/>
        </w:rPr>
        <w:t>las actuaciones  remitidas por e</w:t>
      </w:r>
      <w:r w:rsidRPr="007C191A">
        <w:rPr>
          <w:rFonts w:ascii="Arial" w:hAnsi="Arial" w:cs="Arial"/>
          <w:sz w:val="24"/>
          <w:szCs w:val="24"/>
        </w:rPr>
        <w:t>l Banco Central de Uruguay</w:t>
      </w:r>
      <w:r w:rsidR="00BE6CD0">
        <w:rPr>
          <w:rFonts w:ascii="Arial" w:hAnsi="Arial" w:cs="Arial"/>
          <w:sz w:val="24"/>
          <w:szCs w:val="24"/>
        </w:rPr>
        <w:t xml:space="preserve"> relacionadas </w:t>
      </w:r>
      <w:r w:rsidRPr="007C191A">
        <w:rPr>
          <w:rFonts w:ascii="Arial" w:hAnsi="Arial" w:cs="Arial"/>
          <w:sz w:val="24"/>
          <w:szCs w:val="24"/>
        </w:rPr>
        <w:t xml:space="preserve"> con la contratación de los servicios de  asistencia local prestados por un técnico de  CMA Small </w:t>
      </w:r>
      <w:proofErr w:type="spellStart"/>
      <w:r w:rsidRPr="007C191A">
        <w:rPr>
          <w:rFonts w:ascii="Arial" w:hAnsi="Arial" w:cs="Arial"/>
          <w:sz w:val="24"/>
          <w:szCs w:val="24"/>
        </w:rPr>
        <w:t>Systems</w:t>
      </w:r>
      <w:proofErr w:type="spellEnd"/>
      <w:r w:rsidRPr="007C191A">
        <w:rPr>
          <w:rFonts w:ascii="Arial" w:hAnsi="Arial" w:cs="Arial"/>
          <w:sz w:val="24"/>
          <w:szCs w:val="24"/>
        </w:rPr>
        <w:t xml:space="preserve"> AB, a efectos de la puesta en producción de un sistema de liquidación bruta en tiempo real y del módulo correspondiente al Depositario Central de Valo</w:t>
      </w:r>
      <w:r w:rsidR="00CB3648">
        <w:rPr>
          <w:rFonts w:ascii="Arial" w:hAnsi="Arial" w:cs="Arial"/>
          <w:sz w:val="24"/>
          <w:szCs w:val="24"/>
        </w:rPr>
        <w:t>res;</w:t>
      </w:r>
    </w:p>
    <w:p w:rsidR="00E86AA9" w:rsidRPr="007C191A" w:rsidRDefault="00E86AA9" w:rsidP="00CB3648">
      <w:pPr>
        <w:spacing w:after="0" w:line="360" w:lineRule="auto"/>
        <w:ind w:firstLine="851"/>
        <w:jc w:val="both"/>
        <w:rPr>
          <w:rFonts w:ascii="Arial" w:hAnsi="Arial" w:cs="Arial"/>
          <w:sz w:val="24"/>
          <w:szCs w:val="24"/>
        </w:rPr>
      </w:pPr>
      <w:r w:rsidRPr="00ED3C47">
        <w:rPr>
          <w:rFonts w:ascii="Arial" w:hAnsi="Arial" w:cs="Arial"/>
          <w:b/>
          <w:sz w:val="24"/>
          <w:szCs w:val="24"/>
        </w:rPr>
        <w:t>RESULTANDO: 1)</w:t>
      </w:r>
      <w:r>
        <w:rPr>
          <w:rFonts w:ascii="Arial" w:hAnsi="Arial" w:cs="Arial"/>
          <w:sz w:val="24"/>
          <w:szCs w:val="24"/>
        </w:rPr>
        <w:t xml:space="preserve">  que </w:t>
      </w:r>
      <w:r w:rsidRPr="007C191A">
        <w:rPr>
          <w:rFonts w:ascii="Arial" w:hAnsi="Arial" w:cs="Arial"/>
          <w:sz w:val="24"/>
          <w:szCs w:val="24"/>
        </w:rPr>
        <w:t xml:space="preserve">CMA Small </w:t>
      </w:r>
      <w:proofErr w:type="spellStart"/>
      <w:r w:rsidRPr="007C191A">
        <w:rPr>
          <w:rFonts w:ascii="Arial" w:hAnsi="Arial" w:cs="Arial"/>
          <w:sz w:val="24"/>
          <w:szCs w:val="24"/>
        </w:rPr>
        <w:t>Systems</w:t>
      </w:r>
      <w:proofErr w:type="spellEnd"/>
      <w:r w:rsidRPr="007C191A">
        <w:rPr>
          <w:rFonts w:ascii="Arial" w:hAnsi="Arial" w:cs="Arial"/>
          <w:sz w:val="24"/>
          <w:szCs w:val="24"/>
        </w:rPr>
        <w:t xml:space="preserve"> AB  fue  adjudicatario de la Licitación Pública Nº 2/2008, cuyo objeto fue la adquisición del diseño, suministro, instalación y configuración inicial, implantación, capacitación, garantía, soporte y mantenimiento de versiones de un sistema de liquidación bruta en tiempo real, un sistema de depositario central de valo</w:t>
      </w:r>
      <w:r w:rsidR="00ED3C47">
        <w:rPr>
          <w:rFonts w:ascii="Arial" w:hAnsi="Arial" w:cs="Arial"/>
          <w:sz w:val="24"/>
          <w:szCs w:val="24"/>
        </w:rPr>
        <w:t>res y aplicaciones relacionadas;</w:t>
      </w:r>
    </w:p>
    <w:p w:rsidR="00CB3648" w:rsidRDefault="00E86AA9" w:rsidP="00CB3648">
      <w:pPr>
        <w:spacing w:after="0" w:line="360" w:lineRule="auto"/>
        <w:ind w:firstLine="2694"/>
        <w:jc w:val="both"/>
        <w:rPr>
          <w:rFonts w:ascii="Arial" w:hAnsi="Arial" w:cs="Arial"/>
          <w:sz w:val="24"/>
          <w:szCs w:val="24"/>
        </w:rPr>
      </w:pPr>
      <w:r w:rsidRPr="00ED3C47">
        <w:rPr>
          <w:rFonts w:ascii="Arial" w:hAnsi="Arial" w:cs="Arial"/>
          <w:b/>
          <w:sz w:val="24"/>
          <w:szCs w:val="24"/>
        </w:rPr>
        <w:t>2)</w:t>
      </w:r>
      <w:r w:rsidRPr="007C191A">
        <w:rPr>
          <w:rFonts w:ascii="Arial" w:hAnsi="Arial" w:cs="Arial"/>
          <w:sz w:val="24"/>
          <w:szCs w:val="24"/>
        </w:rPr>
        <w:t xml:space="preserve"> </w:t>
      </w:r>
      <w:r>
        <w:rPr>
          <w:rFonts w:ascii="Arial" w:hAnsi="Arial" w:cs="Arial"/>
          <w:sz w:val="24"/>
          <w:szCs w:val="24"/>
        </w:rPr>
        <w:t xml:space="preserve">que </w:t>
      </w:r>
      <w:r w:rsidRPr="007C191A">
        <w:rPr>
          <w:rFonts w:ascii="Arial" w:hAnsi="Arial" w:cs="Arial"/>
          <w:sz w:val="24"/>
          <w:szCs w:val="24"/>
        </w:rPr>
        <w:t xml:space="preserve">el 18/9/18, el Área Sistema de Pagos de la Gerencia de Política Económica y Mercados informó que, a efectos de la puesta en marcha del Sistema para la Liquidación de Operaciones de Mercado de Dinero, Mercado de Valores y Derivados, se contó con la asistencia local de un técnico de CMA Small </w:t>
      </w:r>
      <w:proofErr w:type="spellStart"/>
      <w:r w:rsidRPr="007C191A">
        <w:rPr>
          <w:rFonts w:ascii="Arial" w:hAnsi="Arial" w:cs="Arial"/>
          <w:sz w:val="24"/>
          <w:szCs w:val="24"/>
        </w:rPr>
        <w:t>Systems</w:t>
      </w:r>
      <w:proofErr w:type="spellEnd"/>
      <w:r w:rsidRPr="007C191A">
        <w:rPr>
          <w:rFonts w:ascii="Arial" w:hAnsi="Arial" w:cs="Arial"/>
          <w:sz w:val="24"/>
          <w:szCs w:val="24"/>
        </w:rPr>
        <w:t xml:space="preserve"> AB, habiendo anteriormente, el 9/7/18, presentado la factura por la sum</w:t>
      </w:r>
      <w:r w:rsidR="00ED3C47">
        <w:rPr>
          <w:rFonts w:ascii="Arial" w:hAnsi="Arial" w:cs="Arial"/>
          <w:sz w:val="24"/>
          <w:szCs w:val="24"/>
        </w:rPr>
        <w:t>a de U$S 22.280 (más impuestos);</w:t>
      </w:r>
    </w:p>
    <w:p w:rsidR="00CB3648" w:rsidRDefault="00E86AA9" w:rsidP="00CB3648">
      <w:pPr>
        <w:spacing w:after="0" w:line="360" w:lineRule="auto"/>
        <w:ind w:firstLine="2694"/>
        <w:jc w:val="both"/>
        <w:rPr>
          <w:rFonts w:ascii="Arial" w:hAnsi="Arial" w:cs="Arial"/>
          <w:sz w:val="24"/>
          <w:szCs w:val="24"/>
        </w:rPr>
      </w:pPr>
      <w:r w:rsidRPr="00990964">
        <w:rPr>
          <w:rFonts w:ascii="Arial" w:hAnsi="Arial" w:cs="Arial"/>
          <w:b/>
          <w:sz w:val="24"/>
          <w:szCs w:val="24"/>
        </w:rPr>
        <w:t>3)</w:t>
      </w:r>
      <w:r w:rsidRPr="007C191A">
        <w:rPr>
          <w:rFonts w:ascii="Arial" w:hAnsi="Arial" w:cs="Arial"/>
          <w:b/>
          <w:sz w:val="24"/>
          <w:szCs w:val="24"/>
        </w:rPr>
        <w:t xml:space="preserve"> </w:t>
      </w:r>
      <w:r w:rsidRPr="00E86AA9">
        <w:rPr>
          <w:rFonts w:ascii="Arial" w:hAnsi="Arial" w:cs="Arial"/>
          <w:sz w:val="24"/>
          <w:szCs w:val="24"/>
        </w:rPr>
        <w:t>que</w:t>
      </w:r>
      <w:r>
        <w:rPr>
          <w:rFonts w:ascii="Arial" w:hAnsi="Arial" w:cs="Arial"/>
          <w:b/>
          <w:sz w:val="24"/>
          <w:szCs w:val="24"/>
        </w:rPr>
        <w:t xml:space="preserve"> </w:t>
      </w:r>
      <w:r w:rsidRPr="007C191A">
        <w:rPr>
          <w:rFonts w:ascii="Arial" w:hAnsi="Arial" w:cs="Arial"/>
          <w:sz w:val="24"/>
          <w:szCs w:val="24"/>
        </w:rPr>
        <w:t xml:space="preserve">habiéndose constatado la total ejecución del monto referido, a partir del informe realizado a solicitud del Directorio y no existiendo autorización del ordenador competente del gasto, por tratarse de una contratación directa fundada en el Artículo 33 Literal C) Numeral 3 del T.O.C.A.F., el </w:t>
      </w:r>
      <w:r w:rsidR="00C652A2">
        <w:rPr>
          <w:rFonts w:ascii="Arial" w:hAnsi="Arial" w:cs="Arial"/>
          <w:sz w:val="24"/>
          <w:szCs w:val="24"/>
        </w:rPr>
        <w:t>contador Delegado, con fecha 18/12/18</w:t>
      </w:r>
      <w:r w:rsidRPr="007C191A">
        <w:rPr>
          <w:rFonts w:ascii="Arial" w:hAnsi="Arial" w:cs="Arial"/>
          <w:sz w:val="24"/>
          <w:szCs w:val="24"/>
        </w:rPr>
        <w:t xml:space="preserve"> en cumplimiento de atribuciones delegadas por el Tribunal de Cuentas, observó el gasto por </w:t>
      </w:r>
      <w:r w:rsidRPr="007C191A">
        <w:rPr>
          <w:rFonts w:ascii="Arial" w:hAnsi="Arial" w:cs="Arial"/>
          <w:sz w:val="24"/>
          <w:szCs w:val="24"/>
        </w:rPr>
        <w:lastRenderedPageBreak/>
        <w:t xml:space="preserve">vulnerar lo </w:t>
      </w:r>
      <w:r w:rsidR="00840A67">
        <w:rPr>
          <w:rFonts w:ascii="Arial" w:hAnsi="Arial" w:cs="Arial"/>
          <w:sz w:val="24"/>
          <w:szCs w:val="24"/>
        </w:rPr>
        <w:t>preceptuado por los a</w:t>
      </w:r>
      <w:r w:rsidRPr="007C191A">
        <w:rPr>
          <w:rFonts w:ascii="Arial" w:hAnsi="Arial" w:cs="Arial"/>
          <w:sz w:val="24"/>
          <w:szCs w:val="24"/>
        </w:rPr>
        <w:t xml:space="preserve">rtículos 14 y </w:t>
      </w:r>
      <w:r w:rsidR="00840A67">
        <w:rPr>
          <w:rFonts w:ascii="Arial" w:hAnsi="Arial" w:cs="Arial"/>
          <w:sz w:val="24"/>
          <w:szCs w:val="24"/>
        </w:rPr>
        <w:t>21 del T.O.C.A.F., así como el artículo 211 Literal B</w:t>
      </w:r>
      <w:r w:rsidRPr="007C191A">
        <w:rPr>
          <w:rFonts w:ascii="Arial" w:hAnsi="Arial" w:cs="Arial"/>
          <w:sz w:val="24"/>
          <w:szCs w:val="24"/>
        </w:rPr>
        <w:t xml:space="preserve">) de </w:t>
      </w:r>
      <w:r>
        <w:rPr>
          <w:rFonts w:ascii="Arial" w:hAnsi="Arial" w:cs="Arial"/>
          <w:sz w:val="24"/>
          <w:szCs w:val="24"/>
        </w:rPr>
        <w:t>la Constitución de la República;</w:t>
      </w:r>
    </w:p>
    <w:p w:rsidR="00CB3648" w:rsidRDefault="00E86AA9" w:rsidP="00CB3648">
      <w:pPr>
        <w:spacing w:after="0" w:line="360" w:lineRule="auto"/>
        <w:ind w:firstLine="2694"/>
        <w:jc w:val="both"/>
        <w:rPr>
          <w:rFonts w:ascii="Arial" w:hAnsi="Arial" w:cs="Arial"/>
          <w:sz w:val="24"/>
          <w:szCs w:val="24"/>
        </w:rPr>
      </w:pPr>
      <w:r w:rsidRPr="00990964">
        <w:rPr>
          <w:rFonts w:ascii="Arial" w:hAnsi="Arial" w:cs="Arial"/>
          <w:b/>
          <w:sz w:val="24"/>
          <w:szCs w:val="24"/>
        </w:rPr>
        <w:t>4)</w:t>
      </w:r>
      <w:r w:rsidRPr="007C191A">
        <w:rPr>
          <w:rFonts w:ascii="Arial" w:hAnsi="Arial" w:cs="Arial"/>
          <w:sz w:val="24"/>
          <w:szCs w:val="24"/>
        </w:rPr>
        <w:t xml:space="preserve"> </w:t>
      </w:r>
      <w:r>
        <w:rPr>
          <w:rFonts w:ascii="Arial" w:hAnsi="Arial" w:cs="Arial"/>
          <w:sz w:val="24"/>
          <w:szCs w:val="24"/>
        </w:rPr>
        <w:t xml:space="preserve"> que p</w:t>
      </w:r>
      <w:r w:rsidRPr="007C191A">
        <w:rPr>
          <w:rFonts w:ascii="Arial" w:hAnsi="Arial" w:cs="Arial"/>
          <w:sz w:val="24"/>
          <w:szCs w:val="24"/>
        </w:rPr>
        <w:t xml:space="preserve">or Resolución de Directorio Nº D-10-2019 del 23/1/19, se dispuso reiterar el gasto por la suma de U$S 22.280 (más impuestos), correspondiente a los servicios de asistencia local prestados por un técnico de CMA Small </w:t>
      </w:r>
      <w:proofErr w:type="spellStart"/>
      <w:r w:rsidRPr="007C191A">
        <w:rPr>
          <w:rFonts w:ascii="Arial" w:hAnsi="Arial" w:cs="Arial"/>
          <w:sz w:val="24"/>
          <w:szCs w:val="24"/>
        </w:rPr>
        <w:t>Systems</w:t>
      </w:r>
      <w:proofErr w:type="spellEnd"/>
      <w:r w:rsidRPr="007C191A">
        <w:rPr>
          <w:rFonts w:ascii="Arial" w:hAnsi="Arial" w:cs="Arial"/>
          <w:sz w:val="24"/>
          <w:szCs w:val="24"/>
        </w:rPr>
        <w:t xml:space="preserve"> AB, a efectos de la puesta en producción de un sistema de liquidación bruta en tiempo real y del módulo correspondiente al</w:t>
      </w:r>
      <w:r>
        <w:rPr>
          <w:rFonts w:ascii="Arial" w:hAnsi="Arial" w:cs="Arial"/>
          <w:sz w:val="24"/>
          <w:szCs w:val="24"/>
        </w:rPr>
        <w:t xml:space="preserve"> Depositario Central de Valores; </w:t>
      </w:r>
    </w:p>
    <w:p w:rsidR="00CB3648" w:rsidRDefault="00E86AA9" w:rsidP="00CB3648">
      <w:pPr>
        <w:spacing w:after="0" w:line="360" w:lineRule="auto"/>
        <w:ind w:firstLine="2694"/>
        <w:jc w:val="both"/>
        <w:rPr>
          <w:rFonts w:ascii="Arial" w:hAnsi="Arial" w:cs="Arial"/>
          <w:sz w:val="24"/>
          <w:szCs w:val="24"/>
        </w:rPr>
      </w:pPr>
      <w:r w:rsidRPr="00990964">
        <w:rPr>
          <w:rFonts w:ascii="Arial" w:hAnsi="Arial" w:cs="Arial"/>
          <w:b/>
          <w:sz w:val="24"/>
          <w:szCs w:val="24"/>
        </w:rPr>
        <w:t>5)</w:t>
      </w:r>
      <w:r w:rsidRPr="007C191A">
        <w:rPr>
          <w:rFonts w:ascii="Arial" w:hAnsi="Arial" w:cs="Arial"/>
          <w:sz w:val="24"/>
          <w:szCs w:val="24"/>
        </w:rPr>
        <w:t xml:space="preserve"> </w:t>
      </w:r>
      <w:r>
        <w:rPr>
          <w:rFonts w:ascii="Arial" w:hAnsi="Arial" w:cs="Arial"/>
          <w:sz w:val="24"/>
          <w:szCs w:val="24"/>
        </w:rPr>
        <w:t>que e</w:t>
      </w:r>
      <w:r w:rsidRPr="007C191A">
        <w:rPr>
          <w:rFonts w:ascii="Arial" w:hAnsi="Arial" w:cs="Arial"/>
          <w:sz w:val="24"/>
          <w:szCs w:val="24"/>
        </w:rPr>
        <w:t xml:space="preserve">ste Tribunal por Resolución 762/19 en sesión de fecha 20.3.19 acordó: </w:t>
      </w:r>
      <w:r w:rsidRPr="00840A67">
        <w:rPr>
          <w:rFonts w:ascii="Arial" w:hAnsi="Arial" w:cs="Arial"/>
          <w:b/>
          <w:sz w:val="24"/>
          <w:szCs w:val="24"/>
        </w:rPr>
        <w:t>5.1</w:t>
      </w:r>
      <w:r w:rsidR="00840A67" w:rsidRPr="00840A67">
        <w:rPr>
          <w:rFonts w:ascii="Arial" w:hAnsi="Arial" w:cs="Arial"/>
          <w:b/>
          <w:sz w:val="24"/>
          <w:szCs w:val="24"/>
        </w:rPr>
        <w:t>)</w:t>
      </w:r>
      <w:r w:rsidR="00840A67">
        <w:rPr>
          <w:rFonts w:ascii="Arial" w:hAnsi="Arial" w:cs="Arial"/>
          <w:sz w:val="24"/>
          <w:szCs w:val="24"/>
        </w:rPr>
        <w:t xml:space="preserve"> m</w:t>
      </w:r>
      <w:r w:rsidRPr="007C191A">
        <w:rPr>
          <w:rFonts w:ascii="Arial" w:hAnsi="Arial" w:cs="Arial"/>
          <w:sz w:val="24"/>
          <w:szCs w:val="24"/>
        </w:rPr>
        <w:t>antener la observación formulada por el Contador Delegado con fecha 18/12/18 (Resultando 5.2)”….</w:t>
      </w:r>
      <w:r w:rsidRPr="007C191A">
        <w:rPr>
          <w:rFonts w:ascii="Arial" w:hAnsi="Arial" w:cs="Arial"/>
          <w:iCs/>
          <w:sz w:val="24"/>
          <w:szCs w:val="24"/>
          <w:lang w:val="es-ES_tradnl"/>
        </w:rPr>
        <w:t>por v</w:t>
      </w:r>
      <w:r w:rsidR="00840A67">
        <w:rPr>
          <w:rFonts w:ascii="Arial" w:hAnsi="Arial" w:cs="Arial"/>
          <w:iCs/>
          <w:sz w:val="24"/>
          <w:szCs w:val="24"/>
          <w:lang w:val="es-ES_tradnl"/>
        </w:rPr>
        <w:t>ulnerar lo preceptuado por los a</w:t>
      </w:r>
      <w:r w:rsidRPr="007C191A">
        <w:rPr>
          <w:rFonts w:ascii="Arial" w:hAnsi="Arial" w:cs="Arial"/>
          <w:iCs/>
          <w:sz w:val="24"/>
          <w:szCs w:val="24"/>
          <w:lang w:val="es-ES_tradnl"/>
        </w:rPr>
        <w:t xml:space="preserve">rtículos 14 y 21 del T.O.C.A.F., así como el </w:t>
      </w:r>
      <w:r w:rsidR="00840A67">
        <w:rPr>
          <w:rFonts w:ascii="Arial" w:hAnsi="Arial" w:cs="Arial"/>
          <w:iCs/>
          <w:sz w:val="24"/>
          <w:szCs w:val="24"/>
          <w:lang w:val="es-ES_tradnl"/>
        </w:rPr>
        <w:t>a</w:t>
      </w:r>
      <w:r w:rsidRPr="007C191A">
        <w:rPr>
          <w:rFonts w:ascii="Arial" w:hAnsi="Arial" w:cs="Arial"/>
          <w:iCs/>
          <w:sz w:val="24"/>
          <w:szCs w:val="24"/>
          <w:lang w:val="es-ES_tradnl"/>
        </w:rPr>
        <w:t xml:space="preserve">rticulo 211 Literal B) de la Constitución de la República, expresando que </w:t>
      </w:r>
      <w:r w:rsidRPr="007C191A">
        <w:rPr>
          <w:rFonts w:ascii="Arial" w:hAnsi="Arial" w:cs="Arial"/>
          <w:bCs/>
          <w:sz w:val="24"/>
          <w:szCs w:val="24"/>
          <w:lang w:val="es-ES_tradnl" w:eastAsia="es-ES_tradnl"/>
        </w:rPr>
        <w:t>la o</w:t>
      </w:r>
      <w:r w:rsidRPr="007C191A">
        <w:rPr>
          <w:rFonts w:ascii="Arial" w:hAnsi="Arial" w:cs="Arial"/>
          <w:iCs/>
          <w:sz w:val="24"/>
          <w:szCs w:val="24"/>
          <w:lang w:val="es-ES_tradnl"/>
        </w:rPr>
        <w:t xml:space="preserve">bligación contraída no cuenta con la previa autorización del ordenador competente y por la cual no se han afectado las asignaciones presupuestales al rubro 393 “Licencias de Software” para tal compromiso, ni recabado la intervención preventiva del gasto por parte del Contador Delegado del Tribunal de Cuentas)”; </w:t>
      </w:r>
      <w:r w:rsidRPr="00840A67">
        <w:rPr>
          <w:rFonts w:ascii="Arial" w:hAnsi="Arial" w:cs="Arial"/>
          <w:b/>
          <w:iCs/>
          <w:sz w:val="24"/>
          <w:szCs w:val="24"/>
          <w:lang w:val="es-ES_tradnl"/>
        </w:rPr>
        <w:t>5.2</w:t>
      </w:r>
      <w:r w:rsidRPr="007C191A">
        <w:rPr>
          <w:rFonts w:ascii="Arial" w:hAnsi="Arial" w:cs="Arial"/>
          <w:iCs/>
          <w:sz w:val="24"/>
          <w:szCs w:val="24"/>
          <w:lang w:val="es-ES_tradnl"/>
        </w:rPr>
        <w:t xml:space="preserve">) </w:t>
      </w:r>
      <w:r w:rsidR="00840A67">
        <w:rPr>
          <w:rFonts w:ascii="Arial" w:hAnsi="Arial" w:cs="Arial"/>
          <w:bCs/>
          <w:sz w:val="24"/>
          <w:szCs w:val="24"/>
          <w:lang w:val="es-MX"/>
        </w:rPr>
        <w:t>r</w:t>
      </w:r>
      <w:r w:rsidRPr="007C191A">
        <w:rPr>
          <w:rFonts w:ascii="Arial" w:hAnsi="Arial" w:cs="Arial"/>
          <w:bCs/>
          <w:sz w:val="24"/>
          <w:szCs w:val="24"/>
          <w:lang w:val="es-MX"/>
        </w:rPr>
        <w:t xml:space="preserve">equerir a la Administración actuante que comunique a este Tribunal las medidas que vaya </w:t>
      </w:r>
      <w:r w:rsidR="00840A67">
        <w:rPr>
          <w:rFonts w:ascii="Arial" w:hAnsi="Arial" w:cs="Arial"/>
          <w:bCs/>
          <w:sz w:val="24"/>
          <w:szCs w:val="24"/>
          <w:lang w:val="es-MX"/>
        </w:rPr>
        <w:t xml:space="preserve">a </w:t>
      </w:r>
      <w:r w:rsidRPr="007C191A">
        <w:rPr>
          <w:rFonts w:ascii="Arial" w:hAnsi="Arial" w:cs="Arial"/>
          <w:bCs/>
          <w:sz w:val="24"/>
          <w:szCs w:val="24"/>
          <w:lang w:val="es-MX"/>
        </w:rPr>
        <w:t>adoptar, en relación a lo expresado en la Resolución del Directorio del 28/11/18 (Resultando 5.1</w:t>
      </w:r>
      <w:r w:rsidRPr="007C191A">
        <w:rPr>
          <w:rFonts w:ascii="Arial" w:hAnsi="Arial" w:cs="Arial"/>
          <w:iCs/>
          <w:sz w:val="24"/>
          <w:szCs w:val="24"/>
        </w:rPr>
        <w:t xml:space="preserve"> “….</w:t>
      </w:r>
      <w:r w:rsidRPr="007C191A">
        <w:rPr>
          <w:rFonts w:ascii="Arial" w:hAnsi="Arial" w:cs="Arial"/>
          <w:sz w:val="24"/>
          <w:szCs w:val="24"/>
          <w:lang w:val="es-ES_tradnl" w:eastAsia="es-ES_tradnl"/>
        </w:rPr>
        <w:t>está vedado ejecutar gastos sin que hayan sido previamente autorizados por el ordenador del gasto competente, dado que en tal caso podrían incurrir en la figura previst</w:t>
      </w:r>
      <w:r>
        <w:rPr>
          <w:rFonts w:ascii="Arial" w:hAnsi="Arial" w:cs="Arial"/>
          <w:sz w:val="24"/>
          <w:szCs w:val="24"/>
          <w:lang w:val="es-ES_tradnl" w:eastAsia="es-ES_tradnl"/>
        </w:rPr>
        <w:t>a por el artículo 32 del TOCAF”</w:t>
      </w:r>
      <w:r w:rsidR="00840A67">
        <w:rPr>
          <w:rFonts w:ascii="Arial" w:hAnsi="Arial" w:cs="Arial"/>
          <w:sz w:val="24"/>
          <w:szCs w:val="24"/>
          <w:lang w:val="es-ES_tradnl" w:eastAsia="es-ES_tradnl"/>
        </w:rPr>
        <w:t>)</w:t>
      </w:r>
      <w:r>
        <w:rPr>
          <w:rFonts w:ascii="Arial" w:hAnsi="Arial" w:cs="Arial"/>
          <w:sz w:val="24"/>
          <w:szCs w:val="24"/>
          <w:lang w:val="es-ES_tradnl" w:eastAsia="es-ES_tradnl"/>
        </w:rPr>
        <w:t>;</w:t>
      </w:r>
    </w:p>
    <w:p w:rsidR="00CB3648" w:rsidRDefault="00E86AA9" w:rsidP="00CB3648">
      <w:pPr>
        <w:spacing w:after="0" w:line="360" w:lineRule="auto"/>
        <w:ind w:firstLine="2694"/>
        <w:jc w:val="both"/>
        <w:rPr>
          <w:rFonts w:ascii="Arial" w:hAnsi="Arial" w:cs="Arial"/>
          <w:sz w:val="24"/>
          <w:szCs w:val="24"/>
        </w:rPr>
      </w:pPr>
      <w:r w:rsidRPr="00990964">
        <w:rPr>
          <w:rFonts w:ascii="Arial" w:hAnsi="Arial" w:cs="Arial"/>
          <w:b/>
          <w:bCs/>
          <w:sz w:val="24"/>
          <w:szCs w:val="24"/>
          <w:lang w:val="es-MX"/>
        </w:rPr>
        <w:t>6)</w:t>
      </w:r>
      <w:r w:rsidRPr="007C191A">
        <w:rPr>
          <w:rFonts w:ascii="Arial" w:hAnsi="Arial" w:cs="Arial"/>
          <w:bCs/>
          <w:sz w:val="24"/>
          <w:szCs w:val="24"/>
          <w:lang w:val="es-MX"/>
        </w:rPr>
        <w:t xml:space="preserve"> </w:t>
      </w:r>
      <w:r>
        <w:rPr>
          <w:rFonts w:ascii="Arial" w:hAnsi="Arial" w:cs="Arial"/>
          <w:bCs/>
          <w:sz w:val="24"/>
          <w:szCs w:val="24"/>
          <w:lang w:val="es-MX"/>
        </w:rPr>
        <w:t>que e</w:t>
      </w:r>
      <w:r w:rsidRPr="007C191A">
        <w:rPr>
          <w:rFonts w:ascii="Arial" w:hAnsi="Arial" w:cs="Arial"/>
          <w:bCs/>
          <w:sz w:val="24"/>
          <w:szCs w:val="24"/>
          <w:lang w:val="es-MX"/>
        </w:rPr>
        <w:t>n</w:t>
      </w:r>
      <w:r w:rsidRPr="007C191A">
        <w:rPr>
          <w:rFonts w:ascii="Arial" w:hAnsi="Arial" w:cs="Arial"/>
          <w:iCs/>
          <w:sz w:val="24"/>
          <w:szCs w:val="24"/>
          <w:lang w:val="es-ES_tradnl"/>
        </w:rPr>
        <w:t xml:space="preserve"> esta oportunidad se remiten nuevas actuaciones a efectos de dar cumplimiento en lo dispuesto en el n</w:t>
      </w:r>
      <w:r w:rsidR="00840A67">
        <w:rPr>
          <w:rFonts w:ascii="Arial" w:hAnsi="Arial" w:cs="Arial"/>
          <w:iCs/>
          <w:sz w:val="24"/>
          <w:szCs w:val="24"/>
          <w:lang w:val="es-ES_tradnl"/>
        </w:rPr>
        <w:t>ume</w:t>
      </w:r>
      <w:r w:rsidRPr="007C191A">
        <w:rPr>
          <w:rFonts w:ascii="Arial" w:hAnsi="Arial" w:cs="Arial"/>
          <w:iCs/>
          <w:sz w:val="24"/>
          <w:szCs w:val="24"/>
          <w:lang w:val="es-ES_tradnl"/>
        </w:rPr>
        <w:t xml:space="preserve">ral </w:t>
      </w:r>
      <w:r w:rsidR="00840A67">
        <w:rPr>
          <w:rFonts w:ascii="Arial" w:hAnsi="Arial" w:cs="Arial"/>
          <w:iCs/>
          <w:sz w:val="24"/>
          <w:szCs w:val="24"/>
          <w:lang w:val="es-ES_tradnl"/>
        </w:rPr>
        <w:t>2) de la Resolución de Tribunal (N° 762/19)</w:t>
      </w:r>
      <w:r w:rsidR="00CB3648">
        <w:rPr>
          <w:rFonts w:ascii="Arial" w:hAnsi="Arial" w:cs="Arial"/>
          <w:iCs/>
          <w:sz w:val="24"/>
          <w:szCs w:val="24"/>
          <w:lang w:val="es-ES_tradnl"/>
        </w:rPr>
        <w:t>;</w:t>
      </w:r>
    </w:p>
    <w:p w:rsidR="00E86AA9" w:rsidRPr="00CB3648" w:rsidRDefault="00E86AA9" w:rsidP="00CB3648">
      <w:pPr>
        <w:spacing w:after="0" w:line="360" w:lineRule="auto"/>
        <w:ind w:firstLine="2694"/>
        <w:jc w:val="both"/>
        <w:rPr>
          <w:rFonts w:ascii="Arial" w:hAnsi="Arial" w:cs="Arial"/>
          <w:sz w:val="24"/>
          <w:szCs w:val="24"/>
        </w:rPr>
      </w:pPr>
      <w:r w:rsidRPr="00990964">
        <w:rPr>
          <w:rFonts w:ascii="Arial" w:hAnsi="Arial" w:cs="Arial"/>
          <w:b/>
          <w:iCs/>
          <w:sz w:val="24"/>
          <w:szCs w:val="24"/>
          <w:lang w:val="es-ES_tradnl"/>
        </w:rPr>
        <w:t>7)</w:t>
      </w:r>
      <w:r>
        <w:rPr>
          <w:rFonts w:ascii="Arial" w:hAnsi="Arial" w:cs="Arial"/>
          <w:iCs/>
          <w:sz w:val="24"/>
          <w:szCs w:val="24"/>
          <w:lang w:val="es-ES_tradnl"/>
        </w:rPr>
        <w:t xml:space="preserve"> que </w:t>
      </w:r>
      <w:r w:rsidR="00840A67">
        <w:rPr>
          <w:rFonts w:ascii="Arial" w:hAnsi="Arial" w:cs="Arial"/>
          <w:iCs/>
          <w:sz w:val="24"/>
          <w:szCs w:val="24"/>
          <w:lang w:val="es-ES_tradnl"/>
        </w:rPr>
        <w:t xml:space="preserve"> en ese sentido, </w:t>
      </w:r>
      <w:r>
        <w:rPr>
          <w:rFonts w:ascii="Arial" w:hAnsi="Arial" w:cs="Arial"/>
          <w:iCs/>
          <w:sz w:val="24"/>
          <w:szCs w:val="24"/>
          <w:lang w:val="es-ES_tradnl"/>
        </w:rPr>
        <w:t>l</w:t>
      </w:r>
      <w:r w:rsidR="00AD431A">
        <w:rPr>
          <w:rFonts w:ascii="Arial" w:hAnsi="Arial" w:cs="Arial"/>
          <w:iCs/>
          <w:sz w:val="24"/>
          <w:szCs w:val="24"/>
          <w:lang w:val="es-ES_tradnl"/>
        </w:rPr>
        <w:t>a Auditorí</w:t>
      </w:r>
      <w:r w:rsidRPr="007C191A">
        <w:rPr>
          <w:rFonts w:ascii="Arial" w:hAnsi="Arial" w:cs="Arial"/>
          <w:iCs/>
          <w:sz w:val="24"/>
          <w:szCs w:val="24"/>
          <w:lang w:val="es-ES_tradnl"/>
        </w:rPr>
        <w:t>a I</w:t>
      </w:r>
      <w:r w:rsidR="00840A67">
        <w:rPr>
          <w:rFonts w:ascii="Arial" w:hAnsi="Arial" w:cs="Arial"/>
          <w:iCs/>
          <w:sz w:val="24"/>
          <w:szCs w:val="24"/>
          <w:lang w:val="es-ES_tradnl"/>
        </w:rPr>
        <w:t>nterna con fecha 8.4.19  informó</w:t>
      </w:r>
      <w:r w:rsidRPr="007C191A">
        <w:rPr>
          <w:rFonts w:ascii="Arial" w:hAnsi="Arial" w:cs="Arial"/>
          <w:iCs/>
          <w:sz w:val="24"/>
          <w:szCs w:val="24"/>
          <w:lang w:val="es-ES_tradnl"/>
        </w:rPr>
        <w:t xml:space="preserve"> que se </w:t>
      </w:r>
      <w:r w:rsidR="00840A67">
        <w:rPr>
          <w:rFonts w:ascii="Arial" w:hAnsi="Arial" w:cs="Arial"/>
          <w:iCs/>
          <w:sz w:val="24"/>
          <w:szCs w:val="24"/>
          <w:lang w:val="es-ES_tradnl"/>
        </w:rPr>
        <w:t xml:space="preserve">ha </w:t>
      </w:r>
      <w:r w:rsidRPr="007C191A">
        <w:rPr>
          <w:rFonts w:ascii="Arial" w:hAnsi="Arial" w:cs="Arial"/>
          <w:iCs/>
          <w:sz w:val="24"/>
          <w:szCs w:val="24"/>
          <w:lang w:val="es-ES_tradnl"/>
        </w:rPr>
        <w:t>analizado la contratación adicional referenciada,</w:t>
      </w:r>
      <w:r w:rsidR="00840A67">
        <w:rPr>
          <w:rFonts w:ascii="Arial" w:hAnsi="Arial" w:cs="Arial"/>
          <w:iCs/>
          <w:sz w:val="24"/>
          <w:szCs w:val="24"/>
          <w:lang w:val="es-ES_tradnl"/>
        </w:rPr>
        <w:t xml:space="preserve"> y que se concluyó que </w:t>
      </w:r>
      <w:r w:rsidRPr="007C191A">
        <w:rPr>
          <w:rFonts w:ascii="Arial" w:hAnsi="Arial" w:cs="Arial"/>
          <w:iCs/>
          <w:sz w:val="24"/>
          <w:szCs w:val="24"/>
          <w:lang w:val="es-ES_tradnl"/>
        </w:rPr>
        <w:t xml:space="preserve"> la misma adolece</w:t>
      </w:r>
      <w:r w:rsidR="00840A67">
        <w:rPr>
          <w:rFonts w:ascii="Arial" w:hAnsi="Arial" w:cs="Arial"/>
          <w:iCs/>
          <w:sz w:val="24"/>
          <w:szCs w:val="24"/>
          <w:lang w:val="es-ES_tradnl"/>
        </w:rPr>
        <w:t xml:space="preserve"> de  un cú</w:t>
      </w:r>
      <w:r w:rsidRPr="007C191A">
        <w:rPr>
          <w:rFonts w:ascii="Arial" w:hAnsi="Arial" w:cs="Arial"/>
          <w:iCs/>
          <w:sz w:val="24"/>
          <w:szCs w:val="24"/>
          <w:lang w:val="es-ES_tradnl"/>
        </w:rPr>
        <w:t>mulo de errores de diversa índole, que fuer</w:t>
      </w:r>
      <w:r w:rsidR="00840A67">
        <w:rPr>
          <w:rFonts w:ascii="Arial" w:hAnsi="Arial" w:cs="Arial"/>
          <w:iCs/>
          <w:sz w:val="24"/>
          <w:szCs w:val="24"/>
          <w:lang w:val="es-ES_tradnl"/>
        </w:rPr>
        <w:t xml:space="preserve">on analizados por  el Contador del Servicio, y se recomendó   </w:t>
      </w:r>
      <w:r w:rsidRPr="007C191A">
        <w:rPr>
          <w:rFonts w:ascii="Arial" w:hAnsi="Arial" w:cs="Arial"/>
          <w:iCs/>
          <w:sz w:val="24"/>
          <w:szCs w:val="24"/>
          <w:lang w:val="es-ES_tradnl"/>
        </w:rPr>
        <w:t xml:space="preserve"> </w:t>
      </w:r>
      <w:r w:rsidRPr="007C191A">
        <w:rPr>
          <w:rFonts w:ascii="Arial" w:hAnsi="Arial" w:cs="Arial"/>
          <w:iCs/>
          <w:sz w:val="24"/>
          <w:szCs w:val="24"/>
          <w:lang w:val="es-ES_tradnl"/>
        </w:rPr>
        <w:lastRenderedPageBreak/>
        <w:t>la necesidad de revisar los procesos de contratación incluyendo además, los posible</w:t>
      </w:r>
      <w:r w:rsidR="00840A67">
        <w:rPr>
          <w:rFonts w:ascii="Arial" w:hAnsi="Arial" w:cs="Arial"/>
          <w:iCs/>
          <w:sz w:val="24"/>
          <w:szCs w:val="24"/>
          <w:lang w:val="es-ES_tradnl"/>
        </w:rPr>
        <w:t>s impactos en el Reglamento de A</w:t>
      </w:r>
      <w:r w:rsidRPr="007C191A">
        <w:rPr>
          <w:rFonts w:ascii="Arial" w:hAnsi="Arial" w:cs="Arial"/>
          <w:iCs/>
          <w:sz w:val="24"/>
          <w:szCs w:val="24"/>
          <w:lang w:val="es-ES_tradnl"/>
        </w:rPr>
        <w:t>dquisiciones y Admini</w:t>
      </w:r>
      <w:r w:rsidR="00840A67">
        <w:rPr>
          <w:rFonts w:ascii="Arial" w:hAnsi="Arial" w:cs="Arial"/>
          <w:iCs/>
          <w:sz w:val="24"/>
          <w:szCs w:val="24"/>
          <w:lang w:val="es-ES_tradnl"/>
        </w:rPr>
        <w:t xml:space="preserve">stración de Bienes y Servicios, lo que </w:t>
      </w:r>
      <w:r w:rsidRPr="007C191A">
        <w:rPr>
          <w:rFonts w:ascii="Arial" w:hAnsi="Arial" w:cs="Arial"/>
          <w:iCs/>
          <w:sz w:val="24"/>
          <w:szCs w:val="24"/>
          <w:lang w:val="es-ES_tradnl"/>
        </w:rPr>
        <w:t xml:space="preserve"> será considerado dentro del nuev</w:t>
      </w:r>
      <w:r w:rsidR="00AD431A">
        <w:rPr>
          <w:rFonts w:ascii="Arial" w:hAnsi="Arial" w:cs="Arial"/>
          <w:iCs/>
          <w:sz w:val="24"/>
          <w:szCs w:val="24"/>
          <w:lang w:val="es-ES_tradnl"/>
        </w:rPr>
        <w:t>o Plan de Auditorí</w:t>
      </w:r>
      <w:r>
        <w:rPr>
          <w:rFonts w:ascii="Arial" w:hAnsi="Arial" w:cs="Arial"/>
          <w:iCs/>
          <w:sz w:val="24"/>
          <w:szCs w:val="24"/>
          <w:lang w:val="es-ES_tradnl"/>
        </w:rPr>
        <w:t>a (2019-2020);</w:t>
      </w:r>
    </w:p>
    <w:p w:rsidR="00ED3C47" w:rsidRPr="00ED3C47" w:rsidRDefault="00E86AA9" w:rsidP="00CB3648">
      <w:pPr>
        <w:spacing w:after="0" w:line="360" w:lineRule="auto"/>
        <w:ind w:firstLine="851"/>
        <w:jc w:val="both"/>
        <w:rPr>
          <w:rFonts w:ascii="Arial" w:hAnsi="Arial" w:cs="Arial"/>
          <w:iCs/>
          <w:sz w:val="24"/>
          <w:szCs w:val="24"/>
          <w:lang w:val="es-ES_tradnl"/>
        </w:rPr>
      </w:pPr>
      <w:r w:rsidRPr="00E86AA9">
        <w:rPr>
          <w:rFonts w:ascii="Arial" w:hAnsi="Arial" w:cs="Arial"/>
          <w:b/>
          <w:iCs/>
          <w:sz w:val="24"/>
          <w:szCs w:val="24"/>
          <w:lang w:val="es-ES_tradnl"/>
        </w:rPr>
        <w:t xml:space="preserve">CONSIDERANDO: </w:t>
      </w:r>
      <w:r w:rsidR="00C6309D">
        <w:rPr>
          <w:rFonts w:ascii="Arial" w:hAnsi="Arial" w:cs="Arial"/>
          <w:iCs/>
          <w:sz w:val="24"/>
          <w:szCs w:val="24"/>
          <w:lang w:val="es-ES_tradnl"/>
        </w:rPr>
        <w:t xml:space="preserve">que </w:t>
      </w:r>
      <w:r w:rsidRPr="00ED3C47">
        <w:rPr>
          <w:rFonts w:ascii="Arial" w:hAnsi="Arial" w:cs="Arial"/>
          <w:iCs/>
          <w:sz w:val="24"/>
          <w:szCs w:val="24"/>
          <w:lang w:val="es-ES_tradnl"/>
        </w:rPr>
        <w:t>s</w:t>
      </w:r>
      <w:r w:rsidR="00C6309D">
        <w:rPr>
          <w:rFonts w:ascii="Arial" w:hAnsi="Arial" w:cs="Arial"/>
          <w:iCs/>
          <w:sz w:val="24"/>
          <w:szCs w:val="24"/>
          <w:lang w:val="es-ES_tradnl"/>
        </w:rPr>
        <w:t>on</w:t>
      </w:r>
      <w:r w:rsidRPr="00ED3C47">
        <w:rPr>
          <w:rFonts w:ascii="Arial" w:hAnsi="Arial" w:cs="Arial"/>
          <w:iCs/>
          <w:sz w:val="24"/>
          <w:szCs w:val="24"/>
          <w:lang w:val="es-ES_tradnl"/>
        </w:rPr>
        <w:t xml:space="preserve"> de recibo </w:t>
      </w:r>
      <w:r w:rsidR="00ED3C47" w:rsidRPr="00ED3C47">
        <w:rPr>
          <w:rFonts w:ascii="Arial" w:hAnsi="Arial" w:cs="Arial"/>
          <w:iCs/>
          <w:sz w:val="24"/>
          <w:szCs w:val="24"/>
          <w:lang w:val="es-ES_tradnl"/>
        </w:rPr>
        <w:t>la</w:t>
      </w:r>
      <w:r w:rsidRPr="00ED3C47">
        <w:rPr>
          <w:rFonts w:ascii="Arial" w:hAnsi="Arial" w:cs="Arial"/>
          <w:iCs/>
          <w:sz w:val="24"/>
          <w:szCs w:val="24"/>
          <w:lang w:val="es-ES_tradnl"/>
        </w:rPr>
        <w:t xml:space="preserve">s </w:t>
      </w:r>
      <w:r w:rsidR="00ED3C47" w:rsidRPr="00ED3C47">
        <w:rPr>
          <w:rFonts w:ascii="Arial" w:hAnsi="Arial" w:cs="Arial"/>
          <w:iCs/>
          <w:sz w:val="24"/>
          <w:szCs w:val="24"/>
          <w:lang w:val="es-ES_tradnl"/>
        </w:rPr>
        <w:t xml:space="preserve">operaciones que se </w:t>
      </w:r>
      <w:r w:rsidR="00840A67">
        <w:rPr>
          <w:rFonts w:ascii="Arial" w:hAnsi="Arial" w:cs="Arial"/>
          <w:iCs/>
          <w:sz w:val="24"/>
          <w:szCs w:val="24"/>
          <w:lang w:val="es-ES_tradnl"/>
        </w:rPr>
        <w:t>proyectan</w:t>
      </w:r>
      <w:r w:rsidR="00ED3C47" w:rsidRPr="00ED3C47">
        <w:rPr>
          <w:rFonts w:ascii="Arial" w:hAnsi="Arial" w:cs="Arial"/>
          <w:iCs/>
          <w:sz w:val="24"/>
          <w:szCs w:val="24"/>
          <w:lang w:val="es-ES_tradnl"/>
        </w:rPr>
        <w:t xml:space="preserve">, sobre </w:t>
      </w:r>
      <w:r w:rsidR="00C6309D">
        <w:rPr>
          <w:rFonts w:ascii="Arial" w:hAnsi="Arial" w:cs="Arial"/>
          <w:iCs/>
          <w:sz w:val="24"/>
          <w:szCs w:val="24"/>
          <w:lang w:val="es-ES_tradnl"/>
        </w:rPr>
        <w:t xml:space="preserve">la revisión de </w:t>
      </w:r>
      <w:r w:rsidR="00ED3C47" w:rsidRPr="00ED3C47">
        <w:rPr>
          <w:rFonts w:ascii="Arial" w:hAnsi="Arial" w:cs="Arial"/>
          <w:iCs/>
          <w:sz w:val="24"/>
          <w:szCs w:val="24"/>
          <w:lang w:val="es-ES_tradnl"/>
        </w:rPr>
        <w:t>los distintos aspectos del proceso de contratación</w:t>
      </w:r>
      <w:r w:rsidR="00840A67">
        <w:rPr>
          <w:rFonts w:ascii="Arial" w:hAnsi="Arial" w:cs="Arial"/>
          <w:iCs/>
          <w:sz w:val="24"/>
          <w:szCs w:val="24"/>
          <w:lang w:val="es-ES_tradnl"/>
        </w:rPr>
        <w:t>, y  que favorecerán el control</w:t>
      </w:r>
      <w:r w:rsidR="00C652A2">
        <w:rPr>
          <w:rFonts w:ascii="Arial" w:hAnsi="Arial" w:cs="Arial"/>
          <w:iCs/>
          <w:sz w:val="24"/>
          <w:szCs w:val="24"/>
          <w:lang w:val="es-ES_tradnl"/>
        </w:rPr>
        <w:t xml:space="preserve"> </w:t>
      </w:r>
      <w:r w:rsidR="00840A67">
        <w:rPr>
          <w:rFonts w:ascii="Arial" w:hAnsi="Arial" w:cs="Arial"/>
          <w:iCs/>
          <w:sz w:val="24"/>
          <w:szCs w:val="24"/>
          <w:lang w:val="es-ES_tradnl"/>
        </w:rPr>
        <w:t>a este respecto</w:t>
      </w:r>
      <w:r w:rsidR="00ED3C47" w:rsidRPr="00ED3C47">
        <w:rPr>
          <w:rFonts w:ascii="Arial" w:hAnsi="Arial" w:cs="Arial"/>
          <w:iCs/>
          <w:sz w:val="24"/>
          <w:szCs w:val="24"/>
          <w:lang w:val="es-ES_tradnl"/>
        </w:rPr>
        <w:t>;</w:t>
      </w:r>
    </w:p>
    <w:p w:rsidR="00E86AA9" w:rsidRDefault="00E86AA9" w:rsidP="00CB3648">
      <w:pPr>
        <w:spacing w:after="0" w:line="360" w:lineRule="auto"/>
        <w:ind w:firstLine="851"/>
        <w:jc w:val="both"/>
        <w:rPr>
          <w:rFonts w:ascii="Arial" w:hAnsi="Arial" w:cs="Arial"/>
          <w:iCs/>
          <w:sz w:val="24"/>
          <w:szCs w:val="24"/>
          <w:lang w:val="es-ES_tradnl"/>
        </w:rPr>
      </w:pPr>
      <w:r w:rsidRPr="00E86AA9">
        <w:rPr>
          <w:rFonts w:ascii="Arial" w:hAnsi="Arial" w:cs="Arial"/>
          <w:b/>
          <w:iCs/>
          <w:sz w:val="24"/>
          <w:szCs w:val="24"/>
          <w:lang w:val="es-ES_tradnl"/>
        </w:rPr>
        <w:t>ATENTO:</w:t>
      </w:r>
      <w:r>
        <w:rPr>
          <w:rFonts w:ascii="Arial" w:hAnsi="Arial" w:cs="Arial"/>
          <w:iCs/>
          <w:sz w:val="24"/>
          <w:szCs w:val="24"/>
          <w:lang w:val="es-ES_tradnl"/>
        </w:rPr>
        <w:t xml:space="preserve"> a lo expuesto precedentemente;</w:t>
      </w:r>
    </w:p>
    <w:p w:rsidR="00E86AA9" w:rsidRPr="00E86AA9" w:rsidRDefault="00E86AA9" w:rsidP="00F975D4">
      <w:pPr>
        <w:spacing w:after="0" w:line="360" w:lineRule="auto"/>
        <w:jc w:val="center"/>
        <w:rPr>
          <w:rFonts w:ascii="Arial" w:hAnsi="Arial" w:cs="Arial"/>
          <w:b/>
          <w:iCs/>
          <w:sz w:val="24"/>
          <w:szCs w:val="24"/>
          <w:lang w:val="es-ES_tradnl"/>
        </w:rPr>
      </w:pPr>
      <w:r w:rsidRPr="00E86AA9">
        <w:rPr>
          <w:rFonts w:ascii="Arial" w:hAnsi="Arial" w:cs="Arial"/>
          <w:b/>
          <w:iCs/>
          <w:sz w:val="24"/>
          <w:szCs w:val="24"/>
          <w:lang w:val="es-ES_tradnl"/>
        </w:rPr>
        <w:t>EL TRIBUNAL ACUERDA</w:t>
      </w:r>
    </w:p>
    <w:p w:rsidR="00E86AA9" w:rsidRDefault="002D36AB" w:rsidP="00E86AA9">
      <w:pPr>
        <w:pStyle w:val="Prrafodelista"/>
        <w:numPr>
          <w:ilvl w:val="0"/>
          <w:numId w:val="3"/>
        </w:numPr>
        <w:spacing w:after="0" w:line="360" w:lineRule="auto"/>
        <w:jc w:val="both"/>
        <w:rPr>
          <w:rFonts w:ascii="Arial" w:hAnsi="Arial" w:cs="Arial"/>
          <w:iCs/>
          <w:sz w:val="24"/>
          <w:szCs w:val="24"/>
          <w:lang w:val="es-ES_tradnl"/>
        </w:rPr>
      </w:pPr>
      <w:r>
        <w:rPr>
          <w:rFonts w:ascii="Arial" w:hAnsi="Arial" w:cs="Arial"/>
          <w:iCs/>
          <w:sz w:val="24"/>
          <w:szCs w:val="24"/>
          <w:lang w:val="es-ES_tradnl"/>
        </w:rPr>
        <w:t xml:space="preserve">Tomar conocimiento de lo actuado; </w:t>
      </w:r>
    </w:p>
    <w:p w:rsidR="00840A67" w:rsidRDefault="00840A67" w:rsidP="00E86AA9">
      <w:pPr>
        <w:pStyle w:val="Prrafodelista"/>
        <w:numPr>
          <w:ilvl w:val="0"/>
          <w:numId w:val="3"/>
        </w:numPr>
        <w:spacing w:after="0" w:line="360" w:lineRule="auto"/>
        <w:jc w:val="both"/>
        <w:rPr>
          <w:rFonts w:ascii="Arial" w:hAnsi="Arial" w:cs="Arial"/>
          <w:iCs/>
          <w:sz w:val="24"/>
          <w:szCs w:val="24"/>
          <w:lang w:val="es-ES_tradnl"/>
        </w:rPr>
      </w:pPr>
      <w:r>
        <w:rPr>
          <w:rFonts w:ascii="Arial" w:hAnsi="Arial" w:cs="Arial"/>
          <w:iCs/>
          <w:sz w:val="24"/>
          <w:szCs w:val="24"/>
          <w:lang w:val="es-ES_tradnl"/>
        </w:rPr>
        <w:t xml:space="preserve">Comunicar al Contador Delegado; y </w:t>
      </w:r>
    </w:p>
    <w:p w:rsidR="00E86AA9" w:rsidRPr="00E86AA9" w:rsidRDefault="00E86AA9" w:rsidP="00E86AA9">
      <w:pPr>
        <w:pStyle w:val="Prrafodelista"/>
        <w:numPr>
          <w:ilvl w:val="0"/>
          <w:numId w:val="3"/>
        </w:numPr>
        <w:spacing w:after="0" w:line="360" w:lineRule="auto"/>
        <w:jc w:val="both"/>
        <w:rPr>
          <w:rFonts w:ascii="Arial" w:hAnsi="Arial" w:cs="Arial"/>
          <w:iCs/>
          <w:sz w:val="24"/>
          <w:szCs w:val="24"/>
          <w:lang w:val="es-ES_tradnl"/>
        </w:rPr>
      </w:pPr>
      <w:r>
        <w:rPr>
          <w:rFonts w:ascii="Arial" w:hAnsi="Arial" w:cs="Arial"/>
          <w:iCs/>
          <w:sz w:val="24"/>
          <w:szCs w:val="24"/>
          <w:lang w:val="es-ES_tradnl"/>
        </w:rPr>
        <w:t>Devolver las actuaciones</w:t>
      </w:r>
    </w:p>
    <w:p w:rsidR="00E86AA9" w:rsidRPr="00F915B7" w:rsidRDefault="00E86AA9" w:rsidP="00E86AA9">
      <w:pPr>
        <w:spacing w:after="120" w:line="360" w:lineRule="auto"/>
        <w:ind w:left="357"/>
        <w:jc w:val="both"/>
        <w:rPr>
          <w:rFonts w:ascii="Arial" w:hAnsi="Arial" w:cs="Arial"/>
          <w:bCs/>
          <w:lang w:val="es-ES_tradnl"/>
        </w:rPr>
      </w:pPr>
    </w:p>
    <w:p w:rsidR="009C26BE" w:rsidRPr="00F975D4" w:rsidRDefault="00F975D4" w:rsidP="00E86AA9">
      <w:pPr>
        <w:rPr>
          <w:rFonts w:ascii="Arial" w:hAnsi="Arial" w:cs="Arial"/>
          <w:sz w:val="20"/>
          <w:szCs w:val="20"/>
          <w:lang w:val="es-ES_tradnl"/>
        </w:rPr>
      </w:pPr>
      <w:r>
        <w:rPr>
          <w:rFonts w:ascii="Arial" w:hAnsi="Arial" w:cs="Arial"/>
          <w:sz w:val="20"/>
          <w:szCs w:val="20"/>
          <w:lang w:val="es-ES_tradnl"/>
        </w:rPr>
        <w:t>CLC</w:t>
      </w:r>
    </w:p>
    <w:sectPr w:rsidR="009C26BE" w:rsidRPr="00F975D4" w:rsidSect="008D4641">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2FA1"/>
    <w:multiLevelType w:val="hybridMultilevel"/>
    <w:tmpl w:val="3D009974"/>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3CD62EE7"/>
    <w:multiLevelType w:val="hybridMultilevel"/>
    <w:tmpl w:val="89308C28"/>
    <w:lvl w:ilvl="0" w:tplc="6178CBB8">
      <w:start w:val="1"/>
      <w:numFmt w:val="decimal"/>
      <w:lvlText w:val="%1)"/>
      <w:lvlJc w:val="left"/>
      <w:pPr>
        <w:ind w:left="360" w:hanging="360"/>
      </w:pPr>
      <w:rPr>
        <w:rFonts w:hint="default"/>
        <w:b/>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2">
    <w:nsid w:val="4E7F2422"/>
    <w:multiLevelType w:val="hybridMultilevel"/>
    <w:tmpl w:val="271485E4"/>
    <w:lvl w:ilvl="0" w:tplc="0C127E86">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11A"/>
    <w:rsid w:val="000444E9"/>
    <w:rsid w:val="00080B7C"/>
    <w:rsid w:val="002227BA"/>
    <w:rsid w:val="00223848"/>
    <w:rsid w:val="002D36AB"/>
    <w:rsid w:val="00311F13"/>
    <w:rsid w:val="003218BD"/>
    <w:rsid w:val="003E4654"/>
    <w:rsid w:val="003F4814"/>
    <w:rsid w:val="00570304"/>
    <w:rsid w:val="005C0FC4"/>
    <w:rsid w:val="006D3BC1"/>
    <w:rsid w:val="00770514"/>
    <w:rsid w:val="007C191A"/>
    <w:rsid w:val="00830AA1"/>
    <w:rsid w:val="00840A67"/>
    <w:rsid w:val="008D4641"/>
    <w:rsid w:val="00990964"/>
    <w:rsid w:val="009C26BE"/>
    <w:rsid w:val="00AD431A"/>
    <w:rsid w:val="00AF311A"/>
    <w:rsid w:val="00BE3ECD"/>
    <w:rsid w:val="00BE6CD0"/>
    <w:rsid w:val="00BE7B7C"/>
    <w:rsid w:val="00C606BF"/>
    <w:rsid w:val="00C6309D"/>
    <w:rsid w:val="00C652A2"/>
    <w:rsid w:val="00CB3648"/>
    <w:rsid w:val="00DA021E"/>
    <w:rsid w:val="00E53475"/>
    <w:rsid w:val="00E86AA9"/>
    <w:rsid w:val="00ED3C47"/>
    <w:rsid w:val="00F90D62"/>
    <w:rsid w:val="00F915B7"/>
    <w:rsid w:val="00F975D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23848"/>
    <w:pPr>
      <w:ind w:left="720"/>
      <w:contextualSpacing/>
    </w:pPr>
  </w:style>
  <w:style w:type="paragraph" w:styleId="Sinespaciado">
    <w:name w:val="No Spacing"/>
    <w:uiPriority w:val="1"/>
    <w:qFormat/>
    <w:rsid w:val="00F975D4"/>
    <w:pPr>
      <w:spacing w:after="0" w:line="240" w:lineRule="auto"/>
    </w:pPr>
  </w:style>
  <w:style w:type="paragraph" w:styleId="Textodeglobo">
    <w:name w:val="Balloon Text"/>
    <w:basedOn w:val="Normal"/>
    <w:link w:val="TextodegloboCar"/>
    <w:uiPriority w:val="99"/>
    <w:semiHidden/>
    <w:unhideWhenUsed/>
    <w:rsid w:val="008D46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46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23848"/>
    <w:pPr>
      <w:ind w:left="720"/>
      <w:contextualSpacing/>
    </w:pPr>
  </w:style>
  <w:style w:type="paragraph" w:styleId="Sinespaciado">
    <w:name w:val="No Spacing"/>
    <w:uiPriority w:val="1"/>
    <w:qFormat/>
    <w:rsid w:val="00F975D4"/>
    <w:pPr>
      <w:spacing w:after="0" w:line="240" w:lineRule="auto"/>
    </w:pPr>
  </w:style>
  <w:style w:type="paragraph" w:styleId="Textodeglobo">
    <w:name w:val="Balloon Text"/>
    <w:basedOn w:val="Normal"/>
    <w:link w:val="TextodegloboCar"/>
    <w:uiPriority w:val="99"/>
    <w:semiHidden/>
    <w:unhideWhenUsed/>
    <w:rsid w:val="008D46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46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D2176-712D-4EED-B7DA-3E0A44E69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667</Words>
  <Characters>3671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Tribunal1</dc:creator>
  <cp:lastModifiedBy>Tribunal1</cp:lastModifiedBy>
  <cp:revision>8</cp:revision>
  <cp:lastPrinted>2019-06-10T15:51:00Z</cp:lastPrinted>
  <dcterms:created xsi:type="dcterms:W3CDTF">2019-06-07T16:52:00Z</dcterms:created>
  <dcterms:modified xsi:type="dcterms:W3CDTF">2019-06-10T15:51:00Z</dcterms:modified>
</cp:coreProperties>
</file>