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E5" w:rsidRPr="007A7443" w:rsidRDefault="006E12E5" w:rsidP="006E12E5">
      <w:pPr>
        <w:tabs>
          <w:tab w:val="center" w:pos="4253"/>
        </w:tabs>
        <w:suppressAutoHyphens/>
        <w:spacing w:line="480" w:lineRule="auto"/>
        <w:jc w:val="right"/>
        <w:rPr>
          <w:b/>
          <w:sz w:val="28"/>
          <w:szCs w:val="28"/>
        </w:rPr>
      </w:pPr>
      <w:r w:rsidRPr="007A7443">
        <w:rPr>
          <w:b/>
          <w:sz w:val="28"/>
          <w:szCs w:val="28"/>
        </w:rPr>
        <w:t xml:space="preserve">RES. </w:t>
      </w:r>
      <w:r>
        <w:rPr>
          <w:b/>
          <w:sz w:val="28"/>
          <w:szCs w:val="28"/>
        </w:rPr>
        <w:t>1399</w:t>
      </w:r>
      <w:r w:rsidRPr="007A7443">
        <w:rPr>
          <w:b/>
          <w:sz w:val="28"/>
          <w:szCs w:val="28"/>
        </w:rPr>
        <w:t>/19</w:t>
      </w:r>
    </w:p>
    <w:p w:rsidR="006E12E5" w:rsidRPr="000F48AC" w:rsidRDefault="006E12E5" w:rsidP="006E12E5">
      <w:pPr>
        <w:tabs>
          <w:tab w:val="center" w:pos="4253"/>
        </w:tabs>
        <w:suppressAutoHyphens/>
        <w:spacing w:line="480" w:lineRule="auto"/>
        <w:jc w:val="center"/>
        <w:rPr>
          <w:b/>
          <w:lang w:val="es-ES_tradnl"/>
        </w:rPr>
      </w:pPr>
      <w:r w:rsidRPr="000F48AC">
        <w:rPr>
          <w:b/>
          <w:lang w:val="es-ES_tradnl"/>
        </w:rPr>
        <w:t>RESOLUCION ADOPTADA POR EL</w:t>
      </w:r>
    </w:p>
    <w:p w:rsidR="006E12E5" w:rsidRPr="000F48AC" w:rsidRDefault="006E12E5" w:rsidP="006E12E5">
      <w:pPr>
        <w:tabs>
          <w:tab w:val="center" w:pos="4253"/>
        </w:tabs>
        <w:suppressAutoHyphens/>
        <w:spacing w:line="480" w:lineRule="auto"/>
        <w:jc w:val="center"/>
        <w:rPr>
          <w:b/>
          <w:lang w:val="es-ES_tradnl"/>
        </w:rPr>
      </w:pPr>
      <w:r w:rsidRPr="000F48AC">
        <w:rPr>
          <w:b/>
          <w:lang w:val="es-ES_tradnl"/>
        </w:rPr>
        <w:t>TRIBUNAL DE CUENTAS</w:t>
      </w:r>
    </w:p>
    <w:p w:rsidR="006E12E5" w:rsidRPr="000F48AC" w:rsidRDefault="006E12E5" w:rsidP="006E12E5">
      <w:pPr>
        <w:tabs>
          <w:tab w:val="center" w:pos="4253"/>
        </w:tabs>
        <w:suppressAutoHyphens/>
        <w:spacing w:line="480" w:lineRule="auto"/>
        <w:jc w:val="center"/>
        <w:rPr>
          <w:b/>
          <w:lang w:val="es-ES_tradnl"/>
        </w:rPr>
      </w:pPr>
      <w:r w:rsidRPr="000F48AC">
        <w:rPr>
          <w:b/>
          <w:lang w:val="es-ES_tradnl"/>
        </w:rPr>
        <w:t xml:space="preserve">EN SESION DE FECHA </w:t>
      </w:r>
      <w:r>
        <w:rPr>
          <w:b/>
          <w:lang w:val="es-ES_tradnl"/>
        </w:rPr>
        <w:t>5 DE JUNIO DE 2019</w:t>
      </w:r>
    </w:p>
    <w:p w:rsidR="006E12E5" w:rsidRDefault="006E12E5" w:rsidP="006E12E5">
      <w:pPr>
        <w:tabs>
          <w:tab w:val="center" w:pos="4253"/>
        </w:tabs>
        <w:suppressAutoHyphens/>
        <w:spacing w:line="360" w:lineRule="auto"/>
        <w:jc w:val="center"/>
        <w:rPr>
          <w:b/>
        </w:rPr>
      </w:pPr>
      <w:r w:rsidRPr="00BB4DEC">
        <w:rPr>
          <w:b/>
        </w:rPr>
        <w:t>(E.</w:t>
      </w:r>
      <w:r>
        <w:rPr>
          <w:b/>
        </w:rPr>
        <w:t xml:space="preserve"> E. Nº 2019-17-1-0000313, </w:t>
      </w:r>
      <w:proofErr w:type="spellStart"/>
      <w:r>
        <w:rPr>
          <w:b/>
        </w:rPr>
        <w:t>Ent</w:t>
      </w:r>
      <w:proofErr w:type="spellEnd"/>
      <w:r>
        <w:rPr>
          <w:b/>
        </w:rPr>
        <w:t>. N° 1959/19</w:t>
      </w:r>
      <w:r w:rsidRPr="00BB4DEC">
        <w:rPr>
          <w:b/>
        </w:rPr>
        <w:t>)</w:t>
      </w:r>
    </w:p>
    <w:p w:rsidR="006E12E5" w:rsidRPr="00BB4DEC" w:rsidRDefault="006E12E5" w:rsidP="006E12E5">
      <w:pPr>
        <w:tabs>
          <w:tab w:val="center" w:pos="4253"/>
        </w:tabs>
        <w:suppressAutoHyphens/>
        <w:spacing w:line="360" w:lineRule="auto"/>
        <w:jc w:val="center"/>
        <w:rPr>
          <w:b/>
        </w:rPr>
      </w:pPr>
    </w:p>
    <w:p w:rsidR="00B6254A" w:rsidRDefault="00B6254A" w:rsidP="006E12E5">
      <w:pPr>
        <w:spacing w:line="360" w:lineRule="auto"/>
        <w:ind w:firstLine="851"/>
        <w:jc w:val="both"/>
        <w:rPr>
          <w:szCs w:val="20"/>
        </w:rPr>
      </w:pPr>
      <w:r w:rsidRPr="004D1043">
        <w:rPr>
          <w:b/>
        </w:rPr>
        <w:t>VISTO:</w:t>
      </w:r>
      <w:r>
        <w:t xml:space="preserve"> las nuevas actuaciones </w:t>
      </w:r>
      <w:r>
        <w:rPr>
          <w:bCs/>
          <w:lang w:val="es-MX"/>
        </w:rPr>
        <w:t xml:space="preserve">remitidas por </w:t>
      </w:r>
      <w:r w:rsidRPr="00BA5922">
        <w:rPr>
          <w:bCs/>
          <w:lang w:val="es-MX"/>
        </w:rPr>
        <w:t>la Administración de Usinas y Transmisione</w:t>
      </w:r>
      <w:r>
        <w:rPr>
          <w:bCs/>
          <w:lang w:val="es-MX"/>
        </w:rPr>
        <w:t xml:space="preserve">s Eléctricas (UTE), relacionada </w:t>
      </w:r>
      <w:r w:rsidRPr="00BA5922">
        <w:rPr>
          <w:bCs/>
          <w:lang w:val="es-MX"/>
        </w:rPr>
        <w:t xml:space="preserve"> con la </w:t>
      </w:r>
      <w:r>
        <w:rPr>
          <w:bCs/>
          <w:lang w:val="es-MX"/>
        </w:rPr>
        <w:t xml:space="preserve">reiteración de la </w:t>
      </w:r>
      <w:r w:rsidRPr="00BA5922">
        <w:rPr>
          <w:lang w:val="es-MX"/>
        </w:rPr>
        <w:t xml:space="preserve">Licitación Pública </w:t>
      </w:r>
      <w:r w:rsidRPr="00BA5922">
        <w:rPr>
          <w:rFonts w:cs="Times New Roman"/>
          <w:bCs/>
          <w:szCs w:val="20"/>
          <w:lang w:val="es-MX"/>
        </w:rPr>
        <w:t xml:space="preserve">N° </w:t>
      </w:r>
      <w:r>
        <w:rPr>
          <w:rFonts w:cs="Times New Roman"/>
          <w:bCs/>
          <w:szCs w:val="20"/>
          <w:lang w:val="es-MX"/>
        </w:rPr>
        <w:t>P51862</w:t>
      </w:r>
      <w:r w:rsidR="006E12E5">
        <w:rPr>
          <w:rFonts w:cs="Times New Roman"/>
          <w:bCs/>
          <w:szCs w:val="20"/>
          <w:lang w:val="es-MX"/>
        </w:rPr>
        <w:t xml:space="preserve"> </w:t>
      </w:r>
      <w:r>
        <w:rPr>
          <w:rFonts w:cs="Times New Roman"/>
          <w:bCs/>
          <w:szCs w:val="20"/>
          <w:lang w:val="es-MX"/>
        </w:rPr>
        <w:t>-</w:t>
      </w:r>
      <w:r>
        <w:rPr>
          <w:szCs w:val="20"/>
        </w:rPr>
        <w:t xml:space="preserve"> servicio de limpieza, tareas generales en la Central Batlle y Ordóñez y la Central Térmica de respaldo (La Tablada);</w:t>
      </w:r>
    </w:p>
    <w:p w:rsidR="00B6254A" w:rsidRDefault="00B6254A" w:rsidP="006E12E5">
      <w:pPr>
        <w:spacing w:line="360" w:lineRule="auto"/>
        <w:ind w:firstLine="851"/>
        <w:jc w:val="both"/>
        <w:rPr>
          <w:lang w:val="es-MX"/>
        </w:rPr>
      </w:pPr>
      <w:r>
        <w:rPr>
          <w:b/>
        </w:rPr>
        <w:t xml:space="preserve">RESULTANDO: 1) </w:t>
      </w:r>
      <w:r w:rsidRPr="00D63FB0">
        <w:rPr>
          <w:lang w:val="es-MX"/>
        </w:rPr>
        <w:t>que</w:t>
      </w:r>
      <w:r>
        <w:rPr>
          <w:lang w:val="es-MX"/>
        </w:rPr>
        <w:t xml:space="preserve"> el Gerente General, por Resolución Nº 101/18 de fecha 8/1/19 dispuso ad</w:t>
      </w:r>
      <w:r w:rsidR="006E12E5">
        <w:rPr>
          <w:lang w:val="es-MX"/>
        </w:rPr>
        <w:t>judicar -</w:t>
      </w:r>
      <w:r>
        <w:rPr>
          <w:lang w:val="es-MX"/>
        </w:rPr>
        <w:t>ad referéndum de la intervención pre</w:t>
      </w:r>
      <w:r w:rsidR="006E12E5">
        <w:rPr>
          <w:lang w:val="es-MX"/>
        </w:rPr>
        <w:t xml:space="preserve">ventiva del Tribunal de Cuentas-  a </w:t>
      </w:r>
      <w:proofErr w:type="spellStart"/>
      <w:r w:rsidR="006E12E5">
        <w:rPr>
          <w:lang w:val="es-MX"/>
        </w:rPr>
        <w:t>Taym</w:t>
      </w:r>
      <w:proofErr w:type="spellEnd"/>
      <w:r w:rsidR="006E12E5">
        <w:rPr>
          <w:lang w:val="es-MX"/>
        </w:rPr>
        <w:t xml:space="preserve"> Uruguay S.A.,</w:t>
      </w:r>
      <w:r>
        <w:rPr>
          <w:lang w:val="es-MX"/>
        </w:rPr>
        <w:t xml:space="preserve"> por un total para el </w:t>
      </w:r>
      <w:r w:rsidRPr="00126A00">
        <w:rPr>
          <w:lang w:val="es-MX"/>
        </w:rPr>
        <w:t>período de contratación (24 meses) $ 28:111.848</w:t>
      </w:r>
      <w:r>
        <w:rPr>
          <w:lang w:val="es-MX"/>
        </w:rPr>
        <w:t xml:space="preserve">., </w:t>
      </w:r>
      <w:r w:rsidR="006E12E5">
        <w:rPr>
          <w:lang w:val="es-MX"/>
        </w:rPr>
        <w:t>más</w:t>
      </w:r>
      <w:r>
        <w:rPr>
          <w:lang w:val="es-MX"/>
        </w:rPr>
        <w:t xml:space="preserve"> IVA (22%): $6:184.606,56., lo que asciende a un total de $ 34:296.454,56, adjudicándose asimismo gastos  para imprevistos por  $ 4:216.777,20 </w:t>
      </w:r>
      <w:r w:rsidR="006E12E5">
        <w:rPr>
          <w:lang w:val="es-MX"/>
        </w:rPr>
        <w:t>más IVA (22%): $927.690,98;</w:t>
      </w:r>
      <w:r>
        <w:rPr>
          <w:lang w:val="es-MX"/>
        </w:rPr>
        <w:t xml:space="preserve"> lo cual asciende a un total de imprevistos </w:t>
      </w:r>
      <w:r w:rsidR="006E12E5">
        <w:rPr>
          <w:lang w:val="es-MX"/>
        </w:rPr>
        <w:t>IVA incluido de $5:144.468,18,</w:t>
      </w:r>
      <w:r>
        <w:rPr>
          <w:lang w:val="es-MX"/>
        </w:rPr>
        <w:t xml:space="preserve"> </w:t>
      </w:r>
      <w:r w:rsidR="006E12E5">
        <w:rPr>
          <w:lang w:val="es-MX"/>
        </w:rPr>
        <w:t>más una</w:t>
      </w:r>
      <w:r>
        <w:rPr>
          <w:lang w:val="es-MX"/>
        </w:rPr>
        <w:t xml:space="preserve"> previsión para aju</w:t>
      </w:r>
      <w:r w:rsidR="006E12E5">
        <w:rPr>
          <w:lang w:val="es-MX"/>
        </w:rPr>
        <w:t>ste de precios: $ 6:465.725,04, más</w:t>
      </w:r>
      <w:r>
        <w:rPr>
          <w:lang w:val="es-MX"/>
        </w:rPr>
        <w:t xml:space="preserve"> IVA (22%): $ 1:422.459</w:t>
      </w:r>
      <w:r w:rsidR="006E12E5">
        <w:rPr>
          <w:lang w:val="es-MX"/>
        </w:rPr>
        <w:t>,51.</w:t>
      </w:r>
      <w:r>
        <w:rPr>
          <w:lang w:val="es-MX"/>
        </w:rPr>
        <w:t xml:space="preserve"> Total Previsión para ajuste de precios (imp. Incluidos): $ 7:888.184,55; todo lo cual asciende a la suma total de  $47:329.107,29 (impuestos incluidos), por </w:t>
      </w:r>
      <w:r w:rsidRPr="00882F96">
        <w:rPr>
          <w:lang w:val="es-MX"/>
        </w:rPr>
        <w:t>un plazo</w:t>
      </w:r>
      <w:r>
        <w:rPr>
          <w:b/>
          <w:lang w:val="es-MX"/>
        </w:rPr>
        <w:t xml:space="preserve"> </w:t>
      </w:r>
      <w:r>
        <w:rPr>
          <w:lang w:val="es-MX"/>
        </w:rPr>
        <w:t xml:space="preserve">de </w:t>
      </w:r>
      <w:r w:rsidRPr="002C4E6F">
        <w:rPr>
          <w:lang w:val="es-MX"/>
        </w:rPr>
        <w:t>2 años a contar desde el día siguiente al vencimiento del plazo establecido en el Punto 18 de la Parte II (Condiciones Generales para Adquisiciones), o hasta agotar el monto ad</w:t>
      </w:r>
      <w:r>
        <w:rPr>
          <w:lang w:val="es-MX"/>
        </w:rPr>
        <w:t>ju</w:t>
      </w:r>
      <w:r w:rsidR="006E12E5">
        <w:rPr>
          <w:lang w:val="es-MX"/>
        </w:rPr>
        <w:t>dicado, lo que ocurra primero y</w:t>
      </w:r>
      <w:r>
        <w:rPr>
          <w:lang w:val="es-MX"/>
        </w:rPr>
        <w:t xml:space="preserve"> </w:t>
      </w:r>
      <w:r w:rsidRPr="00882F96">
        <w:rPr>
          <w:lang w:val="es-MX"/>
        </w:rPr>
        <w:t>el uso de la opción</w:t>
      </w:r>
      <w:r>
        <w:rPr>
          <w:b/>
          <w:lang w:val="es-MX"/>
        </w:rPr>
        <w:t xml:space="preserve"> </w:t>
      </w:r>
      <w:r w:rsidRPr="005D0ABB">
        <w:rPr>
          <w:lang w:val="es-MX"/>
        </w:rPr>
        <w:t>que se reserva la A</w:t>
      </w:r>
      <w:r>
        <w:rPr>
          <w:lang w:val="es-MX"/>
        </w:rPr>
        <w:t>d</w:t>
      </w:r>
      <w:r w:rsidRPr="002C4E6F">
        <w:rPr>
          <w:lang w:val="es-MX"/>
        </w:rPr>
        <w:t>ministración por hasta 1 año más a partir del vencimiento d</w:t>
      </w:r>
      <w:r>
        <w:rPr>
          <w:lang w:val="es-MX"/>
        </w:rPr>
        <w:t>el contrato original;</w:t>
      </w:r>
    </w:p>
    <w:p w:rsidR="00B6254A" w:rsidRDefault="006E12E5" w:rsidP="006E12E5">
      <w:pPr>
        <w:spacing w:line="360" w:lineRule="auto"/>
        <w:ind w:firstLine="2694"/>
        <w:jc w:val="both"/>
      </w:pPr>
      <w:r>
        <w:rPr>
          <w:lang w:val="es-MX"/>
        </w:rPr>
        <w:t xml:space="preserve"> </w:t>
      </w:r>
      <w:r w:rsidR="00B6254A" w:rsidRPr="00F9660A">
        <w:rPr>
          <w:b/>
          <w:lang w:val="es-MX"/>
        </w:rPr>
        <w:t>2)</w:t>
      </w:r>
      <w:r w:rsidR="00B6254A">
        <w:rPr>
          <w:lang w:val="es-MX"/>
        </w:rPr>
        <w:t xml:space="preserve"> que este Tribunal por Resolución N° 408/19 de fecha 06.02.19 observó el gasto en razón de que: </w:t>
      </w:r>
      <w:r w:rsidR="00B6254A" w:rsidRPr="00131E0E">
        <w:rPr>
          <w:b/>
          <w:lang w:val="es-MX"/>
        </w:rPr>
        <w:t>2.1)</w:t>
      </w:r>
      <w:r w:rsidR="00B6254A">
        <w:rPr>
          <w:lang w:val="es-MX"/>
        </w:rPr>
        <w:t xml:space="preserve"> </w:t>
      </w:r>
      <w:r w:rsidR="00B6254A">
        <w:rPr>
          <w:bCs/>
          <w:lang w:val="es-MX"/>
        </w:rPr>
        <w:t xml:space="preserve">el informe de asesoramiento </w:t>
      </w:r>
      <w:r w:rsidR="004F4627">
        <w:rPr>
          <w:bCs/>
          <w:lang w:val="es-MX"/>
        </w:rPr>
        <w:t>y estudio de ofertas había sido</w:t>
      </w:r>
      <w:r w:rsidR="00B6254A">
        <w:rPr>
          <w:bCs/>
          <w:lang w:val="es-MX"/>
        </w:rPr>
        <w:t xml:space="preserve"> efectuado por la Comisión </w:t>
      </w:r>
      <w:r w:rsidR="00B6254A">
        <w:rPr>
          <w:bCs/>
          <w:lang w:val="es-MX"/>
        </w:rPr>
        <w:lastRenderedPageBreak/>
        <w:t xml:space="preserve">Asesora y  estaba  suscrito por una de las tres integrantes de dicha Comisión, lo que </w:t>
      </w:r>
      <w:r w:rsidR="00B6254A" w:rsidRPr="00661E18">
        <w:t>implica</w:t>
      </w:r>
      <w:r w:rsidR="00B6254A">
        <w:t>ba</w:t>
      </w:r>
      <w:r w:rsidR="00B6254A" w:rsidRPr="00661E18">
        <w:t xml:space="preserve"> la contravenc</w:t>
      </w:r>
      <w:r w:rsidR="00B6254A">
        <w:t>ión a</w:t>
      </w:r>
      <w:r w:rsidR="0031600F">
        <w:t xml:space="preserve"> lo preceptuado por el artículo</w:t>
      </w:r>
      <w:r w:rsidR="00B6254A" w:rsidRPr="00661E18">
        <w:t xml:space="preserve"> 66 del T.O.C.A.F., que establece como cometidos de la Comisión Asesora el informar fundadamente acerca de la admisibilidad</w:t>
      </w:r>
      <w:r w:rsidR="00B6254A">
        <w:t xml:space="preserve"> y conveniencia de las ofertas y </w:t>
      </w:r>
      <w:r w:rsidR="00B6254A" w:rsidRPr="00661E18">
        <w:t>en tanto al tratarse de una Comisión y por tanto de integración colegiada, requiere la actuación de</w:t>
      </w:r>
      <w:r w:rsidR="00B6254A">
        <w:t xml:space="preserve"> todos sus integrantes para expedirse (Considerando 1 de la Resolución 408/19);</w:t>
      </w:r>
      <w:r w:rsidR="00B6254A" w:rsidRPr="00661E18">
        <w:t xml:space="preserve"> </w:t>
      </w:r>
      <w:r w:rsidR="00B6254A" w:rsidRPr="00131E0E">
        <w:rPr>
          <w:b/>
        </w:rPr>
        <w:t>2.2)</w:t>
      </w:r>
      <w:r w:rsidR="00B6254A">
        <w:t xml:space="preserve"> </w:t>
      </w:r>
      <w:r w:rsidR="00B6254A" w:rsidRPr="00626B1A">
        <w:rPr>
          <w:spacing w:val="-3"/>
          <w:lang w:val="es-UY"/>
        </w:rPr>
        <w:t xml:space="preserve">que en el caso, </w:t>
      </w:r>
      <w:r w:rsidR="00B6254A">
        <w:rPr>
          <w:spacing w:val="-3"/>
          <w:lang w:val="es-UY"/>
        </w:rPr>
        <w:t>resultaba</w:t>
      </w:r>
      <w:r w:rsidR="00B6254A" w:rsidRPr="00626B1A">
        <w:rPr>
          <w:spacing w:val="-3"/>
          <w:lang w:val="es-UY"/>
        </w:rPr>
        <w:t xml:space="preserve"> de aplicación el Pliego de Condiciones Generales para Adquisiciones de Suministros y Servicios, que en su Artículo 8.3 establece: </w:t>
      </w:r>
      <w:r w:rsidR="00B6254A" w:rsidRPr="00626B1A">
        <w:rPr>
          <w:i/>
          <w:spacing w:val="-3"/>
          <w:lang w:val="es-UY"/>
        </w:rPr>
        <w:t>“UTE aceptará ofertas que contengan cláusulas de limitación de la responsabilidad por daño emergente y/o lucro cesante, salvo que el Pliego Particular determine lo contrario”;</w:t>
      </w:r>
      <w:r w:rsidR="00B6254A">
        <w:rPr>
          <w:i/>
          <w:spacing w:val="-3"/>
          <w:lang w:val="es-UY"/>
        </w:rPr>
        <w:t xml:space="preserve"> </w:t>
      </w:r>
      <w:r w:rsidR="00B6254A">
        <w:rPr>
          <w:spacing w:val="-3"/>
          <w:lang w:val="es-UY"/>
        </w:rPr>
        <w:t>y</w:t>
      </w:r>
      <w:r w:rsidR="00B6254A" w:rsidRPr="00626B1A">
        <w:rPr>
          <w:spacing w:val="-3"/>
          <w:lang w:val="es-UY"/>
        </w:rPr>
        <w:t xml:space="preserve"> que la disposición  deja</w:t>
      </w:r>
      <w:r w:rsidR="00B6254A">
        <w:rPr>
          <w:spacing w:val="-3"/>
          <w:lang w:val="es-UY"/>
        </w:rPr>
        <w:t>ba</w:t>
      </w:r>
      <w:r w:rsidR="00B6254A" w:rsidRPr="00626B1A">
        <w:rPr>
          <w:spacing w:val="-3"/>
          <w:lang w:val="es-UY"/>
        </w:rPr>
        <w:t xml:space="preserve"> librado al mero arbitrio de los oferentes el determinar el grado de limitación de la </w:t>
      </w:r>
      <w:r w:rsidR="00B6254A">
        <w:rPr>
          <w:spacing w:val="-3"/>
          <w:lang w:val="es-UY"/>
        </w:rPr>
        <w:t>responsabilidad en tanto permitía</w:t>
      </w:r>
      <w:r w:rsidR="00B6254A" w:rsidRPr="00626B1A">
        <w:rPr>
          <w:spacing w:val="-3"/>
          <w:lang w:val="es-UY"/>
        </w:rPr>
        <w:t xml:space="preserve"> con carácter amplio que los mismos introdu</w:t>
      </w:r>
      <w:r w:rsidR="00B6254A">
        <w:rPr>
          <w:spacing w:val="-3"/>
          <w:lang w:val="es-UY"/>
        </w:rPr>
        <w:t>jeran</w:t>
      </w:r>
      <w:r w:rsidR="00B6254A" w:rsidRPr="00626B1A">
        <w:rPr>
          <w:spacing w:val="-3"/>
          <w:lang w:val="es-UY"/>
        </w:rPr>
        <w:t xml:space="preserve"> a la relación contractual cláusulas al respecto, sin establecer parámetros o límites que </w:t>
      </w:r>
      <w:r w:rsidR="00B6254A">
        <w:rPr>
          <w:spacing w:val="-3"/>
          <w:lang w:val="es-UY"/>
        </w:rPr>
        <w:t>per</w:t>
      </w:r>
      <w:r w:rsidR="0031600F">
        <w:rPr>
          <w:spacing w:val="-3"/>
          <w:lang w:val="es-UY"/>
        </w:rPr>
        <w:t>mitieran identificar su alcance</w:t>
      </w:r>
      <w:r w:rsidR="00B6254A">
        <w:rPr>
          <w:spacing w:val="-3"/>
          <w:lang w:val="es-UY"/>
        </w:rPr>
        <w:t xml:space="preserve"> (Considerando 5) </w:t>
      </w:r>
      <w:r w:rsidR="0031600F">
        <w:rPr>
          <w:spacing w:val="-3"/>
          <w:lang w:val="es-UY"/>
        </w:rPr>
        <w:t xml:space="preserve"> </w:t>
      </w:r>
      <w:r w:rsidR="00B6254A">
        <w:rPr>
          <w:spacing w:val="-3"/>
          <w:lang w:val="es-UY"/>
        </w:rPr>
        <w:t>Res. 408/2019)</w:t>
      </w:r>
      <w:r w:rsidR="004F4627">
        <w:rPr>
          <w:spacing w:val="-3"/>
          <w:lang w:val="es-UY"/>
        </w:rPr>
        <w:t xml:space="preserve"> </w:t>
      </w:r>
      <w:r w:rsidR="00B6254A">
        <w:rPr>
          <w:spacing w:val="-3"/>
          <w:lang w:val="es-UY"/>
        </w:rPr>
        <w:t xml:space="preserve">y </w:t>
      </w:r>
      <w:r w:rsidR="00B6254A" w:rsidRPr="00131E0E">
        <w:rPr>
          <w:b/>
          <w:spacing w:val="-3"/>
          <w:lang w:val="es-UY"/>
        </w:rPr>
        <w:t>2.3)</w:t>
      </w:r>
      <w:r w:rsidR="00B6254A">
        <w:rPr>
          <w:spacing w:val="-3"/>
          <w:lang w:val="es-UY"/>
        </w:rPr>
        <w:t xml:space="preserve"> </w:t>
      </w:r>
      <w:r w:rsidR="00B6254A" w:rsidRPr="00626B1A">
        <w:t xml:space="preserve">que se </w:t>
      </w:r>
      <w:r w:rsidR="00B6254A">
        <w:t>había comprometido</w:t>
      </w:r>
      <w:r w:rsidR="00B6254A" w:rsidRPr="00626B1A">
        <w:t xml:space="preserve"> un gasto sin crédito disponible en el rubro de imputación</w:t>
      </w:r>
      <w:r w:rsidR="00B6254A" w:rsidRPr="00CC6FD6">
        <w:t>, contr</w:t>
      </w:r>
      <w:r w:rsidR="00B6254A">
        <w:t xml:space="preserve">aviniendo lo dispuesto en el artículo </w:t>
      </w:r>
      <w:r w:rsidR="00B6254A" w:rsidRPr="00CC6FD6">
        <w:t xml:space="preserve"> 15 del T.O.C.A.F</w:t>
      </w:r>
      <w:r w:rsidR="00B6254A">
        <w:t xml:space="preserve"> (Considerando 6) de la refer</w:t>
      </w:r>
      <w:r w:rsidR="004F4627">
        <w:t>ida Resolución de este Tribunal</w:t>
      </w:r>
      <w:r w:rsidR="00B6254A">
        <w:t xml:space="preserve">; </w:t>
      </w:r>
    </w:p>
    <w:p w:rsidR="00B6254A" w:rsidRDefault="004F4627" w:rsidP="004F4627">
      <w:pPr>
        <w:spacing w:line="360" w:lineRule="auto"/>
        <w:ind w:firstLine="2694"/>
        <w:jc w:val="both"/>
      </w:pPr>
      <w:r>
        <w:t xml:space="preserve"> </w:t>
      </w:r>
      <w:r w:rsidR="00B6254A" w:rsidRPr="00C534CA">
        <w:rPr>
          <w:b/>
        </w:rPr>
        <w:t>3)</w:t>
      </w:r>
      <w:r w:rsidR="00B6254A">
        <w:rPr>
          <w:b/>
        </w:rPr>
        <w:t xml:space="preserve"> </w:t>
      </w:r>
      <w:r w:rsidR="00B6254A" w:rsidRPr="00C534CA">
        <w:t>que en la oportunidad, por Resolución 19.-890 de fecha 04.04.19</w:t>
      </w:r>
      <w:r w:rsidR="00B6254A">
        <w:t>,</w:t>
      </w:r>
      <w:r w:rsidR="00B6254A" w:rsidRPr="00C534CA">
        <w:t xml:space="preserve"> se reiteró el gasto argumentando </w:t>
      </w:r>
      <w:r w:rsidR="00B6254A">
        <w:t xml:space="preserve">las siguientes consideraciones: </w:t>
      </w:r>
      <w:r w:rsidR="00B6254A" w:rsidRPr="00C534CA">
        <w:rPr>
          <w:b/>
        </w:rPr>
        <w:t>3.1)</w:t>
      </w:r>
      <w:r w:rsidR="00B6254A">
        <w:t xml:space="preserve"> que la Comisión se expidió de forma colegiada y que si bien el informe que se adjuntó al expediente, fue firmado por un único integrante, se cuenta con la firma electrónica en SAP de todos aquellos que integraron la Comisión Asesora, habiéndoselo trasmitido al Tribunal de Cuentas por nota de 28.01.19; </w:t>
      </w:r>
      <w:r w:rsidR="00B6254A" w:rsidRPr="00C534CA">
        <w:rPr>
          <w:b/>
        </w:rPr>
        <w:t>3.2)</w:t>
      </w:r>
      <w:r w:rsidR="00B6254A">
        <w:rPr>
          <w:b/>
        </w:rPr>
        <w:t xml:space="preserve"> </w:t>
      </w:r>
      <w:r w:rsidR="00B6254A" w:rsidRPr="00C534CA">
        <w:t xml:space="preserve">que la cláusula cuestionada del Pliego de Condiciones </w:t>
      </w:r>
      <w:r w:rsidR="00B6254A">
        <w:t xml:space="preserve">atiende a lo dispuesto por R 12-436 de fecha 22.03.12 y no condicionó en modo alguno la participación de otros oferentes en el procedimiento licitatorio, no contraviniendo ninguno de los principios previstos en el artículo 149 del TOCAF, en cuanto la empresa adjudicataria no limitó su </w:t>
      </w:r>
      <w:r w:rsidR="00B6254A">
        <w:lastRenderedPageBreak/>
        <w:t xml:space="preserve">responsabilidad por daño emergente y/o lucro cesante en la oferta presentada, pese a la posibilidad que le otorgaba el Pliego de Condiciones, por lo cual la disposición objetada no resultó de aplicación en la presente contratación y </w:t>
      </w:r>
      <w:r>
        <w:t xml:space="preserve">    </w:t>
      </w:r>
      <w:r w:rsidR="00B6254A" w:rsidRPr="004233BD">
        <w:rPr>
          <w:b/>
        </w:rPr>
        <w:t>3.3)</w:t>
      </w:r>
      <w:r>
        <w:t xml:space="preserve"> que contar con</w:t>
      </w:r>
      <w:r w:rsidR="00B6254A">
        <w:t xml:space="preserve"> el servicio de referencia es imprescindible a efectos de mantener las instalaciones de las centrales en condiciones de limpieza aceptables para la operación de las mismas y tener controlados aspectos de seguridad y ambientales propicios;</w:t>
      </w:r>
    </w:p>
    <w:p w:rsidR="00B6254A" w:rsidRDefault="00B6254A" w:rsidP="004F4627">
      <w:pPr>
        <w:spacing w:line="360" w:lineRule="auto"/>
        <w:ind w:firstLine="851"/>
        <w:jc w:val="both"/>
      </w:pPr>
      <w:r w:rsidRPr="00014E9E">
        <w:rPr>
          <w:b/>
        </w:rPr>
        <w:t xml:space="preserve">CONSIDERANDO: </w:t>
      </w:r>
      <w:r>
        <w:rPr>
          <w:b/>
        </w:rPr>
        <w:t xml:space="preserve">1) </w:t>
      </w:r>
      <w:r w:rsidRPr="00014E9E">
        <w:t xml:space="preserve">que </w:t>
      </w:r>
      <w:r w:rsidR="0031600F">
        <w:t>el sistema de firma</w:t>
      </w:r>
      <w:r>
        <w:t xml:space="preserve"> electrónica (</w:t>
      </w:r>
      <w:r w:rsidRPr="00014E9E">
        <w:t>SAP</w:t>
      </w:r>
      <w:r w:rsidR="004F4627">
        <w:t>) cuya copia fue</w:t>
      </w:r>
      <w:r>
        <w:t xml:space="preserve"> remitido deja constancia que el Acta de la Comisión Ase</w:t>
      </w:r>
      <w:r w:rsidR="004F4627">
        <w:t>sora fue suscrita por todos los que</w:t>
      </w:r>
      <w:r w:rsidRPr="00014E9E">
        <w:t xml:space="preserve"> integraron la Comisión Asesora, </w:t>
      </w:r>
      <w:r>
        <w:t xml:space="preserve">-aunque dicha circunstancia </w:t>
      </w:r>
      <w:r w:rsidRPr="00014E9E">
        <w:t>no surgía del informe remitido</w:t>
      </w:r>
      <w:r>
        <w:t xml:space="preserve"> a este Tribunal para su intervención-  y que asimismo surge que la misma fue suscrita en diferentes fechas, todas antes del inicio del siguiente trámite administrativo, por lo cual, puede considerarse que el Acta fue avalada por todos los integrantes de dicha Comisión; </w:t>
      </w:r>
      <w:r w:rsidRPr="00014E9E">
        <w:t xml:space="preserve"> </w:t>
      </w:r>
    </w:p>
    <w:p w:rsidR="00B31CF6" w:rsidRDefault="004F4627" w:rsidP="00B31CF6">
      <w:pPr>
        <w:spacing w:line="360" w:lineRule="auto"/>
        <w:ind w:firstLine="2977"/>
        <w:jc w:val="both"/>
      </w:pPr>
      <w:r>
        <w:t xml:space="preserve"> </w:t>
      </w:r>
      <w:r w:rsidR="00B6254A" w:rsidRPr="00014E9E">
        <w:rPr>
          <w:b/>
        </w:rPr>
        <w:t xml:space="preserve">2) </w:t>
      </w:r>
      <w:r w:rsidR="00B6254A" w:rsidRPr="00733746">
        <w:t>que</w:t>
      </w:r>
      <w:r w:rsidR="00B6254A">
        <w:t>, res</w:t>
      </w:r>
      <w:r>
        <w:t xml:space="preserve">pecto a la cláusula del pliego </w:t>
      </w:r>
      <w:r w:rsidR="00B31CF6">
        <w:t xml:space="preserve">que </w:t>
      </w:r>
      <w:r>
        <w:t>s</w:t>
      </w:r>
      <w:r w:rsidR="00B6254A">
        <w:t>e refiere a la limitación de la responsabilidad y que fuera observada por este Tribunal, son de recibo los argumentos ex</w:t>
      </w:r>
      <w:r>
        <w:t>presados por la administración,</w:t>
      </w:r>
      <w:r w:rsidR="00B6254A">
        <w:t xml:space="preserve"> en la medida que la empresa no hizo uso de dicha cláusula (Resultando 3.2);</w:t>
      </w:r>
    </w:p>
    <w:p w:rsidR="00B31CF6" w:rsidRDefault="00B31CF6" w:rsidP="00B31CF6">
      <w:pPr>
        <w:spacing w:line="360" w:lineRule="auto"/>
        <w:ind w:firstLine="2977"/>
        <w:jc w:val="both"/>
      </w:pPr>
      <w:r>
        <w:t xml:space="preserve"> </w:t>
      </w:r>
      <w:r w:rsidR="00B6254A">
        <w:rPr>
          <w:b/>
        </w:rPr>
        <w:t xml:space="preserve">3) </w:t>
      </w:r>
      <w:r w:rsidR="00B6254A">
        <w:t>que sin perjuicio de ello, en lo sucesiv</w:t>
      </w:r>
      <w:r>
        <w:t>o se  deberán tomar las medidas</w:t>
      </w:r>
      <w:r w:rsidR="00B6254A">
        <w:t xml:space="preserve"> para eliminar de los Pl</w:t>
      </w:r>
      <w:r>
        <w:t>iegos de Condiciones  artículos</w:t>
      </w:r>
      <w:r w:rsidR="00B6254A">
        <w:t xml:space="preserve"> que dejen librado a los oferentes la posibilidad de limitar la responsabilidad; </w:t>
      </w:r>
    </w:p>
    <w:p w:rsidR="00B6254A" w:rsidRDefault="00B31CF6" w:rsidP="00B31CF6">
      <w:pPr>
        <w:spacing w:line="360" w:lineRule="auto"/>
        <w:ind w:firstLine="2977"/>
        <w:jc w:val="both"/>
      </w:pPr>
      <w:r>
        <w:t xml:space="preserve"> </w:t>
      </w:r>
      <w:r w:rsidR="00B6254A">
        <w:rPr>
          <w:b/>
        </w:rPr>
        <w:t>4</w:t>
      </w:r>
      <w:r w:rsidR="00B6254A" w:rsidRPr="00733746">
        <w:rPr>
          <w:b/>
        </w:rPr>
        <w:t xml:space="preserve">) </w:t>
      </w:r>
      <w:r w:rsidR="00B6254A" w:rsidRPr="008563DA">
        <w:t xml:space="preserve">que </w:t>
      </w:r>
      <w:r w:rsidR="00B6254A">
        <w:t xml:space="preserve">en lo relativo a la observación por no contar con disponibilidad, dado que no se ha informado respecto a la misma en el Ejercicio 2019, corresponde cometer al Contador Delegado la intervención del gasto, previa verificación de su imputación a rubro adecuado, con disponibilidad suficiente; </w:t>
      </w:r>
    </w:p>
    <w:p w:rsidR="00B6254A" w:rsidRPr="00AD16C2" w:rsidRDefault="00B6254A" w:rsidP="00B31CF6">
      <w:pPr>
        <w:spacing w:line="360" w:lineRule="auto"/>
        <w:ind w:firstLine="851"/>
        <w:jc w:val="both"/>
        <w:rPr>
          <w:i/>
          <w:iCs/>
        </w:rPr>
      </w:pPr>
      <w:r w:rsidRPr="0010743E">
        <w:rPr>
          <w:b/>
        </w:rPr>
        <w:lastRenderedPageBreak/>
        <w:t xml:space="preserve">ATENTO: </w:t>
      </w:r>
      <w:r w:rsidRPr="0010743E">
        <w:rPr>
          <w:bCs/>
        </w:rPr>
        <w:t>a lo precedentemente expuesto, y a lo dispuesto por el Art</w:t>
      </w:r>
      <w:r>
        <w:rPr>
          <w:bCs/>
        </w:rPr>
        <w:t>ículo</w:t>
      </w:r>
      <w:r w:rsidR="00B31CF6">
        <w:rPr>
          <w:bCs/>
        </w:rPr>
        <w:t xml:space="preserve"> 211 </w:t>
      </w:r>
      <w:proofErr w:type="spellStart"/>
      <w:r w:rsidR="00B31CF6">
        <w:rPr>
          <w:bCs/>
        </w:rPr>
        <w:t>l</w:t>
      </w:r>
      <w:r w:rsidRPr="0010743E">
        <w:rPr>
          <w:bCs/>
        </w:rPr>
        <w:t>it.</w:t>
      </w:r>
      <w:proofErr w:type="spellEnd"/>
      <w:r w:rsidRPr="0010743E">
        <w:rPr>
          <w:bCs/>
        </w:rPr>
        <w:t xml:space="preserve"> B) de la Constitución de la República;</w:t>
      </w:r>
    </w:p>
    <w:p w:rsidR="00B6254A" w:rsidRPr="00AD16C2" w:rsidRDefault="00B6254A" w:rsidP="006E12E5">
      <w:pPr>
        <w:pStyle w:val="Ttulo3"/>
        <w:jc w:val="center"/>
        <w:rPr>
          <w:i w:val="0"/>
          <w:iCs w:val="0"/>
          <w:sz w:val="24"/>
        </w:rPr>
      </w:pPr>
      <w:r w:rsidRPr="00AD16C2">
        <w:rPr>
          <w:i w:val="0"/>
          <w:iCs w:val="0"/>
          <w:sz w:val="24"/>
        </w:rPr>
        <w:t>EL TRIBUNAL ACUERDA</w:t>
      </w:r>
    </w:p>
    <w:p w:rsidR="00B6254A" w:rsidRDefault="00B31CF6" w:rsidP="00B31CF6">
      <w:pPr>
        <w:pStyle w:val="Ttulo3"/>
        <w:jc w:val="both"/>
        <w:rPr>
          <w:b w:val="0"/>
          <w:i w:val="0"/>
          <w:iCs w:val="0"/>
          <w:sz w:val="24"/>
        </w:rPr>
      </w:pPr>
      <w:r>
        <w:rPr>
          <w:i w:val="0"/>
          <w:iCs w:val="0"/>
          <w:sz w:val="24"/>
        </w:rPr>
        <w:t xml:space="preserve">1) </w:t>
      </w:r>
      <w:r w:rsidR="00B6254A" w:rsidRPr="00F9180B">
        <w:rPr>
          <w:b w:val="0"/>
          <w:i w:val="0"/>
          <w:iCs w:val="0"/>
          <w:sz w:val="24"/>
        </w:rPr>
        <w:t>Levantar la</w:t>
      </w:r>
      <w:r w:rsidR="006E12E5">
        <w:rPr>
          <w:b w:val="0"/>
          <w:i w:val="0"/>
          <w:iCs w:val="0"/>
          <w:sz w:val="24"/>
        </w:rPr>
        <w:t>s observaciones formuladas por</w:t>
      </w:r>
      <w:r w:rsidR="00B6254A">
        <w:rPr>
          <w:b w:val="0"/>
          <w:i w:val="0"/>
          <w:iCs w:val="0"/>
          <w:sz w:val="24"/>
        </w:rPr>
        <w:t xml:space="preserve"> Resolución N° 408/19 dictada en Sesión de fecha 6.02.2019; </w:t>
      </w:r>
    </w:p>
    <w:p w:rsidR="00B6254A" w:rsidRDefault="00B31CF6" w:rsidP="00B31CF6">
      <w:pPr>
        <w:spacing w:line="360" w:lineRule="auto"/>
        <w:jc w:val="both"/>
      </w:pPr>
      <w:r>
        <w:rPr>
          <w:b/>
          <w:lang w:val="es-MX"/>
        </w:rPr>
        <w:t xml:space="preserve">2) </w:t>
      </w:r>
      <w:r w:rsidR="00B6254A">
        <w:t>Co</w:t>
      </w:r>
      <w:r>
        <w:t>meter la intervención del gasto</w:t>
      </w:r>
      <w:r w:rsidR="00B6254A">
        <w:t xml:space="preserve"> al Contador Delegado previa verificación de su imputación a rubro adecuado, con disponibilidad suficiente; </w:t>
      </w:r>
    </w:p>
    <w:p w:rsidR="00B6254A" w:rsidRPr="00F856BC" w:rsidRDefault="00B31CF6" w:rsidP="00B31CF6">
      <w:pPr>
        <w:spacing w:line="360" w:lineRule="auto"/>
        <w:jc w:val="both"/>
        <w:rPr>
          <w:lang w:val="es-MX"/>
        </w:rPr>
      </w:pPr>
      <w:r>
        <w:rPr>
          <w:b/>
          <w:lang w:val="es-MX"/>
        </w:rPr>
        <w:t xml:space="preserve">3) </w:t>
      </w:r>
      <w:r w:rsidR="00B6254A" w:rsidRPr="00F856BC">
        <w:rPr>
          <w:lang w:val="es-MX"/>
        </w:rPr>
        <w:t xml:space="preserve">Téngase presente lo </w:t>
      </w:r>
      <w:r>
        <w:rPr>
          <w:lang w:val="es-MX"/>
        </w:rPr>
        <w:t>expresado en el Considerando 3);</w:t>
      </w:r>
    </w:p>
    <w:p w:rsidR="00B6254A" w:rsidRDefault="00B31CF6" w:rsidP="00B31CF6">
      <w:pPr>
        <w:pStyle w:val="Ttulo3"/>
        <w:jc w:val="both"/>
        <w:rPr>
          <w:b w:val="0"/>
          <w:i w:val="0"/>
          <w:iCs w:val="0"/>
          <w:sz w:val="24"/>
        </w:rPr>
      </w:pPr>
      <w:r>
        <w:rPr>
          <w:i w:val="0"/>
          <w:iCs w:val="0"/>
          <w:sz w:val="24"/>
        </w:rPr>
        <w:t xml:space="preserve">4) </w:t>
      </w:r>
      <w:r w:rsidR="00B6254A" w:rsidRPr="00AD16C2">
        <w:rPr>
          <w:b w:val="0"/>
          <w:i w:val="0"/>
          <w:iCs w:val="0"/>
          <w:sz w:val="24"/>
        </w:rPr>
        <w:t xml:space="preserve">Comunicar </w:t>
      </w:r>
      <w:r w:rsidR="000A0850">
        <w:rPr>
          <w:b w:val="0"/>
          <w:i w:val="0"/>
          <w:iCs w:val="0"/>
          <w:sz w:val="24"/>
        </w:rPr>
        <w:t>al Contador Delegado;</w:t>
      </w:r>
    </w:p>
    <w:p w:rsidR="000A0850" w:rsidRPr="000A0850" w:rsidRDefault="000A0850" w:rsidP="000A0850">
      <w:pPr>
        <w:rPr>
          <w:lang w:val="es-MX"/>
        </w:rPr>
      </w:pPr>
      <w:r>
        <w:rPr>
          <w:b/>
          <w:lang w:val="es-MX"/>
        </w:rPr>
        <w:t xml:space="preserve">5) </w:t>
      </w:r>
      <w:r>
        <w:rPr>
          <w:lang w:val="es-MX"/>
        </w:rPr>
        <w:t>Devolve</w:t>
      </w:r>
      <w:r w:rsidR="00417C9B">
        <w:rPr>
          <w:lang w:val="es-MX"/>
        </w:rPr>
        <w:t>r</w:t>
      </w:r>
      <w:bookmarkStart w:id="0" w:name="_GoBack"/>
      <w:bookmarkEnd w:id="0"/>
      <w:r>
        <w:rPr>
          <w:lang w:val="es-MX"/>
        </w:rPr>
        <w:t xml:space="preserve">. </w:t>
      </w:r>
    </w:p>
    <w:p w:rsidR="000A0850" w:rsidRDefault="000A0850" w:rsidP="00B31CF6">
      <w:pPr>
        <w:spacing w:line="360" w:lineRule="auto"/>
        <w:jc w:val="both"/>
        <w:rPr>
          <w:lang w:val="es-MX"/>
        </w:rPr>
      </w:pPr>
    </w:p>
    <w:p w:rsidR="006E12E5" w:rsidRPr="006E12E5" w:rsidRDefault="006E12E5" w:rsidP="00B31CF6">
      <w:pPr>
        <w:spacing w:line="360" w:lineRule="auto"/>
        <w:jc w:val="both"/>
        <w:rPr>
          <w:lang w:val="es-MX"/>
        </w:rPr>
      </w:pPr>
      <w:proofErr w:type="gramStart"/>
      <w:r>
        <w:rPr>
          <w:lang w:val="es-MX"/>
        </w:rPr>
        <w:t>lm</w:t>
      </w:r>
      <w:proofErr w:type="gramEnd"/>
    </w:p>
    <w:p w:rsidR="00BE7A8F" w:rsidRPr="00B6254A" w:rsidRDefault="00BE7A8F" w:rsidP="006E12E5">
      <w:pPr>
        <w:spacing w:line="360" w:lineRule="auto"/>
        <w:rPr>
          <w:lang w:val="es-MX"/>
        </w:rPr>
      </w:pPr>
    </w:p>
    <w:sectPr w:rsidR="00BE7A8F" w:rsidRPr="00B6254A" w:rsidSect="00017AF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E5" w:rsidRDefault="006E12E5" w:rsidP="006E12E5">
      <w:r>
        <w:separator/>
      </w:r>
    </w:p>
  </w:endnote>
  <w:endnote w:type="continuationSeparator" w:id="0">
    <w:p w:rsidR="006E12E5" w:rsidRDefault="006E12E5" w:rsidP="006E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41521"/>
      <w:docPartObj>
        <w:docPartGallery w:val="Page Numbers (Bottom of Page)"/>
        <w:docPartUnique/>
      </w:docPartObj>
    </w:sdtPr>
    <w:sdtEndPr/>
    <w:sdtContent>
      <w:p w:rsidR="006E12E5" w:rsidRDefault="006E12E5">
        <w:pPr>
          <w:pStyle w:val="Piedepgina"/>
          <w:jc w:val="center"/>
        </w:pPr>
      </w:p>
      <w:p w:rsidR="006E12E5" w:rsidRDefault="006E12E5">
        <w:pPr>
          <w:pStyle w:val="Piedepgina"/>
          <w:jc w:val="center"/>
        </w:pPr>
        <w:r>
          <w:fldChar w:fldCharType="begin"/>
        </w:r>
        <w:r>
          <w:instrText>PAGE   \* MERGEFORMAT</w:instrText>
        </w:r>
        <w:r>
          <w:fldChar w:fldCharType="separate"/>
        </w:r>
        <w:r w:rsidR="00017AFE">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E5" w:rsidRDefault="006E12E5" w:rsidP="006E12E5">
      <w:r>
        <w:separator/>
      </w:r>
    </w:p>
  </w:footnote>
  <w:footnote w:type="continuationSeparator" w:id="0">
    <w:p w:rsidR="006E12E5" w:rsidRDefault="006E12E5" w:rsidP="006E1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E1"/>
    <w:multiLevelType w:val="hybridMultilevel"/>
    <w:tmpl w:val="5EA695AC"/>
    <w:lvl w:ilvl="0" w:tplc="8D8A4EE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4A"/>
    <w:rsid w:val="00017AFE"/>
    <w:rsid w:val="000A0850"/>
    <w:rsid w:val="0031600F"/>
    <w:rsid w:val="00417C9B"/>
    <w:rsid w:val="004F4627"/>
    <w:rsid w:val="00501C16"/>
    <w:rsid w:val="006E12E5"/>
    <w:rsid w:val="00B31CF6"/>
    <w:rsid w:val="00B6254A"/>
    <w:rsid w:val="00BE7A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4A"/>
    <w:pPr>
      <w:spacing w:after="0" w:line="240" w:lineRule="auto"/>
    </w:pPr>
    <w:rPr>
      <w:rFonts w:ascii="Arial" w:eastAsia="Times New Roman" w:hAnsi="Arial" w:cs="Arial"/>
      <w:sz w:val="24"/>
      <w:szCs w:val="24"/>
      <w:lang w:val="es-ES" w:eastAsia="es-ES"/>
    </w:rPr>
  </w:style>
  <w:style w:type="paragraph" w:styleId="Ttulo3">
    <w:name w:val="heading 3"/>
    <w:basedOn w:val="Normal"/>
    <w:next w:val="Normal"/>
    <w:link w:val="Ttulo3Car"/>
    <w:qFormat/>
    <w:rsid w:val="00B6254A"/>
    <w:pPr>
      <w:keepNext/>
      <w:spacing w:line="360" w:lineRule="auto"/>
      <w:outlineLvl w:val="2"/>
    </w:pPr>
    <w:rPr>
      <w:b/>
      <w:bCs/>
      <w:i/>
      <w:iCs/>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6254A"/>
    <w:rPr>
      <w:rFonts w:ascii="Arial" w:eastAsia="Times New Roman" w:hAnsi="Arial" w:cs="Arial"/>
      <w:b/>
      <w:bCs/>
      <w:i/>
      <w:iCs/>
      <w:szCs w:val="24"/>
      <w:lang w:val="es-MX" w:eastAsia="es-ES"/>
    </w:rPr>
  </w:style>
  <w:style w:type="paragraph" w:styleId="Ttulo">
    <w:name w:val="Title"/>
    <w:basedOn w:val="Normal"/>
    <w:link w:val="TtuloCar"/>
    <w:qFormat/>
    <w:rsid w:val="00B6254A"/>
    <w:pPr>
      <w:spacing w:line="360" w:lineRule="auto"/>
      <w:jc w:val="center"/>
    </w:pPr>
    <w:rPr>
      <w:b/>
      <w:szCs w:val="20"/>
      <w:u w:val="single"/>
      <w:lang w:val="es-MX"/>
    </w:rPr>
  </w:style>
  <w:style w:type="character" w:customStyle="1" w:styleId="TtuloCar">
    <w:name w:val="Título Car"/>
    <w:basedOn w:val="Fuentedeprrafopredeter"/>
    <w:link w:val="Ttulo"/>
    <w:rsid w:val="00B6254A"/>
    <w:rPr>
      <w:rFonts w:ascii="Arial" w:eastAsia="Times New Roman" w:hAnsi="Arial" w:cs="Arial"/>
      <w:b/>
      <w:sz w:val="24"/>
      <w:szCs w:val="20"/>
      <w:u w:val="single"/>
      <w:lang w:val="es-MX" w:eastAsia="es-ES"/>
    </w:rPr>
  </w:style>
  <w:style w:type="paragraph" w:styleId="Prrafodelista">
    <w:name w:val="List Paragraph"/>
    <w:basedOn w:val="Normal"/>
    <w:uiPriority w:val="34"/>
    <w:qFormat/>
    <w:rsid w:val="006E12E5"/>
    <w:pPr>
      <w:ind w:left="720"/>
      <w:contextualSpacing/>
    </w:pPr>
  </w:style>
  <w:style w:type="paragraph" w:styleId="Encabezado">
    <w:name w:val="header"/>
    <w:basedOn w:val="Normal"/>
    <w:link w:val="EncabezadoCar"/>
    <w:uiPriority w:val="99"/>
    <w:unhideWhenUsed/>
    <w:rsid w:val="006E12E5"/>
    <w:pPr>
      <w:tabs>
        <w:tab w:val="center" w:pos="4252"/>
        <w:tab w:val="right" w:pos="8504"/>
      </w:tabs>
    </w:pPr>
  </w:style>
  <w:style w:type="character" w:customStyle="1" w:styleId="EncabezadoCar">
    <w:name w:val="Encabezado Car"/>
    <w:basedOn w:val="Fuentedeprrafopredeter"/>
    <w:link w:val="Encabezado"/>
    <w:uiPriority w:val="99"/>
    <w:rsid w:val="006E12E5"/>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6E12E5"/>
    <w:pPr>
      <w:tabs>
        <w:tab w:val="center" w:pos="4252"/>
        <w:tab w:val="right" w:pos="8504"/>
      </w:tabs>
    </w:pPr>
  </w:style>
  <w:style w:type="character" w:customStyle="1" w:styleId="PiedepginaCar">
    <w:name w:val="Pie de página Car"/>
    <w:basedOn w:val="Fuentedeprrafopredeter"/>
    <w:link w:val="Piedepgina"/>
    <w:uiPriority w:val="99"/>
    <w:rsid w:val="006E12E5"/>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4A"/>
    <w:pPr>
      <w:spacing w:after="0" w:line="240" w:lineRule="auto"/>
    </w:pPr>
    <w:rPr>
      <w:rFonts w:ascii="Arial" w:eastAsia="Times New Roman" w:hAnsi="Arial" w:cs="Arial"/>
      <w:sz w:val="24"/>
      <w:szCs w:val="24"/>
      <w:lang w:val="es-ES" w:eastAsia="es-ES"/>
    </w:rPr>
  </w:style>
  <w:style w:type="paragraph" w:styleId="Ttulo3">
    <w:name w:val="heading 3"/>
    <w:basedOn w:val="Normal"/>
    <w:next w:val="Normal"/>
    <w:link w:val="Ttulo3Car"/>
    <w:qFormat/>
    <w:rsid w:val="00B6254A"/>
    <w:pPr>
      <w:keepNext/>
      <w:spacing w:line="360" w:lineRule="auto"/>
      <w:outlineLvl w:val="2"/>
    </w:pPr>
    <w:rPr>
      <w:b/>
      <w:bCs/>
      <w:i/>
      <w:iCs/>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6254A"/>
    <w:rPr>
      <w:rFonts w:ascii="Arial" w:eastAsia="Times New Roman" w:hAnsi="Arial" w:cs="Arial"/>
      <w:b/>
      <w:bCs/>
      <w:i/>
      <w:iCs/>
      <w:szCs w:val="24"/>
      <w:lang w:val="es-MX" w:eastAsia="es-ES"/>
    </w:rPr>
  </w:style>
  <w:style w:type="paragraph" w:styleId="Ttulo">
    <w:name w:val="Title"/>
    <w:basedOn w:val="Normal"/>
    <w:link w:val="TtuloCar"/>
    <w:qFormat/>
    <w:rsid w:val="00B6254A"/>
    <w:pPr>
      <w:spacing w:line="360" w:lineRule="auto"/>
      <w:jc w:val="center"/>
    </w:pPr>
    <w:rPr>
      <w:b/>
      <w:szCs w:val="20"/>
      <w:u w:val="single"/>
      <w:lang w:val="es-MX"/>
    </w:rPr>
  </w:style>
  <w:style w:type="character" w:customStyle="1" w:styleId="TtuloCar">
    <w:name w:val="Título Car"/>
    <w:basedOn w:val="Fuentedeprrafopredeter"/>
    <w:link w:val="Ttulo"/>
    <w:rsid w:val="00B6254A"/>
    <w:rPr>
      <w:rFonts w:ascii="Arial" w:eastAsia="Times New Roman" w:hAnsi="Arial" w:cs="Arial"/>
      <w:b/>
      <w:sz w:val="24"/>
      <w:szCs w:val="20"/>
      <w:u w:val="single"/>
      <w:lang w:val="es-MX" w:eastAsia="es-ES"/>
    </w:rPr>
  </w:style>
  <w:style w:type="paragraph" w:styleId="Prrafodelista">
    <w:name w:val="List Paragraph"/>
    <w:basedOn w:val="Normal"/>
    <w:uiPriority w:val="34"/>
    <w:qFormat/>
    <w:rsid w:val="006E12E5"/>
    <w:pPr>
      <w:ind w:left="720"/>
      <w:contextualSpacing/>
    </w:pPr>
  </w:style>
  <w:style w:type="paragraph" w:styleId="Encabezado">
    <w:name w:val="header"/>
    <w:basedOn w:val="Normal"/>
    <w:link w:val="EncabezadoCar"/>
    <w:uiPriority w:val="99"/>
    <w:unhideWhenUsed/>
    <w:rsid w:val="006E12E5"/>
    <w:pPr>
      <w:tabs>
        <w:tab w:val="center" w:pos="4252"/>
        <w:tab w:val="right" w:pos="8504"/>
      </w:tabs>
    </w:pPr>
  </w:style>
  <w:style w:type="character" w:customStyle="1" w:styleId="EncabezadoCar">
    <w:name w:val="Encabezado Car"/>
    <w:basedOn w:val="Fuentedeprrafopredeter"/>
    <w:link w:val="Encabezado"/>
    <w:uiPriority w:val="99"/>
    <w:rsid w:val="006E12E5"/>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6E12E5"/>
    <w:pPr>
      <w:tabs>
        <w:tab w:val="center" w:pos="4252"/>
        <w:tab w:val="right" w:pos="8504"/>
      </w:tabs>
    </w:pPr>
  </w:style>
  <w:style w:type="character" w:customStyle="1" w:styleId="PiedepginaCar">
    <w:name w:val="Pie de página Car"/>
    <w:basedOn w:val="Fuentedeprrafopredeter"/>
    <w:link w:val="Piedepgina"/>
    <w:uiPriority w:val="99"/>
    <w:rsid w:val="006E12E5"/>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954</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2019-06-10T18:53:00Z</cp:lastPrinted>
  <dcterms:created xsi:type="dcterms:W3CDTF">2019-06-10T16:32:00Z</dcterms:created>
  <dcterms:modified xsi:type="dcterms:W3CDTF">2019-06-10T18:53:00Z</dcterms:modified>
</cp:coreProperties>
</file>