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DD" w:rsidRPr="007A7443" w:rsidRDefault="00CF47DD" w:rsidP="00CF47DD">
      <w:pPr>
        <w:tabs>
          <w:tab w:val="center" w:pos="4253"/>
        </w:tabs>
        <w:suppressAutoHyphens/>
        <w:spacing w:line="480" w:lineRule="auto"/>
        <w:jc w:val="right"/>
        <w:rPr>
          <w:rFonts w:cs="Arial"/>
          <w:b/>
          <w:sz w:val="28"/>
          <w:szCs w:val="28"/>
        </w:rPr>
      </w:pPr>
      <w:r w:rsidRPr="007A7443">
        <w:rPr>
          <w:rFonts w:cs="Arial"/>
          <w:b/>
          <w:sz w:val="28"/>
          <w:szCs w:val="28"/>
        </w:rPr>
        <w:t xml:space="preserve">RES. </w:t>
      </w:r>
      <w:r>
        <w:rPr>
          <w:rFonts w:cs="Arial"/>
          <w:b/>
          <w:sz w:val="28"/>
          <w:szCs w:val="28"/>
        </w:rPr>
        <w:t>1384</w:t>
      </w:r>
      <w:r w:rsidRPr="007A7443">
        <w:rPr>
          <w:rFonts w:cs="Arial"/>
          <w:b/>
          <w:sz w:val="28"/>
          <w:szCs w:val="28"/>
        </w:rPr>
        <w:t>/19</w:t>
      </w:r>
    </w:p>
    <w:p w:rsidR="00CF47DD" w:rsidRPr="000F48AC" w:rsidRDefault="00CF47DD" w:rsidP="00CF47DD">
      <w:pPr>
        <w:tabs>
          <w:tab w:val="center" w:pos="4253"/>
        </w:tabs>
        <w:suppressAutoHyphens/>
        <w:spacing w:line="480" w:lineRule="auto"/>
        <w:jc w:val="center"/>
        <w:rPr>
          <w:rFonts w:cs="Arial"/>
          <w:b/>
          <w:lang w:val="es-ES_tradnl"/>
        </w:rPr>
      </w:pPr>
      <w:r w:rsidRPr="000F48AC">
        <w:rPr>
          <w:rFonts w:cs="Arial"/>
          <w:b/>
          <w:lang w:val="es-ES_tradnl"/>
        </w:rPr>
        <w:t>RESOLUCION ADOPTADA POR EL</w:t>
      </w:r>
    </w:p>
    <w:p w:rsidR="00CF47DD" w:rsidRPr="000F48AC" w:rsidRDefault="00CF47DD" w:rsidP="00CF47DD">
      <w:pPr>
        <w:tabs>
          <w:tab w:val="center" w:pos="4253"/>
        </w:tabs>
        <w:suppressAutoHyphens/>
        <w:spacing w:line="480" w:lineRule="auto"/>
        <w:jc w:val="center"/>
        <w:rPr>
          <w:rFonts w:cs="Arial"/>
          <w:b/>
          <w:lang w:val="es-ES_tradnl"/>
        </w:rPr>
      </w:pPr>
      <w:r w:rsidRPr="000F48AC">
        <w:rPr>
          <w:rFonts w:cs="Arial"/>
          <w:b/>
          <w:lang w:val="es-ES_tradnl"/>
        </w:rPr>
        <w:t>TRIBUNAL DE CUENTAS</w:t>
      </w:r>
    </w:p>
    <w:p w:rsidR="00CF47DD" w:rsidRPr="000F48AC" w:rsidRDefault="00CF47DD" w:rsidP="00CF47DD">
      <w:pPr>
        <w:tabs>
          <w:tab w:val="center" w:pos="4253"/>
        </w:tabs>
        <w:suppressAutoHyphens/>
        <w:spacing w:line="480" w:lineRule="auto"/>
        <w:jc w:val="center"/>
        <w:rPr>
          <w:rFonts w:cs="Arial"/>
          <w:b/>
          <w:lang w:val="es-ES_tradnl"/>
        </w:rPr>
      </w:pPr>
      <w:r w:rsidRPr="000F48AC">
        <w:rPr>
          <w:rFonts w:cs="Arial"/>
          <w:b/>
          <w:lang w:val="es-ES_tradnl"/>
        </w:rPr>
        <w:t xml:space="preserve">EN SESION DE FECHA </w:t>
      </w:r>
      <w:r>
        <w:rPr>
          <w:rFonts w:cs="Arial"/>
          <w:b/>
          <w:lang w:val="es-ES_tradnl"/>
        </w:rPr>
        <w:t>5 DE JUNIO DE 2019</w:t>
      </w:r>
    </w:p>
    <w:p w:rsidR="00CF47DD" w:rsidRDefault="00CF47DD" w:rsidP="00CF47DD">
      <w:pPr>
        <w:tabs>
          <w:tab w:val="center" w:pos="4253"/>
        </w:tabs>
        <w:suppressAutoHyphens/>
        <w:spacing w:line="360" w:lineRule="auto"/>
        <w:jc w:val="center"/>
        <w:rPr>
          <w:rFonts w:cs="Arial"/>
          <w:b/>
        </w:rPr>
      </w:pPr>
      <w:r w:rsidRPr="00BB4DEC">
        <w:rPr>
          <w:rFonts w:cs="Arial"/>
          <w:b/>
        </w:rPr>
        <w:t>(E.</w:t>
      </w:r>
      <w:r>
        <w:rPr>
          <w:rFonts w:cs="Arial"/>
          <w:b/>
        </w:rPr>
        <w:t xml:space="preserve"> E. Nº 2017-17-1-0005006, </w:t>
      </w:r>
      <w:proofErr w:type="spellStart"/>
      <w:r>
        <w:rPr>
          <w:rFonts w:cs="Arial"/>
          <w:b/>
        </w:rPr>
        <w:t>Ent</w:t>
      </w:r>
      <w:proofErr w:type="spellEnd"/>
      <w:r>
        <w:rPr>
          <w:rFonts w:cs="Arial"/>
          <w:b/>
        </w:rPr>
        <w:t>. N° 1916/19</w:t>
      </w:r>
      <w:r w:rsidRPr="00BB4DEC">
        <w:rPr>
          <w:rFonts w:cs="Arial"/>
          <w:b/>
        </w:rPr>
        <w:t>)</w:t>
      </w:r>
    </w:p>
    <w:p w:rsidR="00CF47DD" w:rsidRPr="00BB4DEC" w:rsidRDefault="00CF47DD" w:rsidP="00CF47DD">
      <w:pPr>
        <w:tabs>
          <w:tab w:val="center" w:pos="4253"/>
        </w:tabs>
        <w:suppressAutoHyphens/>
        <w:spacing w:line="360" w:lineRule="auto"/>
        <w:jc w:val="center"/>
        <w:rPr>
          <w:rFonts w:cs="Arial"/>
          <w:b/>
        </w:rPr>
      </w:pPr>
    </w:p>
    <w:p w:rsidR="003A78D8" w:rsidRPr="00B323CE" w:rsidRDefault="003A78D8" w:rsidP="00CF47DD">
      <w:pPr>
        <w:pStyle w:val="Textoindependiente"/>
        <w:ind w:firstLine="851"/>
      </w:pPr>
      <w:r w:rsidRPr="00F84293">
        <w:rPr>
          <w:b/>
        </w:rPr>
        <w:t>VISTO:</w:t>
      </w:r>
      <w:r>
        <w:t xml:space="preserve"> las nuevas actuaciones remitidas por  la</w:t>
      </w:r>
      <w:r w:rsidRPr="00BD3007">
        <w:t xml:space="preserve"> Unidad Centralizada de Adquisiciones</w:t>
      </w:r>
      <w:r>
        <w:t xml:space="preserve"> de</w:t>
      </w:r>
      <w:r w:rsidRPr="00B323CE">
        <w:t>l Ministerio de Economía y Finanzas</w:t>
      </w:r>
      <w:r>
        <w:t>,</w:t>
      </w:r>
      <w:r w:rsidRPr="00B323CE">
        <w:t xml:space="preserve"> relacionadas con el Llamado Nº </w:t>
      </w:r>
      <w:r>
        <w:t>5</w:t>
      </w:r>
      <w:r w:rsidRPr="00B323CE">
        <w:t>/201</w:t>
      </w:r>
      <w:r>
        <w:t>7</w:t>
      </w:r>
      <w:r w:rsidRPr="00B323CE">
        <w:t xml:space="preserve">, convocado para el </w:t>
      </w:r>
      <w:r>
        <w:t xml:space="preserve">“Suministro de ropa de uso hospitalario”; </w:t>
      </w:r>
    </w:p>
    <w:p w:rsidR="003A78D8" w:rsidRPr="00300CE0" w:rsidRDefault="003A78D8" w:rsidP="00CF47DD">
      <w:pPr>
        <w:spacing w:line="360" w:lineRule="auto"/>
        <w:ind w:firstLine="851"/>
        <w:jc w:val="both"/>
      </w:pPr>
      <w:r w:rsidRPr="00F84293">
        <w:rPr>
          <w:b/>
        </w:rPr>
        <w:t>RESULTANDO: 1)</w:t>
      </w:r>
      <w:r w:rsidRPr="00F84293">
        <w:t xml:space="preserve"> que en Sesión de fecha 24 de enero de 2018, </w:t>
      </w:r>
      <w:r>
        <w:rPr>
          <w:bCs/>
          <w:iCs/>
        </w:rPr>
        <w:t xml:space="preserve">este Tribunal acordó observar el gasto emergente del llamado de referencia, en virtud de que: </w:t>
      </w:r>
      <w:r w:rsidRPr="00F84293">
        <w:rPr>
          <w:bCs/>
          <w:iCs/>
        </w:rPr>
        <w:t>“1) el Pliego de Condiciones que rigió el llamado estableció en su Artículo 7 referente a las “Garantías” que: “La garantía de mantenimiento de oferta será</w:t>
      </w:r>
      <w:r w:rsidR="00CF47DD">
        <w:rPr>
          <w:bCs/>
          <w:iCs/>
        </w:rPr>
        <w:t xml:space="preserve"> constituida por un equivalente</w:t>
      </w:r>
      <w:r w:rsidRPr="00F84293">
        <w:rPr>
          <w:bCs/>
          <w:iCs/>
        </w:rPr>
        <w:t xml:space="preserve"> al 1% del valor total de la oferta, impuestos incluidos”; 2) dicha disposición vulnera la previsión establecida en el Artículo 64 del T.O.C.A.F., que establece: “Los oferentes podrán garantizar el mantenimiento de su oferta mediante el depósito en efectivo o en valores públicos, fianza o aval bancario, o póliza de seguro de fianza, por un valor fijo en moneda nacional o extranjera que la Administración deberá determinar expresamente en el pliego particular”</w:t>
      </w:r>
      <w:r>
        <w:rPr>
          <w:bCs/>
          <w:iCs/>
        </w:rPr>
        <w:t xml:space="preserve">; </w:t>
      </w:r>
    </w:p>
    <w:p w:rsidR="00CF47DD" w:rsidRDefault="003A78D8" w:rsidP="00CF47DD">
      <w:pPr>
        <w:spacing w:line="360" w:lineRule="auto"/>
        <w:ind w:firstLine="2694"/>
        <w:jc w:val="both"/>
      </w:pPr>
      <w:r w:rsidRPr="00F84293">
        <w:rPr>
          <w:b/>
        </w:rPr>
        <w:t>2)</w:t>
      </w:r>
      <w:r>
        <w:t xml:space="preserve"> que e</w:t>
      </w:r>
      <w:r w:rsidRPr="00A019C6">
        <w:t xml:space="preserve">n </w:t>
      </w:r>
      <w:r w:rsidRPr="00F84293">
        <w:rPr>
          <w:bCs/>
          <w:iCs/>
        </w:rPr>
        <w:t>Sesión de fecha 2 de mayo de 2018,</w:t>
      </w:r>
      <w:r w:rsidRPr="00A019C6">
        <w:rPr>
          <w:b/>
          <w:bCs/>
          <w:i/>
          <w:iCs/>
        </w:rPr>
        <w:t xml:space="preserve"> </w:t>
      </w:r>
      <w:r>
        <w:rPr>
          <w:bCs/>
          <w:iCs/>
        </w:rPr>
        <w:t>este Tribunal,</w:t>
      </w:r>
      <w:r w:rsidRPr="00A019C6">
        <w:rPr>
          <w:b/>
          <w:bCs/>
          <w:i/>
          <w:iCs/>
        </w:rPr>
        <w:t xml:space="preserve"> </w:t>
      </w:r>
      <w:r>
        <w:rPr>
          <w:bCs/>
          <w:iCs/>
        </w:rPr>
        <w:t>en oportunidad de expedirse sobre la reconsideración de la observación formulada, acordó “expedirse conforme los Considerandos de la presente resolución”</w:t>
      </w:r>
      <w:r w:rsidR="00C90F19">
        <w:rPr>
          <w:bCs/>
          <w:iCs/>
        </w:rPr>
        <w:t>, en virtud de mantenerse incambiadas las razones que motivaron la observación del gasto</w:t>
      </w:r>
      <w:r>
        <w:rPr>
          <w:bCs/>
          <w:iCs/>
        </w:rPr>
        <w:t xml:space="preserve">; </w:t>
      </w:r>
    </w:p>
    <w:p w:rsidR="005361A3" w:rsidRDefault="003A78D8" w:rsidP="005361A3">
      <w:pPr>
        <w:spacing w:line="360" w:lineRule="auto"/>
        <w:ind w:firstLine="2694"/>
        <w:jc w:val="both"/>
      </w:pPr>
      <w:r w:rsidRPr="00F84293">
        <w:rPr>
          <w:b/>
        </w:rPr>
        <w:lastRenderedPageBreak/>
        <w:t>3)</w:t>
      </w:r>
      <w:r>
        <w:t xml:space="preserve"> que e</w:t>
      </w:r>
      <w:r w:rsidRPr="00A019C6">
        <w:t xml:space="preserve">n </w:t>
      </w:r>
      <w:r w:rsidRPr="00F84293">
        <w:rPr>
          <w:bCs/>
          <w:iCs/>
        </w:rPr>
        <w:t xml:space="preserve">Sesión de fecha 27 de junio de 2018, </w:t>
      </w:r>
      <w:r>
        <w:rPr>
          <w:bCs/>
          <w:iCs/>
        </w:rPr>
        <w:t xml:space="preserve">en oportunidad de considerar la reiteración del gasto original, </w:t>
      </w:r>
      <w:r w:rsidRPr="00E639DD">
        <w:rPr>
          <w:bCs/>
          <w:iCs/>
        </w:rPr>
        <w:t xml:space="preserve">este Tribunal  acordó </w:t>
      </w:r>
      <w:r>
        <w:rPr>
          <w:bCs/>
          <w:iCs/>
        </w:rPr>
        <w:t xml:space="preserve">mantener la observación formulada en Sesión de fecha 24 de enero de 2018; </w:t>
      </w:r>
    </w:p>
    <w:p w:rsidR="005361A3" w:rsidRDefault="00F45CEC" w:rsidP="005361A3">
      <w:pPr>
        <w:spacing w:line="360" w:lineRule="auto"/>
        <w:ind w:firstLine="2694"/>
        <w:jc w:val="both"/>
      </w:pPr>
      <w:r w:rsidRPr="00F45CEC">
        <w:rPr>
          <w:b/>
          <w:bCs/>
          <w:iCs/>
        </w:rPr>
        <w:t>4)</w:t>
      </w:r>
      <w:r w:rsidRPr="00F45CEC">
        <w:rPr>
          <w:bCs/>
          <w:iCs/>
        </w:rPr>
        <w:t xml:space="preserve"> que </w:t>
      </w:r>
      <w:r w:rsidR="00C90F19">
        <w:rPr>
          <w:bCs/>
          <w:iCs/>
        </w:rPr>
        <w:t xml:space="preserve">posteriormente, </w:t>
      </w:r>
      <w:r w:rsidR="00C90F19" w:rsidRPr="00C90F19">
        <w:rPr>
          <w:bCs/>
          <w:iCs/>
        </w:rPr>
        <w:t xml:space="preserve">este Tribunal </w:t>
      </w:r>
      <w:r w:rsidRPr="00F45CEC">
        <w:rPr>
          <w:bCs/>
          <w:iCs/>
        </w:rPr>
        <w:t xml:space="preserve">en Sesión de fecha 5 de diciembre de 2018, acordó observar el gasto emergente de </w:t>
      </w:r>
      <w:r w:rsidR="00C90F19">
        <w:rPr>
          <w:bCs/>
          <w:iCs/>
        </w:rPr>
        <w:t>la</w:t>
      </w:r>
      <w:r w:rsidRPr="00F45CEC">
        <w:rPr>
          <w:bCs/>
          <w:iCs/>
        </w:rPr>
        <w:t xml:space="preserve"> adjudicación parcial referente al ítem 37, en virtud de que derivaba de un gasto observado, reiterado y mantenido;</w:t>
      </w:r>
    </w:p>
    <w:p w:rsidR="005361A3" w:rsidRDefault="00F45CEC" w:rsidP="005361A3">
      <w:pPr>
        <w:spacing w:line="360" w:lineRule="auto"/>
        <w:ind w:firstLine="2694"/>
        <w:jc w:val="both"/>
      </w:pPr>
      <w:r w:rsidRPr="00F45CEC">
        <w:rPr>
          <w:b/>
          <w:bCs/>
          <w:iCs/>
        </w:rPr>
        <w:t>5)</w:t>
      </w:r>
      <w:r>
        <w:rPr>
          <w:bCs/>
          <w:iCs/>
        </w:rPr>
        <w:t xml:space="preserve"> que </w:t>
      </w:r>
      <w:r w:rsidR="00C90F19">
        <w:rPr>
          <w:bCs/>
          <w:iCs/>
        </w:rPr>
        <w:t xml:space="preserve">frente a </w:t>
      </w:r>
      <w:r w:rsidR="00C90F19" w:rsidRPr="00C90F19">
        <w:rPr>
          <w:bCs/>
          <w:iCs/>
        </w:rPr>
        <w:t>la reiteración del gasto emergente derivado de la adjudicación del ítem 37,</w:t>
      </w:r>
      <w:r w:rsidR="00C90F19">
        <w:rPr>
          <w:bCs/>
          <w:iCs/>
        </w:rPr>
        <w:t xml:space="preserve"> </w:t>
      </w:r>
      <w:r>
        <w:rPr>
          <w:bCs/>
          <w:iCs/>
        </w:rPr>
        <w:t>e</w:t>
      </w:r>
      <w:r w:rsidRPr="00F45CEC">
        <w:rPr>
          <w:bCs/>
          <w:iCs/>
        </w:rPr>
        <w:t xml:space="preserve">n Sesión de fecha 16 de enero de 2019, este Tribunal acordó </w:t>
      </w:r>
      <w:r w:rsidRPr="00DD1E05">
        <w:rPr>
          <w:bCs/>
          <w:iCs/>
        </w:rPr>
        <w:t>mantener</w:t>
      </w:r>
      <w:r>
        <w:rPr>
          <w:bCs/>
          <w:iCs/>
        </w:rPr>
        <w:t xml:space="preserve"> la observación formulada en Sesión de fecha 5 de diciembre de 2018;</w:t>
      </w:r>
    </w:p>
    <w:p w:rsidR="003A78D8" w:rsidRPr="0087331A" w:rsidRDefault="00F45CEC" w:rsidP="005361A3">
      <w:pPr>
        <w:spacing w:line="360" w:lineRule="auto"/>
        <w:ind w:firstLine="2694"/>
        <w:jc w:val="both"/>
      </w:pPr>
      <w:r w:rsidRPr="0087331A">
        <w:rPr>
          <w:b/>
        </w:rPr>
        <w:t>6</w:t>
      </w:r>
      <w:r w:rsidR="003A78D8" w:rsidRPr="0087331A">
        <w:rPr>
          <w:b/>
        </w:rPr>
        <w:t>)</w:t>
      </w:r>
      <w:r w:rsidR="003A78D8" w:rsidRPr="0087331A">
        <w:t xml:space="preserve"> que en esta oportunidad, se remite nota de la UCA de fecha 1</w:t>
      </w:r>
      <w:r w:rsidRPr="0087331A">
        <w:t>0</w:t>
      </w:r>
      <w:r w:rsidR="003A78D8" w:rsidRPr="0087331A">
        <w:t xml:space="preserve"> </w:t>
      </w:r>
      <w:r w:rsidRPr="0087331A">
        <w:t xml:space="preserve">de abril </w:t>
      </w:r>
      <w:r w:rsidR="003A78D8" w:rsidRPr="0087331A">
        <w:t>de 201</w:t>
      </w:r>
      <w:r w:rsidRPr="0087331A">
        <w:t>9</w:t>
      </w:r>
      <w:r w:rsidR="003A78D8" w:rsidRPr="0087331A">
        <w:t xml:space="preserve">, de la cual surge que ASSE solicita </w:t>
      </w:r>
      <w:r w:rsidRPr="0087331A">
        <w:t xml:space="preserve">la adjudicación del saldo </w:t>
      </w:r>
      <w:r w:rsidR="003A78D8" w:rsidRPr="0087331A">
        <w:t>respecto al ítem 37</w:t>
      </w:r>
      <w:r w:rsidR="0087331A" w:rsidRPr="0087331A">
        <w:t>, informa</w:t>
      </w:r>
      <w:r w:rsidR="00C90F19">
        <w:t>ndo</w:t>
      </w:r>
      <w:r w:rsidR="0087331A" w:rsidRPr="0087331A">
        <w:t xml:space="preserve"> que:</w:t>
      </w:r>
      <w:r w:rsidR="003A78D8" w:rsidRPr="0087331A">
        <w:t xml:space="preserve"> </w:t>
      </w:r>
    </w:p>
    <w:p w:rsidR="00F45CEC" w:rsidRPr="005361A3" w:rsidRDefault="0087331A" w:rsidP="005361A3">
      <w:pPr>
        <w:spacing w:line="360" w:lineRule="auto"/>
        <w:jc w:val="both"/>
        <w:rPr>
          <w:rFonts w:cs="Arial"/>
          <w:shd w:val="clear" w:color="auto" w:fill="FFFFFF"/>
        </w:rPr>
      </w:pPr>
      <w:r w:rsidRPr="005361A3">
        <w:rPr>
          <w:b/>
        </w:rPr>
        <w:t>6.1)</w:t>
      </w:r>
      <w:r w:rsidRPr="005361A3">
        <w:t xml:space="preserve"> e</w:t>
      </w:r>
      <w:r w:rsidR="00F45CEC" w:rsidRPr="005361A3">
        <w:rPr>
          <w:rFonts w:cs="Arial"/>
          <w:shd w:val="clear" w:color="auto" w:fill="FFFFFF"/>
        </w:rPr>
        <w:t xml:space="preserve">l Llamado </w:t>
      </w:r>
      <w:r w:rsidRPr="005361A3">
        <w:rPr>
          <w:rFonts w:cs="Arial"/>
          <w:shd w:val="clear" w:color="auto" w:fill="FFFFFF"/>
        </w:rPr>
        <w:t xml:space="preserve">Nº </w:t>
      </w:r>
      <w:r w:rsidR="00F45CEC" w:rsidRPr="005361A3">
        <w:rPr>
          <w:rFonts w:cs="Arial"/>
          <w:shd w:val="clear" w:color="auto" w:fill="FFFFFF"/>
        </w:rPr>
        <w:t>5/2017 se adjudicó por Resolución N° 147/017 de 18 de diciembre de 2017 y por Resolución N° 120/018 de 19 de octubre de 2018, encontrándose actualmente vigente</w:t>
      </w:r>
      <w:r w:rsidRPr="005361A3">
        <w:rPr>
          <w:rFonts w:cs="Arial"/>
          <w:shd w:val="clear" w:color="auto" w:fill="FFFFFF"/>
        </w:rPr>
        <w:t>;</w:t>
      </w:r>
    </w:p>
    <w:p w:rsidR="00F45CEC" w:rsidRPr="005361A3" w:rsidRDefault="0087331A" w:rsidP="005361A3">
      <w:pPr>
        <w:spacing w:line="360" w:lineRule="auto"/>
        <w:jc w:val="both"/>
        <w:rPr>
          <w:rFonts w:cs="Arial"/>
          <w:shd w:val="clear" w:color="auto" w:fill="FFFFFF"/>
        </w:rPr>
      </w:pPr>
      <w:r w:rsidRPr="005361A3">
        <w:rPr>
          <w:rFonts w:cs="Arial"/>
          <w:b/>
          <w:shd w:val="clear" w:color="auto" w:fill="FFFFFF"/>
        </w:rPr>
        <w:t>6.2)</w:t>
      </w:r>
      <w:r w:rsidRPr="005361A3">
        <w:rPr>
          <w:rFonts w:cs="Arial"/>
          <w:shd w:val="clear" w:color="auto" w:fill="FFFFFF"/>
        </w:rPr>
        <w:t xml:space="preserve"> l</w:t>
      </w:r>
      <w:r w:rsidR="00F45CEC" w:rsidRPr="005361A3">
        <w:rPr>
          <w:rFonts w:cs="Arial"/>
          <w:shd w:val="clear" w:color="auto" w:fill="FFFFFF"/>
        </w:rPr>
        <w:t>a demanda inicial de ASSE fue de 204.600 unida</w:t>
      </w:r>
      <w:r w:rsidRPr="005361A3">
        <w:rPr>
          <w:rFonts w:cs="Arial"/>
          <w:shd w:val="clear" w:color="auto" w:fill="FFFFFF"/>
        </w:rPr>
        <w:t>des para el periodo de dos años;</w:t>
      </w:r>
    </w:p>
    <w:p w:rsidR="00F45CEC" w:rsidRPr="005361A3" w:rsidRDefault="0087331A" w:rsidP="005361A3">
      <w:pPr>
        <w:spacing w:line="360" w:lineRule="auto"/>
        <w:jc w:val="both"/>
        <w:rPr>
          <w:rFonts w:cs="Arial"/>
          <w:shd w:val="clear" w:color="auto" w:fill="FFFFFF"/>
        </w:rPr>
      </w:pPr>
      <w:r w:rsidRPr="005361A3">
        <w:rPr>
          <w:rFonts w:cs="Arial"/>
          <w:b/>
          <w:shd w:val="clear" w:color="auto" w:fill="FFFFFF"/>
        </w:rPr>
        <w:t>6.3)</w:t>
      </w:r>
      <w:r w:rsidRPr="005361A3">
        <w:rPr>
          <w:rFonts w:cs="Arial"/>
          <w:shd w:val="clear" w:color="auto" w:fill="FFFFFF"/>
        </w:rPr>
        <w:t xml:space="preserve"> e</w:t>
      </w:r>
      <w:r w:rsidR="00F45CEC" w:rsidRPr="005361A3">
        <w:rPr>
          <w:rFonts w:cs="Arial"/>
          <w:shd w:val="clear" w:color="auto" w:fill="FFFFFF"/>
        </w:rPr>
        <w:t>l ítem 37 fue adjudicado en forma parcial a la firma S</w:t>
      </w:r>
      <w:r w:rsidRPr="005361A3">
        <w:rPr>
          <w:rFonts w:cs="Arial"/>
          <w:shd w:val="clear" w:color="auto" w:fill="FFFFFF"/>
        </w:rPr>
        <w:t>UFARMA</w:t>
      </w:r>
      <w:r w:rsidR="00F45CEC" w:rsidRPr="005361A3">
        <w:rPr>
          <w:rFonts w:cs="Arial"/>
          <w:shd w:val="clear" w:color="auto" w:fill="FFFFFF"/>
        </w:rPr>
        <w:t xml:space="preserve"> S.R.L por precio, por 130.130 unidades, cantidad demandada para el periodo de dos años, siendo 50.830 unidades adjudicadas a ASSE, eq</w:t>
      </w:r>
      <w:r w:rsidRPr="005361A3">
        <w:rPr>
          <w:rFonts w:cs="Arial"/>
          <w:shd w:val="clear" w:color="auto" w:fill="FFFFFF"/>
        </w:rPr>
        <w:t>uivalente al periodo de 6 meses;</w:t>
      </w:r>
    </w:p>
    <w:p w:rsidR="00F45CEC" w:rsidRPr="005361A3" w:rsidRDefault="0087331A" w:rsidP="005361A3">
      <w:pPr>
        <w:spacing w:line="360" w:lineRule="auto"/>
        <w:jc w:val="both"/>
        <w:rPr>
          <w:rFonts w:cs="Arial"/>
          <w:shd w:val="clear" w:color="auto" w:fill="FFFFFF"/>
        </w:rPr>
      </w:pPr>
      <w:r w:rsidRPr="005361A3">
        <w:rPr>
          <w:rFonts w:cs="Arial"/>
          <w:b/>
          <w:shd w:val="clear" w:color="auto" w:fill="FFFFFF"/>
        </w:rPr>
        <w:t>6.4)</w:t>
      </w:r>
      <w:r w:rsidRPr="005361A3">
        <w:rPr>
          <w:rFonts w:cs="Arial"/>
          <w:shd w:val="clear" w:color="auto" w:fill="FFFFFF"/>
        </w:rPr>
        <w:t xml:space="preserve"> ante </w:t>
      </w:r>
      <w:r w:rsidR="00F45CEC" w:rsidRPr="005361A3">
        <w:rPr>
          <w:rFonts w:cs="Arial"/>
          <w:shd w:val="clear" w:color="auto" w:fill="FFFFFF"/>
        </w:rPr>
        <w:t xml:space="preserve">la nueva solicitud de ASSE se estaría en condiciones de adjudicar el saldo de la cantidad demandada por </w:t>
      </w:r>
      <w:r w:rsidRPr="005361A3">
        <w:rPr>
          <w:rFonts w:cs="Arial"/>
          <w:shd w:val="clear" w:color="auto" w:fill="FFFFFF"/>
        </w:rPr>
        <w:t>este organismo</w:t>
      </w:r>
      <w:r w:rsidR="00F45CEC" w:rsidRPr="005361A3">
        <w:rPr>
          <w:rFonts w:cs="Arial"/>
          <w:shd w:val="clear" w:color="auto" w:fill="FFFFFF"/>
        </w:rPr>
        <w:t xml:space="preserve"> para el ítem 37, </w:t>
      </w:r>
      <w:r w:rsidRPr="005361A3">
        <w:rPr>
          <w:rFonts w:cs="Arial"/>
          <w:shd w:val="clear" w:color="auto" w:fill="FFFFFF"/>
        </w:rPr>
        <w:t xml:space="preserve">la </w:t>
      </w:r>
      <w:r w:rsidR="00F45CEC" w:rsidRPr="005361A3">
        <w:rPr>
          <w:rFonts w:cs="Arial"/>
          <w:shd w:val="clear" w:color="auto" w:fill="FFFFFF"/>
        </w:rPr>
        <w:t>q</w:t>
      </w:r>
      <w:r w:rsidRPr="005361A3">
        <w:rPr>
          <w:rFonts w:cs="Arial"/>
          <w:shd w:val="clear" w:color="auto" w:fill="FFFFFF"/>
        </w:rPr>
        <w:t>ue asciende a 153.770 unidades;</w:t>
      </w:r>
    </w:p>
    <w:p w:rsidR="00F45CEC" w:rsidRPr="005361A3" w:rsidRDefault="00F45CEC" w:rsidP="005361A3">
      <w:pPr>
        <w:spacing w:line="360" w:lineRule="auto"/>
        <w:ind w:firstLine="2694"/>
        <w:jc w:val="both"/>
      </w:pPr>
      <w:r w:rsidRPr="005361A3">
        <w:rPr>
          <w:b/>
        </w:rPr>
        <w:t>7</w:t>
      </w:r>
      <w:r w:rsidR="003A78D8" w:rsidRPr="005361A3">
        <w:rPr>
          <w:b/>
        </w:rPr>
        <w:t>)</w:t>
      </w:r>
      <w:r w:rsidR="003A78D8" w:rsidRPr="005361A3">
        <w:t xml:space="preserve"> que por nota de la UCA de fecha 1</w:t>
      </w:r>
      <w:r w:rsidRPr="005361A3">
        <w:t>0</w:t>
      </w:r>
      <w:r w:rsidR="003A78D8" w:rsidRPr="005361A3">
        <w:t xml:space="preserve"> de </w:t>
      </w:r>
      <w:r w:rsidRPr="005361A3">
        <w:t xml:space="preserve">abril </w:t>
      </w:r>
      <w:r w:rsidR="003A78D8" w:rsidRPr="005361A3">
        <w:t>de 201</w:t>
      </w:r>
      <w:r w:rsidRPr="005361A3">
        <w:t>9</w:t>
      </w:r>
      <w:r w:rsidR="003A78D8" w:rsidRPr="005361A3">
        <w:t xml:space="preserve">, </w:t>
      </w:r>
      <w:r w:rsidRPr="005361A3">
        <w:t xml:space="preserve">se </w:t>
      </w:r>
      <w:r w:rsidR="003A78D8" w:rsidRPr="005361A3">
        <w:t>informa que</w:t>
      </w:r>
      <w:r w:rsidRPr="005361A3">
        <w:t>:</w:t>
      </w:r>
    </w:p>
    <w:p w:rsidR="00F45CEC" w:rsidRPr="005361A3" w:rsidRDefault="0087331A" w:rsidP="005361A3">
      <w:pPr>
        <w:spacing w:line="360" w:lineRule="auto"/>
        <w:jc w:val="both"/>
        <w:rPr>
          <w:rFonts w:cs="Arial"/>
          <w:shd w:val="clear" w:color="auto" w:fill="FFFFFF"/>
        </w:rPr>
      </w:pPr>
      <w:r w:rsidRPr="005361A3">
        <w:rPr>
          <w:rFonts w:cs="Arial"/>
          <w:b/>
          <w:shd w:val="clear" w:color="auto" w:fill="FFFFFF"/>
        </w:rPr>
        <w:t>7.1)</w:t>
      </w:r>
      <w:r w:rsidRPr="005361A3">
        <w:rPr>
          <w:rFonts w:cs="Arial"/>
          <w:shd w:val="clear" w:color="auto" w:fill="FFFFFF"/>
        </w:rPr>
        <w:t xml:space="preserve"> s</w:t>
      </w:r>
      <w:r w:rsidR="00F45CEC" w:rsidRPr="005361A3">
        <w:rPr>
          <w:rFonts w:cs="Arial"/>
          <w:shd w:val="clear" w:color="auto" w:fill="FFFFFF"/>
        </w:rPr>
        <w:t>egún lo establecido en la cláusula 1 "Objeto y plazo del</w:t>
      </w:r>
      <w:r w:rsidRPr="005361A3">
        <w:rPr>
          <w:rFonts w:cs="Arial"/>
          <w:shd w:val="clear" w:color="auto" w:fill="FFFFFF"/>
        </w:rPr>
        <w:t xml:space="preserve"> </w:t>
      </w:r>
      <w:r w:rsidR="00F45CEC" w:rsidRPr="005361A3">
        <w:rPr>
          <w:rFonts w:cs="Arial"/>
          <w:shd w:val="clear" w:color="auto" w:fill="FFFFFF"/>
        </w:rPr>
        <w:t xml:space="preserve">Llamado" del Pliego de Condiciones Particulares Documento B, vigente para el presente </w:t>
      </w:r>
      <w:r w:rsidRPr="005361A3">
        <w:rPr>
          <w:rFonts w:cs="Arial"/>
          <w:shd w:val="clear" w:color="auto" w:fill="FFFFFF"/>
        </w:rPr>
        <w:lastRenderedPageBreak/>
        <w:t>llamado</w:t>
      </w:r>
      <w:r w:rsidR="003A306A" w:rsidRPr="005361A3">
        <w:rPr>
          <w:rFonts w:cs="Arial"/>
          <w:shd w:val="clear" w:color="auto" w:fill="FFFFFF"/>
        </w:rPr>
        <w:t>,</w:t>
      </w:r>
      <w:r w:rsidR="00F45CEC" w:rsidRPr="005361A3">
        <w:rPr>
          <w:rFonts w:cs="Arial"/>
          <w:shd w:val="clear" w:color="auto" w:fill="FFFFFF"/>
        </w:rPr>
        <w:t xml:space="preserve"> </w:t>
      </w:r>
      <w:r w:rsidRPr="005361A3">
        <w:rPr>
          <w:rFonts w:cs="Arial"/>
          <w:shd w:val="clear" w:color="auto" w:fill="FFFFFF"/>
        </w:rPr>
        <w:t>e</w:t>
      </w:r>
      <w:r w:rsidR="00F45CEC" w:rsidRPr="005361A3">
        <w:rPr>
          <w:rFonts w:cs="Arial"/>
          <w:shd w:val="clear" w:color="auto" w:fill="FFFFFF"/>
        </w:rPr>
        <w:t xml:space="preserve">l plazo de ejecución </w:t>
      </w:r>
      <w:bookmarkStart w:id="0" w:name="_GoBack"/>
      <w:bookmarkEnd w:id="0"/>
      <w:r w:rsidR="00F45CEC" w:rsidRPr="005361A3">
        <w:rPr>
          <w:rFonts w:cs="Arial"/>
          <w:shd w:val="clear" w:color="auto" w:fill="FFFFFF"/>
        </w:rPr>
        <w:t>abarcará el período de dos años a</w:t>
      </w:r>
      <w:r w:rsidRPr="005361A3">
        <w:rPr>
          <w:rFonts w:cs="Arial"/>
          <w:shd w:val="clear" w:color="auto" w:fill="FFFFFF"/>
        </w:rPr>
        <w:t xml:space="preserve"> partir de su adjudicación, el que podrá </w:t>
      </w:r>
      <w:r w:rsidR="00F45CEC" w:rsidRPr="005361A3">
        <w:rPr>
          <w:rFonts w:cs="Arial"/>
          <w:shd w:val="clear" w:color="auto" w:fill="FFFFFF"/>
        </w:rPr>
        <w:t>prorrogar</w:t>
      </w:r>
      <w:r w:rsidRPr="005361A3">
        <w:rPr>
          <w:rFonts w:cs="Arial"/>
          <w:shd w:val="clear" w:color="auto" w:fill="FFFFFF"/>
        </w:rPr>
        <w:t>se</w:t>
      </w:r>
      <w:r w:rsidR="00F45CEC" w:rsidRPr="005361A3">
        <w:rPr>
          <w:rFonts w:cs="Arial"/>
          <w:shd w:val="clear" w:color="auto" w:fill="FFFFFF"/>
        </w:rPr>
        <w:t xml:space="preserve"> automáticamente</w:t>
      </w:r>
      <w:r w:rsidRPr="005361A3">
        <w:rPr>
          <w:rFonts w:cs="Arial"/>
          <w:shd w:val="clear" w:color="auto" w:fill="FFFFFF"/>
        </w:rPr>
        <w:t xml:space="preserve"> </w:t>
      </w:r>
      <w:r w:rsidR="00F45CEC" w:rsidRPr="005361A3">
        <w:rPr>
          <w:rFonts w:cs="Arial"/>
          <w:shd w:val="clear" w:color="auto" w:fill="FFFFFF"/>
        </w:rPr>
        <w:t>por hasta cuatro períodos consecutivo</w:t>
      </w:r>
      <w:r w:rsidRPr="005361A3">
        <w:rPr>
          <w:rFonts w:cs="Arial"/>
          <w:shd w:val="clear" w:color="auto" w:fill="FFFFFF"/>
        </w:rPr>
        <w:t>s de hasta seis meses cada uno;</w:t>
      </w:r>
    </w:p>
    <w:p w:rsidR="00F45CEC" w:rsidRPr="005361A3" w:rsidRDefault="0087331A" w:rsidP="005361A3">
      <w:pPr>
        <w:spacing w:line="360" w:lineRule="auto"/>
        <w:jc w:val="both"/>
      </w:pPr>
      <w:r w:rsidRPr="005361A3">
        <w:rPr>
          <w:rFonts w:cs="Arial"/>
          <w:b/>
          <w:shd w:val="clear" w:color="auto" w:fill="FFFFFF"/>
        </w:rPr>
        <w:t>7.2)</w:t>
      </w:r>
      <w:r w:rsidRPr="005361A3">
        <w:rPr>
          <w:rFonts w:cs="Arial"/>
          <w:shd w:val="clear" w:color="auto" w:fill="FFFFFF"/>
        </w:rPr>
        <w:t xml:space="preserve"> por la Resolución N° 147/0</w:t>
      </w:r>
      <w:r w:rsidR="00F45CEC" w:rsidRPr="005361A3">
        <w:rPr>
          <w:rFonts w:cs="Arial"/>
          <w:shd w:val="clear" w:color="auto" w:fill="FFFFFF"/>
        </w:rPr>
        <w:t xml:space="preserve">17, se adjudicó </w:t>
      </w:r>
      <w:r w:rsidRPr="005361A3">
        <w:rPr>
          <w:rFonts w:cs="Arial"/>
          <w:shd w:val="clear" w:color="auto" w:fill="FFFFFF"/>
        </w:rPr>
        <w:t>el Llamado Nº 5/2017, estableciéndose</w:t>
      </w:r>
      <w:r w:rsidR="00F45CEC" w:rsidRPr="005361A3">
        <w:rPr>
          <w:rFonts w:cs="Arial"/>
          <w:shd w:val="clear" w:color="auto" w:fill="FFFFFF"/>
        </w:rPr>
        <w:t xml:space="preserve"> en la misma que el inicio de ejecución del contrato era a partir del 1º d</w:t>
      </w:r>
      <w:r w:rsidRPr="005361A3">
        <w:rPr>
          <w:rFonts w:cs="Arial"/>
          <w:shd w:val="clear" w:color="auto" w:fill="FFFFFF"/>
        </w:rPr>
        <w:t>e enero de 2018, por lo que la</w:t>
      </w:r>
      <w:r w:rsidR="00F45CEC" w:rsidRPr="005361A3">
        <w:rPr>
          <w:rFonts w:cs="Arial"/>
          <w:shd w:val="clear" w:color="auto" w:fill="FFFFFF"/>
        </w:rPr>
        <w:t xml:space="preserve"> vigencia del presente contrato es hasta el 31 de diciembre de 2019, sin perjuicio de las posibles eventuales prórrogas con vencimiento final el día 31 de diciem</w:t>
      </w:r>
      <w:r w:rsidRPr="005361A3">
        <w:rPr>
          <w:rFonts w:cs="Arial"/>
          <w:shd w:val="clear" w:color="auto" w:fill="FFFFFF"/>
        </w:rPr>
        <w:t>bre de 2021;</w:t>
      </w:r>
    </w:p>
    <w:p w:rsidR="003A78D8" w:rsidRPr="005361A3" w:rsidRDefault="00F45CEC" w:rsidP="005361A3">
      <w:pPr>
        <w:spacing w:line="360" w:lineRule="auto"/>
        <w:ind w:firstLine="2694"/>
        <w:jc w:val="both"/>
      </w:pPr>
      <w:r w:rsidRPr="005361A3">
        <w:rPr>
          <w:b/>
        </w:rPr>
        <w:t>8</w:t>
      </w:r>
      <w:r w:rsidR="003A78D8" w:rsidRPr="005361A3">
        <w:rPr>
          <w:b/>
        </w:rPr>
        <w:t>)</w:t>
      </w:r>
      <w:r w:rsidR="003A78D8" w:rsidRPr="005361A3">
        <w:t xml:space="preserve"> que se adjunta Resolución Nº 120/01</w:t>
      </w:r>
      <w:r w:rsidR="0018570E">
        <w:t>8 de fecha 19 de octubre de 2018</w:t>
      </w:r>
      <w:r w:rsidR="003A78D8" w:rsidRPr="005361A3">
        <w:t xml:space="preserve">, dictada por la Unidad Centralizada de Adquisiciones, </w:t>
      </w:r>
      <w:r w:rsidRPr="005361A3">
        <w:t>mediante la cual se adjudica el saldo del ítem 37 “tapaboca de alta eficiencia” demandado por ASSE, de acuerdo al detalle que luce en el Anexo adjunto, por hasta la suma de $ 4:412.338, impuestos incluidos y a valores históricos, sin perjuicio de las eventuales prórrogas, con vencimiento final el 31 de diciembre de 2021;</w:t>
      </w:r>
    </w:p>
    <w:p w:rsidR="003A78D8" w:rsidRPr="005361A3" w:rsidRDefault="003A78D8" w:rsidP="0018570E">
      <w:pPr>
        <w:pStyle w:val="Textoindependiente"/>
        <w:ind w:firstLine="851"/>
      </w:pPr>
      <w:r w:rsidRPr="005361A3">
        <w:rPr>
          <w:b/>
        </w:rPr>
        <w:t>CONSIDERANDO:</w:t>
      </w:r>
      <w:r w:rsidRPr="005361A3">
        <w:t xml:space="preserve"> que la adjudicación </w:t>
      </w:r>
      <w:r w:rsidR="003A306A" w:rsidRPr="005361A3">
        <w:t>del saldo</w:t>
      </w:r>
      <w:r w:rsidRPr="005361A3">
        <w:t xml:space="preserve"> referente al ítem 37</w:t>
      </w:r>
      <w:r w:rsidR="002E43DA" w:rsidRPr="005361A3">
        <w:t>,</w:t>
      </w:r>
      <w:r w:rsidRPr="005361A3">
        <w:t xml:space="preserve"> proviene de un gasto originalmente observado, reiterado y mantenido por este Tribunal; </w:t>
      </w:r>
    </w:p>
    <w:p w:rsidR="00F45CEC" w:rsidRDefault="003A78D8" w:rsidP="0018570E">
      <w:pPr>
        <w:pStyle w:val="Textoindependiente"/>
        <w:tabs>
          <w:tab w:val="left" w:pos="993"/>
        </w:tabs>
        <w:ind w:firstLine="851"/>
        <w:rPr>
          <w:b/>
        </w:rPr>
      </w:pPr>
      <w:r w:rsidRPr="005361A3">
        <w:rPr>
          <w:b/>
        </w:rPr>
        <w:t>ATENTO:</w:t>
      </w:r>
      <w:r w:rsidRPr="005361A3">
        <w:t xml:space="preserve"> a lo precedentemente expuesto y a lo establecido en el artículo 211 literal B) de la Constitución de la República; </w:t>
      </w:r>
    </w:p>
    <w:p w:rsidR="003A78D8" w:rsidRDefault="003A78D8" w:rsidP="005361A3">
      <w:pPr>
        <w:spacing w:line="360" w:lineRule="auto"/>
        <w:jc w:val="center"/>
      </w:pPr>
      <w:r w:rsidRPr="005E7548">
        <w:rPr>
          <w:b/>
        </w:rPr>
        <w:t>EL TRIBUNAL ACUERDA</w:t>
      </w:r>
    </w:p>
    <w:p w:rsidR="003A78D8" w:rsidRDefault="0018570E" w:rsidP="0018570E">
      <w:pPr>
        <w:spacing w:line="360" w:lineRule="auto"/>
        <w:jc w:val="both"/>
      </w:pPr>
      <w:r>
        <w:rPr>
          <w:b/>
        </w:rPr>
        <w:t xml:space="preserve">1) </w:t>
      </w:r>
      <w:r w:rsidR="003A78D8">
        <w:t>Observar el gasto;</w:t>
      </w:r>
    </w:p>
    <w:p w:rsidR="003A78D8" w:rsidRDefault="0018570E" w:rsidP="0018570E">
      <w:pPr>
        <w:spacing w:line="360" w:lineRule="auto"/>
        <w:jc w:val="both"/>
      </w:pPr>
      <w:r>
        <w:rPr>
          <w:b/>
        </w:rPr>
        <w:t xml:space="preserve">2) </w:t>
      </w:r>
      <w:r w:rsidR="003A78D8">
        <w:t>Comunicar al Contador Auditor;</w:t>
      </w:r>
    </w:p>
    <w:p w:rsidR="003A78D8" w:rsidRPr="00D513D7" w:rsidRDefault="0018570E" w:rsidP="0018570E">
      <w:pPr>
        <w:pStyle w:val="Sangra2detindependiente"/>
        <w:tabs>
          <w:tab w:val="left" w:pos="1134"/>
        </w:tabs>
        <w:spacing w:after="0" w:line="360" w:lineRule="auto"/>
        <w:ind w:left="0"/>
        <w:jc w:val="both"/>
      </w:pPr>
      <w:r>
        <w:rPr>
          <w:b/>
        </w:rPr>
        <w:t xml:space="preserve">3) </w:t>
      </w:r>
      <w:r w:rsidR="003A78D8">
        <w:t>Devolver las actuaciones a</w:t>
      </w:r>
      <w:r w:rsidR="003A78D8">
        <w:rPr>
          <w:lang w:val="es-ES_tradnl"/>
        </w:rPr>
        <w:t>l Min</w:t>
      </w:r>
      <w:r>
        <w:rPr>
          <w:lang w:val="es-ES_tradnl"/>
        </w:rPr>
        <w:t>isterio de Economía y Finanzas.</w:t>
      </w:r>
    </w:p>
    <w:p w:rsidR="003A78D8" w:rsidRDefault="003A78D8" w:rsidP="003A78D8">
      <w:pPr>
        <w:spacing w:line="360" w:lineRule="auto"/>
        <w:rPr>
          <w:i/>
          <w:iCs/>
          <w:sz w:val="22"/>
          <w:szCs w:val="22"/>
        </w:rPr>
      </w:pPr>
    </w:p>
    <w:p w:rsidR="003A78D8" w:rsidRPr="005361A3" w:rsidRDefault="005361A3" w:rsidP="005361A3">
      <w:pPr>
        <w:spacing w:line="360" w:lineRule="auto"/>
        <w:jc w:val="both"/>
      </w:pPr>
      <w:proofErr w:type="gramStart"/>
      <w:r w:rsidRPr="005361A3">
        <w:rPr>
          <w:iCs/>
        </w:rPr>
        <w:t>lm</w:t>
      </w:r>
      <w:proofErr w:type="gramEnd"/>
    </w:p>
    <w:sectPr w:rsidR="003A78D8" w:rsidRPr="005361A3" w:rsidSect="000D7FFE">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DD" w:rsidRDefault="00CF47DD" w:rsidP="00CF47DD">
      <w:r>
        <w:separator/>
      </w:r>
    </w:p>
  </w:endnote>
  <w:endnote w:type="continuationSeparator" w:id="0">
    <w:p w:rsidR="00CF47DD" w:rsidRDefault="00CF47DD" w:rsidP="00CF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524337"/>
      <w:docPartObj>
        <w:docPartGallery w:val="Page Numbers (Bottom of Page)"/>
        <w:docPartUnique/>
      </w:docPartObj>
    </w:sdtPr>
    <w:sdtEndPr/>
    <w:sdtContent>
      <w:p w:rsidR="00CF47DD" w:rsidRDefault="00CF47DD">
        <w:pPr>
          <w:pStyle w:val="Piedepgina"/>
          <w:jc w:val="center"/>
        </w:pPr>
        <w:r>
          <w:fldChar w:fldCharType="begin"/>
        </w:r>
        <w:r>
          <w:instrText>PAGE   \* MERGEFORMAT</w:instrText>
        </w:r>
        <w:r>
          <w:fldChar w:fldCharType="separate"/>
        </w:r>
        <w:r w:rsidR="009006B0">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DD" w:rsidRDefault="00CF47DD" w:rsidP="00CF47DD">
      <w:r>
        <w:separator/>
      </w:r>
    </w:p>
  </w:footnote>
  <w:footnote w:type="continuationSeparator" w:id="0">
    <w:p w:rsidR="00CF47DD" w:rsidRDefault="00CF47DD" w:rsidP="00CF4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2A77"/>
    <w:multiLevelType w:val="hybridMultilevel"/>
    <w:tmpl w:val="AB4040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57ED5E3B"/>
    <w:multiLevelType w:val="hybridMultilevel"/>
    <w:tmpl w:val="7AB845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6872583"/>
    <w:multiLevelType w:val="hybridMultilevel"/>
    <w:tmpl w:val="A366F90A"/>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73401E68"/>
    <w:multiLevelType w:val="hybridMultilevel"/>
    <w:tmpl w:val="C8866FB2"/>
    <w:lvl w:ilvl="0" w:tplc="61D0E638">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84C47C3"/>
    <w:multiLevelType w:val="hybridMultilevel"/>
    <w:tmpl w:val="6A4A236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05"/>
    <w:rsid w:val="0004440F"/>
    <w:rsid w:val="000D7FFE"/>
    <w:rsid w:val="0018570E"/>
    <w:rsid w:val="00242471"/>
    <w:rsid w:val="002E43DA"/>
    <w:rsid w:val="003A306A"/>
    <w:rsid w:val="003A78D8"/>
    <w:rsid w:val="003D0FED"/>
    <w:rsid w:val="00470464"/>
    <w:rsid w:val="005247ED"/>
    <w:rsid w:val="005361A3"/>
    <w:rsid w:val="0087331A"/>
    <w:rsid w:val="009006B0"/>
    <w:rsid w:val="009119AC"/>
    <w:rsid w:val="00B13F7A"/>
    <w:rsid w:val="00C90F19"/>
    <w:rsid w:val="00CF47DD"/>
    <w:rsid w:val="00D35CF7"/>
    <w:rsid w:val="00DD1E05"/>
    <w:rsid w:val="00E66713"/>
    <w:rsid w:val="00F45C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05"/>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1E05"/>
    <w:pPr>
      <w:spacing w:line="360" w:lineRule="auto"/>
      <w:jc w:val="both"/>
    </w:pPr>
  </w:style>
  <w:style w:type="character" w:customStyle="1" w:styleId="TextoindependienteCar">
    <w:name w:val="Texto independiente Car"/>
    <w:basedOn w:val="Fuentedeprrafopredeter"/>
    <w:link w:val="Textoindependiente"/>
    <w:rsid w:val="00DD1E05"/>
    <w:rPr>
      <w:rFonts w:ascii="Arial" w:eastAsia="Times New Roman" w:hAnsi="Arial" w:cs="Times New Roman"/>
      <w:sz w:val="24"/>
      <w:szCs w:val="24"/>
      <w:lang w:eastAsia="es-ES"/>
    </w:rPr>
  </w:style>
  <w:style w:type="paragraph" w:styleId="Prrafodelista">
    <w:name w:val="List Paragraph"/>
    <w:basedOn w:val="Normal"/>
    <w:uiPriority w:val="34"/>
    <w:qFormat/>
    <w:rsid w:val="00DD1E05"/>
    <w:pPr>
      <w:ind w:left="708"/>
    </w:pPr>
  </w:style>
  <w:style w:type="paragraph" w:styleId="Sangra2detindependiente">
    <w:name w:val="Body Text Indent 2"/>
    <w:basedOn w:val="Normal"/>
    <w:link w:val="Sangra2detindependienteCar"/>
    <w:rsid w:val="00DD1E05"/>
    <w:pPr>
      <w:spacing w:after="120" w:line="480" w:lineRule="auto"/>
      <w:ind w:left="283"/>
    </w:pPr>
  </w:style>
  <w:style w:type="character" w:customStyle="1" w:styleId="Sangra2detindependienteCar">
    <w:name w:val="Sangría 2 de t. independiente Car"/>
    <w:basedOn w:val="Fuentedeprrafopredeter"/>
    <w:link w:val="Sangra2detindependiente"/>
    <w:rsid w:val="00DD1E05"/>
    <w:rPr>
      <w:rFonts w:ascii="Arial" w:eastAsia="Times New Roman" w:hAnsi="Arial" w:cs="Times New Roman"/>
      <w:sz w:val="24"/>
      <w:szCs w:val="24"/>
      <w:lang w:eastAsia="es-ES"/>
    </w:rPr>
  </w:style>
  <w:style w:type="paragraph" w:styleId="Ttulo">
    <w:name w:val="Title"/>
    <w:basedOn w:val="Normal"/>
    <w:link w:val="TtuloCar"/>
    <w:qFormat/>
    <w:rsid w:val="00DD1E05"/>
    <w:pPr>
      <w:spacing w:line="360" w:lineRule="auto"/>
      <w:jc w:val="center"/>
    </w:pPr>
    <w:rPr>
      <w:b/>
      <w:u w:val="single"/>
      <w:lang w:val="es-UY"/>
    </w:rPr>
  </w:style>
  <w:style w:type="character" w:customStyle="1" w:styleId="TtuloCar">
    <w:name w:val="Título Car"/>
    <w:basedOn w:val="Fuentedeprrafopredeter"/>
    <w:link w:val="Ttulo"/>
    <w:rsid w:val="00DD1E05"/>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87331A"/>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31A"/>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CF47DD"/>
    <w:pPr>
      <w:tabs>
        <w:tab w:val="center" w:pos="4252"/>
        <w:tab w:val="right" w:pos="8504"/>
      </w:tabs>
    </w:pPr>
  </w:style>
  <w:style w:type="character" w:customStyle="1" w:styleId="EncabezadoCar">
    <w:name w:val="Encabezado Car"/>
    <w:basedOn w:val="Fuentedeprrafopredeter"/>
    <w:link w:val="Encabezado"/>
    <w:uiPriority w:val="99"/>
    <w:rsid w:val="00CF47DD"/>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CF47DD"/>
    <w:pPr>
      <w:tabs>
        <w:tab w:val="center" w:pos="4252"/>
        <w:tab w:val="right" w:pos="8504"/>
      </w:tabs>
    </w:pPr>
  </w:style>
  <w:style w:type="character" w:customStyle="1" w:styleId="PiedepginaCar">
    <w:name w:val="Pie de página Car"/>
    <w:basedOn w:val="Fuentedeprrafopredeter"/>
    <w:link w:val="Piedepgina"/>
    <w:uiPriority w:val="99"/>
    <w:rsid w:val="00CF47DD"/>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05"/>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1E05"/>
    <w:pPr>
      <w:spacing w:line="360" w:lineRule="auto"/>
      <w:jc w:val="both"/>
    </w:pPr>
  </w:style>
  <w:style w:type="character" w:customStyle="1" w:styleId="TextoindependienteCar">
    <w:name w:val="Texto independiente Car"/>
    <w:basedOn w:val="Fuentedeprrafopredeter"/>
    <w:link w:val="Textoindependiente"/>
    <w:rsid w:val="00DD1E05"/>
    <w:rPr>
      <w:rFonts w:ascii="Arial" w:eastAsia="Times New Roman" w:hAnsi="Arial" w:cs="Times New Roman"/>
      <w:sz w:val="24"/>
      <w:szCs w:val="24"/>
      <w:lang w:eastAsia="es-ES"/>
    </w:rPr>
  </w:style>
  <w:style w:type="paragraph" w:styleId="Prrafodelista">
    <w:name w:val="List Paragraph"/>
    <w:basedOn w:val="Normal"/>
    <w:uiPriority w:val="34"/>
    <w:qFormat/>
    <w:rsid w:val="00DD1E05"/>
    <w:pPr>
      <w:ind w:left="708"/>
    </w:pPr>
  </w:style>
  <w:style w:type="paragraph" w:styleId="Sangra2detindependiente">
    <w:name w:val="Body Text Indent 2"/>
    <w:basedOn w:val="Normal"/>
    <w:link w:val="Sangra2detindependienteCar"/>
    <w:rsid w:val="00DD1E05"/>
    <w:pPr>
      <w:spacing w:after="120" w:line="480" w:lineRule="auto"/>
      <w:ind w:left="283"/>
    </w:pPr>
  </w:style>
  <w:style w:type="character" w:customStyle="1" w:styleId="Sangra2detindependienteCar">
    <w:name w:val="Sangría 2 de t. independiente Car"/>
    <w:basedOn w:val="Fuentedeprrafopredeter"/>
    <w:link w:val="Sangra2detindependiente"/>
    <w:rsid w:val="00DD1E05"/>
    <w:rPr>
      <w:rFonts w:ascii="Arial" w:eastAsia="Times New Roman" w:hAnsi="Arial" w:cs="Times New Roman"/>
      <w:sz w:val="24"/>
      <w:szCs w:val="24"/>
      <w:lang w:eastAsia="es-ES"/>
    </w:rPr>
  </w:style>
  <w:style w:type="paragraph" w:styleId="Ttulo">
    <w:name w:val="Title"/>
    <w:basedOn w:val="Normal"/>
    <w:link w:val="TtuloCar"/>
    <w:qFormat/>
    <w:rsid w:val="00DD1E05"/>
    <w:pPr>
      <w:spacing w:line="360" w:lineRule="auto"/>
      <w:jc w:val="center"/>
    </w:pPr>
    <w:rPr>
      <w:b/>
      <w:u w:val="single"/>
      <w:lang w:val="es-UY"/>
    </w:rPr>
  </w:style>
  <w:style w:type="character" w:customStyle="1" w:styleId="TtuloCar">
    <w:name w:val="Título Car"/>
    <w:basedOn w:val="Fuentedeprrafopredeter"/>
    <w:link w:val="Ttulo"/>
    <w:rsid w:val="00DD1E05"/>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87331A"/>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31A"/>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CF47DD"/>
    <w:pPr>
      <w:tabs>
        <w:tab w:val="center" w:pos="4252"/>
        <w:tab w:val="right" w:pos="8504"/>
      </w:tabs>
    </w:pPr>
  </w:style>
  <w:style w:type="character" w:customStyle="1" w:styleId="EncabezadoCar">
    <w:name w:val="Encabezado Car"/>
    <w:basedOn w:val="Fuentedeprrafopredeter"/>
    <w:link w:val="Encabezado"/>
    <w:uiPriority w:val="99"/>
    <w:rsid w:val="00CF47DD"/>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CF47DD"/>
    <w:pPr>
      <w:tabs>
        <w:tab w:val="center" w:pos="4252"/>
        <w:tab w:val="right" w:pos="8504"/>
      </w:tabs>
    </w:pPr>
  </w:style>
  <w:style w:type="character" w:customStyle="1" w:styleId="PiedepginaCar">
    <w:name w:val="Pie de página Car"/>
    <w:basedOn w:val="Fuentedeprrafopredeter"/>
    <w:link w:val="Piedepgina"/>
    <w:uiPriority w:val="99"/>
    <w:rsid w:val="00CF47DD"/>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718</Words>
  <Characters>3952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2019-06-10T16:02:00Z</cp:lastPrinted>
  <dcterms:created xsi:type="dcterms:W3CDTF">2019-06-10T15:36:00Z</dcterms:created>
  <dcterms:modified xsi:type="dcterms:W3CDTF">2019-06-10T16:32:00Z</dcterms:modified>
</cp:coreProperties>
</file>