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E14" w:rsidRPr="00FD7E14" w:rsidRDefault="00FD7E14" w:rsidP="00FD7E14">
      <w:pPr>
        <w:tabs>
          <w:tab w:val="center" w:pos="4253"/>
        </w:tabs>
        <w:suppressAutoHyphens/>
        <w:spacing w:after="0" w:line="240" w:lineRule="auto"/>
        <w:jc w:val="right"/>
        <w:rPr>
          <w:rFonts w:ascii="Arial" w:eastAsia="Times New Roman" w:hAnsi="Arial" w:cs="Arial"/>
          <w:b/>
          <w:sz w:val="28"/>
          <w:szCs w:val="28"/>
          <w:lang w:val="es-ES_tradnl" w:eastAsia="es-ES"/>
        </w:rPr>
      </w:pPr>
      <w:r w:rsidRPr="00FD7E14">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1354</w:t>
      </w:r>
      <w:r w:rsidRPr="00FD7E14">
        <w:rPr>
          <w:rFonts w:ascii="Arial" w:eastAsia="Times New Roman" w:hAnsi="Arial" w:cs="Arial"/>
          <w:b/>
          <w:sz w:val="28"/>
          <w:szCs w:val="28"/>
          <w:lang w:val="es-ES_tradnl" w:eastAsia="es-ES"/>
        </w:rPr>
        <w:t>/19</w:t>
      </w:r>
    </w:p>
    <w:p w:rsidR="00FD7E14" w:rsidRPr="00FD7E14" w:rsidRDefault="00FD7E14" w:rsidP="00FD7E14">
      <w:pPr>
        <w:tabs>
          <w:tab w:val="center" w:pos="4253"/>
        </w:tabs>
        <w:suppressAutoHyphens/>
        <w:spacing w:after="0" w:line="240" w:lineRule="auto"/>
        <w:jc w:val="right"/>
        <w:rPr>
          <w:rFonts w:ascii="Arial" w:eastAsia="Times New Roman" w:hAnsi="Arial" w:cs="Arial"/>
          <w:b/>
          <w:sz w:val="24"/>
          <w:szCs w:val="24"/>
          <w:lang w:val="es-ES_tradnl" w:eastAsia="es-ES"/>
        </w:rPr>
      </w:pPr>
    </w:p>
    <w:p w:rsidR="00FD7E14" w:rsidRPr="00FD7E14" w:rsidRDefault="00FD7E14" w:rsidP="00FD7E14">
      <w:pPr>
        <w:tabs>
          <w:tab w:val="center" w:pos="4253"/>
        </w:tabs>
        <w:suppressAutoHyphens/>
        <w:spacing w:after="0" w:line="240" w:lineRule="auto"/>
        <w:jc w:val="center"/>
        <w:rPr>
          <w:rFonts w:ascii="Arial" w:eastAsia="Times New Roman" w:hAnsi="Arial" w:cs="Arial"/>
          <w:b/>
          <w:sz w:val="24"/>
          <w:szCs w:val="24"/>
          <w:lang w:val="es-ES_tradnl" w:eastAsia="es-ES"/>
        </w:rPr>
      </w:pPr>
      <w:r w:rsidRPr="00FD7E14">
        <w:rPr>
          <w:rFonts w:ascii="Arial" w:eastAsia="Times New Roman" w:hAnsi="Arial" w:cs="Arial"/>
          <w:b/>
          <w:sz w:val="24"/>
          <w:szCs w:val="24"/>
          <w:lang w:val="es-ES_tradnl" w:eastAsia="es-ES"/>
        </w:rPr>
        <w:t>RESOLUCION ADOPTADA POR EL</w:t>
      </w:r>
    </w:p>
    <w:p w:rsidR="00FD7E14" w:rsidRPr="00FD7E14" w:rsidRDefault="00FD7E14" w:rsidP="00FD7E14">
      <w:pPr>
        <w:tabs>
          <w:tab w:val="left" w:pos="-720"/>
        </w:tabs>
        <w:suppressAutoHyphens/>
        <w:spacing w:after="0" w:line="240" w:lineRule="auto"/>
        <w:jc w:val="center"/>
        <w:rPr>
          <w:rFonts w:ascii="Arial" w:eastAsia="Times New Roman" w:hAnsi="Arial" w:cs="Arial"/>
          <w:b/>
          <w:sz w:val="24"/>
          <w:szCs w:val="24"/>
          <w:lang w:val="es-ES_tradnl" w:eastAsia="es-ES"/>
        </w:rPr>
      </w:pPr>
    </w:p>
    <w:p w:rsidR="00FD7E14" w:rsidRPr="00FD7E14" w:rsidRDefault="00FD7E14" w:rsidP="00FD7E14">
      <w:pPr>
        <w:tabs>
          <w:tab w:val="center" w:pos="4253"/>
        </w:tabs>
        <w:suppressAutoHyphens/>
        <w:spacing w:after="0" w:line="240" w:lineRule="auto"/>
        <w:jc w:val="center"/>
        <w:rPr>
          <w:rFonts w:ascii="Arial" w:eastAsia="Times New Roman" w:hAnsi="Arial" w:cs="Arial"/>
          <w:b/>
          <w:sz w:val="24"/>
          <w:szCs w:val="24"/>
          <w:lang w:val="es-ES_tradnl" w:eastAsia="es-ES"/>
        </w:rPr>
      </w:pPr>
      <w:r w:rsidRPr="00FD7E14">
        <w:rPr>
          <w:rFonts w:ascii="Arial" w:eastAsia="Times New Roman" w:hAnsi="Arial" w:cs="Arial"/>
          <w:b/>
          <w:sz w:val="24"/>
          <w:szCs w:val="24"/>
          <w:lang w:val="es-ES_tradnl" w:eastAsia="es-ES"/>
        </w:rPr>
        <w:t>TRIBUNAL DE CUENTAS</w:t>
      </w:r>
    </w:p>
    <w:p w:rsidR="00FD7E14" w:rsidRPr="00FD7E14" w:rsidRDefault="00FD7E14" w:rsidP="00FD7E14">
      <w:pPr>
        <w:tabs>
          <w:tab w:val="left" w:pos="-720"/>
        </w:tabs>
        <w:suppressAutoHyphens/>
        <w:spacing w:after="0" w:line="240" w:lineRule="auto"/>
        <w:jc w:val="center"/>
        <w:rPr>
          <w:rFonts w:ascii="Arial" w:eastAsia="Times New Roman" w:hAnsi="Arial" w:cs="Arial"/>
          <w:b/>
          <w:sz w:val="24"/>
          <w:szCs w:val="24"/>
          <w:lang w:val="es-ES_tradnl" w:eastAsia="es-ES"/>
        </w:rPr>
      </w:pPr>
    </w:p>
    <w:p w:rsidR="00FD7E14" w:rsidRPr="00FD7E14" w:rsidRDefault="00FD7E14" w:rsidP="00FD7E14">
      <w:pPr>
        <w:tabs>
          <w:tab w:val="center" w:pos="4253"/>
        </w:tabs>
        <w:suppressAutoHyphens/>
        <w:spacing w:after="0" w:line="240" w:lineRule="auto"/>
        <w:jc w:val="center"/>
        <w:rPr>
          <w:rFonts w:ascii="Arial" w:eastAsia="Times New Roman" w:hAnsi="Arial" w:cs="Arial"/>
          <w:b/>
          <w:sz w:val="24"/>
          <w:szCs w:val="24"/>
          <w:lang w:val="es-ES_tradnl" w:eastAsia="es-ES"/>
        </w:rPr>
      </w:pPr>
      <w:r w:rsidRPr="00FD7E14">
        <w:rPr>
          <w:rFonts w:ascii="Arial" w:eastAsia="Times New Roman" w:hAnsi="Arial" w:cs="Arial"/>
          <w:b/>
          <w:sz w:val="24"/>
          <w:szCs w:val="24"/>
          <w:lang w:val="es-ES_tradnl" w:eastAsia="es-ES"/>
        </w:rPr>
        <w:t xml:space="preserve">EN SESION DE FECHA 29 DE MAYO  </w:t>
      </w:r>
      <w:r w:rsidRPr="00FD7E14">
        <w:rPr>
          <w:rFonts w:ascii="Helvetica" w:eastAsia="Times New Roman" w:hAnsi="Helvetica" w:cs="Times New Roman"/>
          <w:b/>
          <w:sz w:val="24"/>
          <w:szCs w:val="24"/>
          <w:lang w:val="es-ES_tradnl" w:eastAsia="es-ES"/>
        </w:rPr>
        <w:t>DE 2019</w:t>
      </w:r>
    </w:p>
    <w:p w:rsidR="00FD7E14" w:rsidRPr="00FD7E14" w:rsidRDefault="00FD7E14" w:rsidP="00FD7E14">
      <w:pPr>
        <w:tabs>
          <w:tab w:val="center" w:pos="4253"/>
        </w:tabs>
        <w:suppressAutoHyphens/>
        <w:spacing w:after="0" w:line="240" w:lineRule="auto"/>
        <w:jc w:val="center"/>
        <w:rPr>
          <w:rFonts w:ascii="Arial" w:eastAsia="Times New Roman" w:hAnsi="Arial" w:cs="Arial"/>
          <w:b/>
          <w:sz w:val="24"/>
          <w:szCs w:val="24"/>
          <w:lang w:val="es-ES_tradnl" w:eastAsia="es-ES"/>
        </w:rPr>
      </w:pPr>
    </w:p>
    <w:p w:rsidR="00FD7E14" w:rsidRPr="00FD7E14" w:rsidRDefault="00FD7E14" w:rsidP="00FD7E14">
      <w:pPr>
        <w:tabs>
          <w:tab w:val="center" w:pos="4253"/>
        </w:tabs>
        <w:suppressAutoHyphens/>
        <w:spacing w:after="0" w:line="240" w:lineRule="auto"/>
        <w:jc w:val="center"/>
        <w:rPr>
          <w:rFonts w:ascii="Arial" w:eastAsia="Times New Roman" w:hAnsi="Arial" w:cs="Arial"/>
          <w:b/>
          <w:sz w:val="24"/>
          <w:szCs w:val="24"/>
          <w:lang w:val="es-UY" w:eastAsia="es-ES"/>
        </w:rPr>
      </w:pPr>
      <w:r w:rsidRPr="00FD7E14">
        <w:rPr>
          <w:rFonts w:ascii="Arial" w:eastAsia="Times New Roman" w:hAnsi="Arial" w:cs="Arial"/>
          <w:b/>
          <w:sz w:val="24"/>
          <w:szCs w:val="24"/>
          <w:lang w:val="es-UY" w:eastAsia="es-ES"/>
        </w:rPr>
        <w:t>(E. E. Nº 201</w:t>
      </w:r>
      <w:r>
        <w:rPr>
          <w:rFonts w:ascii="Arial" w:eastAsia="Times New Roman" w:hAnsi="Arial" w:cs="Arial"/>
          <w:b/>
          <w:sz w:val="24"/>
          <w:szCs w:val="24"/>
          <w:lang w:val="es-UY" w:eastAsia="es-ES"/>
        </w:rPr>
        <w:t>6</w:t>
      </w:r>
      <w:r w:rsidRPr="00FD7E14">
        <w:rPr>
          <w:rFonts w:ascii="Arial" w:eastAsia="Times New Roman" w:hAnsi="Arial" w:cs="Arial"/>
          <w:b/>
          <w:sz w:val="24"/>
          <w:szCs w:val="24"/>
          <w:lang w:val="es-UY" w:eastAsia="es-ES"/>
        </w:rPr>
        <w:t>-17-1-000</w:t>
      </w:r>
      <w:r>
        <w:rPr>
          <w:rFonts w:ascii="Arial" w:eastAsia="Times New Roman" w:hAnsi="Arial" w:cs="Arial"/>
          <w:b/>
          <w:sz w:val="24"/>
          <w:szCs w:val="24"/>
          <w:lang w:val="es-UY" w:eastAsia="es-ES"/>
        </w:rPr>
        <w:t>1698</w:t>
      </w:r>
      <w:r w:rsidRPr="00FD7E14">
        <w:rPr>
          <w:rFonts w:ascii="Arial" w:eastAsia="Times New Roman" w:hAnsi="Arial" w:cs="Arial"/>
          <w:b/>
          <w:sz w:val="24"/>
          <w:szCs w:val="24"/>
          <w:lang w:val="es-UY" w:eastAsia="es-ES"/>
        </w:rPr>
        <w:t xml:space="preserve">, </w:t>
      </w:r>
      <w:proofErr w:type="spellStart"/>
      <w:r w:rsidRPr="00FD7E14">
        <w:rPr>
          <w:rFonts w:ascii="Arial" w:eastAsia="Times New Roman" w:hAnsi="Arial" w:cs="Arial"/>
          <w:b/>
          <w:sz w:val="24"/>
          <w:szCs w:val="24"/>
          <w:lang w:val="es-UY" w:eastAsia="es-ES"/>
        </w:rPr>
        <w:t>Ent</w:t>
      </w:r>
      <w:proofErr w:type="spellEnd"/>
      <w:r w:rsidRPr="00FD7E14">
        <w:rPr>
          <w:rFonts w:ascii="Arial" w:eastAsia="Times New Roman" w:hAnsi="Arial" w:cs="Arial"/>
          <w:b/>
          <w:sz w:val="24"/>
          <w:szCs w:val="24"/>
          <w:lang w:val="es-UY" w:eastAsia="es-ES"/>
        </w:rPr>
        <w:t xml:space="preserve">. N° </w:t>
      </w:r>
      <w:r>
        <w:rPr>
          <w:rFonts w:ascii="Arial" w:eastAsia="Times New Roman" w:hAnsi="Arial" w:cs="Arial"/>
          <w:b/>
          <w:sz w:val="24"/>
          <w:szCs w:val="24"/>
          <w:lang w:val="es-UY" w:eastAsia="es-ES"/>
        </w:rPr>
        <w:t>1868</w:t>
      </w:r>
      <w:r w:rsidRPr="00FD7E14">
        <w:rPr>
          <w:rFonts w:ascii="Arial" w:eastAsia="Times New Roman" w:hAnsi="Arial" w:cs="Arial"/>
          <w:b/>
          <w:sz w:val="24"/>
          <w:szCs w:val="24"/>
          <w:lang w:val="es-UY" w:eastAsia="es-ES"/>
        </w:rPr>
        <w:t>/</w:t>
      </w:r>
      <w:r>
        <w:rPr>
          <w:rFonts w:ascii="Arial" w:eastAsia="Times New Roman" w:hAnsi="Arial" w:cs="Arial"/>
          <w:b/>
          <w:sz w:val="24"/>
          <w:szCs w:val="24"/>
          <w:lang w:val="es-UY" w:eastAsia="es-ES"/>
        </w:rPr>
        <w:t>19)</w:t>
      </w:r>
    </w:p>
    <w:p w:rsidR="00901C0D" w:rsidRPr="00FD7E14" w:rsidRDefault="00901C0D" w:rsidP="004A5E37">
      <w:pPr>
        <w:spacing w:line="360" w:lineRule="auto"/>
        <w:ind w:left="-142" w:firstLine="850"/>
        <w:jc w:val="both"/>
        <w:rPr>
          <w:rFonts w:ascii="Arial" w:hAnsi="Arial" w:cs="Arial"/>
          <w:b/>
          <w:sz w:val="24"/>
          <w:szCs w:val="24"/>
          <w:lang w:val="es-UY"/>
        </w:rPr>
      </w:pPr>
    </w:p>
    <w:p w:rsidR="004A5E37" w:rsidRDefault="00E63629" w:rsidP="00FD7E14">
      <w:pPr>
        <w:spacing w:after="0" w:line="360" w:lineRule="auto"/>
        <w:ind w:left="-142" w:firstLine="851"/>
        <w:jc w:val="both"/>
        <w:rPr>
          <w:rFonts w:ascii="Arial" w:hAnsi="Arial"/>
          <w:bCs/>
          <w:sz w:val="24"/>
          <w:szCs w:val="24"/>
          <w:lang w:val="es-ES_tradnl"/>
        </w:rPr>
      </w:pPr>
      <w:r w:rsidRPr="00D86D06">
        <w:rPr>
          <w:rFonts w:ascii="Arial" w:hAnsi="Arial" w:cs="Arial"/>
          <w:b/>
          <w:sz w:val="24"/>
          <w:szCs w:val="24"/>
          <w:lang w:val="es-ES_tradnl"/>
        </w:rPr>
        <w:t>VISTO:</w:t>
      </w:r>
      <w:r w:rsidRPr="00D86D06">
        <w:rPr>
          <w:rFonts w:ascii="Arial" w:hAnsi="Arial" w:cs="Arial"/>
          <w:sz w:val="24"/>
          <w:szCs w:val="24"/>
          <w:lang w:val="es-ES_tradnl"/>
        </w:rPr>
        <w:t xml:space="preserve"> </w:t>
      </w:r>
      <w:r w:rsidR="00443C58" w:rsidRPr="00D86D06">
        <w:rPr>
          <w:rFonts w:ascii="Arial" w:hAnsi="Arial" w:cs="Arial"/>
          <w:sz w:val="24"/>
          <w:szCs w:val="24"/>
          <w:lang w:val="es-ES_tradnl"/>
        </w:rPr>
        <w:t>las</w:t>
      </w:r>
      <w:r w:rsidR="00867D13" w:rsidRPr="00D86D06">
        <w:rPr>
          <w:rFonts w:ascii="Arial" w:hAnsi="Arial" w:cs="Arial"/>
          <w:sz w:val="24"/>
          <w:szCs w:val="24"/>
          <w:lang w:val="es-ES_tradnl"/>
        </w:rPr>
        <w:t xml:space="preserve"> nuevas actuaciones remitidas por </w:t>
      </w:r>
      <w:r w:rsidR="00727040">
        <w:rPr>
          <w:rFonts w:ascii="Arial" w:hAnsi="Arial" w:cs="Arial"/>
          <w:sz w:val="24"/>
          <w:szCs w:val="24"/>
          <w:lang w:val="es-ES_tradnl"/>
        </w:rPr>
        <w:t xml:space="preserve"> la </w:t>
      </w:r>
      <w:r w:rsidR="00727040" w:rsidRPr="00727040">
        <w:rPr>
          <w:rFonts w:ascii="Arial" w:hAnsi="Arial" w:cs="Arial"/>
          <w:sz w:val="24"/>
          <w:szCs w:val="24"/>
          <w:lang w:val="es-ES_tradnl"/>
        </w:rPr>
        <w:t xml:space="preserve">Unidad Centralizada de Compras (UCA) </w:t>
      </w:r>
      <w:r w:rsidR="00727040">
        <w:rPr>
          <w:rFonts w:ascii="Arial" w:hAnsi="Arial" w:cs="Arial"/>
          <w:sz w:val="24"/>
          <w:szCs w:val="24"/>
          <w:lang w:val="es-ES_tradnl"/>
        </w:rPr>
        <w:t>d</w:t>
      </w:r>
      <w:r w:rsidR="00867D13" w:rsidRPr="00D86D06">
        <w:rPr>
          <w:rFonts w:ascii="Arial" w:hAnsi="Arial" w:cs="Arial"/>
          <w:sz w:val="24"/>
          <w:szCs w:val="24"/>
          <w:lang w:val="es-ES_tradnl"/>
        </w:rPr>
        <w:t>el</w:t>
      </w:r>
      <w:r w:rsidR="00867D13" w:rsidRPr="00D86D06">
        <w:rPr>
          <w:rFonts w:ascii="Arial" w:hAnsi="Arial" w:cs="Arial"/>
          <w:bCs/>
          <w:sz w:val="24"/>
          <w:szCs w:val="24"/>
          <w:lang w:val="es-ES_tradnl"/>
        </w:rPr>
        <w:t xml:space="preserve">  Ministerio de Economía y Finanzas</w:t>
      </w:r>
      <w:r w:rsidR="00727040">
        <w:rPr>
          <w:rFonts w:ascii="Arial" w:hAnsi="Arial" w:cs="Arial"/>
          <w:bCs/>
          <w:sz w:val="24"/>
          <w:szCs w:val="24"/>
          <w:lang w:val="es-ES_tradnl"/>
        </w:rPr>
        <w:t>,</w:t>
      </w:r>
      <w:r w:rsidR="00867D13" w:rsidRPr="00D86D06">
        <w:rPr>
          <w:rFonts w:ascii="Arial" w:hAnsi="Arial" w:cs="Arial"/>
          <w:bCs/>
          <w:sz w:val="24"/>
          <w:szCs w:val="24"/>
          <w:lang w:val="es-ES_tradnl"/>
        </w:rPr>
        <w:t xml:space="preserve">  relacionadas con el </w:t>
      </w:r>
      <w:r w:rsidR="00D86D06" w:rsidRPr="00D86D06">
        <w:rPr>
          <w:rFonts w:ascii="Arial" w:hAnsi="Arial" w:cs="Arial"/>
          <w:sz w:val="24"/>
          <w:szCs w:val="24"/>
        </w:rPr>
        <w:t xml:space="preserve">Llamado </w:t>
      </w:r>
      <w:r w:rsidR="00727040">
        <w:rPr>
          <w:rFonts w:ascii="Arial" w:hAnsi="Arial" w:cs="Arial"/>
          <w:sz w:val="24"/>
          <w:szCs w:val="24"/>
        </w:rPr>
        <w:t xml:space="preserve">Nº </w:t>
      </w:r>
      <w:r w:rsidR="00F73111">
        <w:rPr>
          <w:rFonts w:ascii="Arial" w:hAnsi="Arial" w:cs="Arial"/>
          <w:sz w:val="24"/>
          <w:szCs w:val="24"/>
        </w:rPr>
        <w:t>29/2015</w:t>
      </w:r>
      <w:r w:rsidR="00F73111" w:rsidRPr="00D86D06">
        <w:rPr>
          <w:rFonts w:ascii="Arial" w:hAnsi="Arial" w:cs="Arial"/>
          <w:sz w:val="24"/>
          <w:szCs w:val="24"/>
          <w:lang w:val="es-ES_tradnl"/>
        </w:rPr>
        <w:t xml:space="preserve">, convocado para </w:t>
      </w:r>
      <w:r w:rsidR="00F73111">
        <w:rPr>
          <w:rFonts w:ascii="Arial" w:hAnsi="Arial" w:cs="Arial"/>
          <w:sz w:val="24"/>
          <w:szCs w:val="24"/>
          <w:lang w:val="es-ES_tradnl"/>
        </w:rPr>
        <w:t>el suministro de productos químicos y detergentes – Complemento”</w:t>
      </w:r>
      <w:r w:rsidR="00D86D06" w:rsidRPr="00D86D06">
        <w:rPr>
          <w:rFonts w:ascii="Arial" w:hAnsi="Arial" w:cs="Arial"/>
          <w:sz w:val="24"/>
          <w:szCs w:val="24"/>
          <w:lang w:val="es-ES_tradnl"/>
        </w:rPr>
        <w:t>;</w:t>
      </w:r>
      <w:r w:rsidR="00867D13" w:rsidRPr="00D86D06">
        <w:rPr>
          <w:rFonts w:ascii="Arial" w:hAnsi="Arial"/>
          <w:bCs/>
          <w:sz w:val="24"/>
          <w:szCs w:val="24"/>
          <w:lang w:val="es-ES_tradnl"/>
        </w:rPr>
        <w:t xml:space="preserve">  </w:t>
      </w:r>
    </w:p>
    <w:p w:rsidR="00B01EF5" w:rsidRDefault="00D86D06" w:rsidP="00FD7E14">
      <w:pPr>
        <w:spacing w:after="0" w:line="360" w:lineRule="auto"/>
        <w:ind w:left="-142" w:firstLine="851"/>
        <w:jc w:val="both"/>
        <w:rPr>
          <w:rFonts w:ascii="Arial" w:hAnsi="Arial" w:cs="Arial"/>
          <w:bCs/>
          <w:sz w:val="24"/>
          <w:szCs w:val="24"/>
          <w:lang w:val="es-ES_tradnl"/>
        </w:rPr>
      </w:pPr>
      <w:r>
        <w:rPr>
          <w:rFonts w:ascii="Arial" w:hAnsi="Arial" w:cs="Arial"/>
          <w:b/>
          <w:sz w:val="24"/>
          <w:szCs w:val="24"/>
          <w:lang w:val="es-ES_tradnl"/>
        </w:rPr>
        <w:t>RESULTANDO</w:t>
      </w:r>
      <w:r w:rsidR="00CF3799" w:rsidRPr="00CF3799">
        <w:rPr>
          <w:rFonts w:ascii="Arial" w:hAnsi="Arial" w:cs="Arial"/>
          <w:b/>
          <w:sz w:val="24"/>
          <w:szCs w:val="24"/>
          <w:lang w:val="es-ES_tradnl"/>
        </w:rPr>
        <w:t>: 1)</w:t>
      </w:r>
      <w:r w:rsidR="00CF3799">
        <w:rPr>
          <w:rFonts w:ascii="Arial" w:hAnsi="Arial" w:cs="Arial"/>
          <w:sz w:val="24"/>
          <w:szCs w:val="24"/>
          <w:lang w:val="es-ES_tradnl"/>
        </w:rPr>
        <w:t xml:space="preserve"> que este</w:t>
      </w:r>
      <w:r w:rsidR="00CF3799" w:rsidRPr="002424E7">
        <w:rPr>
          <w:rFonts w:ascii="Arial" w:hAnsi="Arial" w:cs="Arial"/>
          <w:sz w:val="24"/>
          <w:szCs w:val="24"/>
          <w:lang w:val="es-ES_tradnl"/>
        </w:rPr>
        <w:t xml:space="preserve"> Tribunal en Sesión de fecha </w:t>
      </w:r>
      <w:r w:rsidR="00F73111">
        <w:rPr>
          <w:rFonts w:ascii="Arial" w:hAnsi="Arial" w:cs="Arial"/>
          <w:sz w:val="24"/>
          <w:szCs w:val="24"/>
          <w:lang w:val="es-ES_tradnl"/>
        </w:rPr>
        <w:t>15 de febrero de 2017</w:t>
      </w:r>
      <w:r w:rsidR="00727040">
        <w:rPr>
          <w:rFonts w:ascii="Arial" w:hAnsi="Arial" w:cs="Arial"/>
          <w:sz w:val="24"/>
          <w:szCs w:val="24"/>
          <w:lang w:val="es-ES_tradnl"/>
        </w:rPr>
        <w:t>, acordó</w:t>
      </w:r>
      <w:r w:rsidR="00F73111">
        <w:rPr>
          <w:rFonts w:ascii="Arial" w:hAnsi="Arial" w:cs="Arial"/>
          <w:sz w:val="24"/>
          <w:szCs w:val="24"/>
          <w:lang w:val="es-ES_tradnl"/>
        </w:rPr>
        <w:t xml:space="preserve"> “</w:t>
      </w:r>
      <w:r w:rsidR="00F73111" w:rsidRPr="00EE59A2">
        <w:rPr>
          <w:rFonts w:ascii="Arial" w:hAnsi="Arial" w:cs="Arial"/>
          <w:sz w:val="24"/>
          <w:szCs w:val="24"/>
          <w:lang w:val="es-ES_tradnl"/>
        </w:rPr>
        <w:t>Cometer a los Contadores Auditores y/o Delegados en la  Administración Nacional de Combustibles, Alcohol y Portland (ANCAP), Administración de los Servicios de Salud del Estado (ASSE), Banco de Previsión Social (BPS), Banco de Seguros del Estado (BSE), Instituto del Niño y Adolescente del Uruguay (INAU), Ministerio de Defensa Nacional- DNSFFAA, Ministerio del Interior (MI)-DNSP, Ministerio de Salud Públi</w:t>
      </w:r>
      <w:r w:rsidR="00EB644F">
        <w:rPr>
          <w:rFonts w:ascii="Arial" w:hAnsi="Arial" w:cs="Arial"/>
          <w:sz w:val="24"/>
          <w:szCs w:val="24"/>
          <w:lang w:val="es-ES_tradnl"/>
        </w:rPr>
        <w:t>ca-DLSP y Universidad de la Repú</w:t>
      </w:r>
      <w:r w:rsidR="00F73111" w:rsidRPr="00EE59A2">
        <w:rPr>
          <w:rFonts w:ascii="Arial" w:hAnsi="Arial" w:cs="Arial"/>
          <w:sz w:val="24"/>
          <w:szCs w:val="24"/>
          <w:lang w:val="es-ES_tradnl"/>
        </w:rPr>
        <w:t xml:space="preserve">blica- Hospital de Clínicas, de acuerdo a lo detallado en el Resultando 10) de esta resolución, la intervención del gasto por un total nominal de $ 25.962.942,51 impuestos incluidos y a valores históricos, a favor de las firmas y por los montos que lucen el Resultando 9) , previo control de su imputación en el Objeto del Gasto adecuado con disponibilidad suficiente, así como de lo dispuesto por el artículo </w:t>
      </w:r>
      <w:r w:rsidR="00F73111">
        <w:rPr>
          <w:rFonts w:ascii="Arial" w:hAnsi="Arial" w:cs="Arial"/>
          <w:sz w:val="24"/>
          <w:szCs w:val="24"/>
          <w:lang w:val="es-ES_tradnl"/>
        </w:rPr>
        <w:t>3 de la ley 18.244 de 27/12/07”</w:t>
      </w:r>
      <w:r w:rsidR="00B01EF5">
        <w:rPr>
          <w:rFonts w:ascii="Arial" w:hAnsi="Arial" w:cs="Arial"/>
          <w:bCs/>
          <w:sz w:val="24"/>
          <w:szCs w:val="24"/>
          <w:lang w:val="es-ES_tradnl"/>
        </w:rPr>
        <w:t>;</w:t>
      </w:r>
    </w:p>
    <w:p w:rsidR="00312084" w:rsidRPr="00312084" w:rsidRDefault="00B01EF5" w:rsidP="00FD7E14">
      <w:pPr>
        <w:spacing w:after="0" w:line="360" w:lineRule="auto"/>
        <w:ind w:left="-142" w:firstLine="850"/>
        <w:jc w:val="both"/>
        <w:rPr>
          <w:rFonts w:ascii="Arial" w:hAnsi="Arial" w:cs="Arial"/>
          <w:sz w:val="24"/>
          <w:szCs w:val="24"/>
          <w:lang w:val="es-ES_tradnl"/>
        </w:rPr>
      </w:pPr>
      <w:r>
        <w:rPr>
          <w:rFonts w:ascii="Arial" w:hAnsi="Arial" w:cs="Arial"/>
          <w:b/>
          <w:sz w:val="24"/>
          <w:szCs w:val="24"/>
          <w:lang w:val="es-ES_tradnl"/>
        </w:rPr>
        <w:t xml:space="preserve">                          2) </w:t>
      </w:r>
      <w:r w:rsidRPr="00B01EF5">
        <w:rPr>
          <w:rFonts w:ascii="Arial" w:hAnsi="Arial" w:cs="Arial"/>
          <w:sz w:val="24"/>
          <w:szCs w:val="24"/>
          <w:lang w:val="es-ES_tradnl"/>
        </w:rPr>
        <w:t xml:space="preserve">que </w:t>
      </w:r>
      <w:r w:rsidR="00312084">
        <w:rPr>
          <w:rFonts w:ascii="Arial" w:hAnsi="Arial" w:cs="Arial"/>
          <w:sz w:val="24"/>
          <w:szCs w:val="24"/>
          <w:lang w:val="es-ES_tradnl"/>
        </w:rPr>
        <w:t>en la oportunidad</w:t>
      </w:r>
      <w:r w:rsidR="00727040">
        <w:rPr>
          <w:rFonts w:ascii="Arial" w:hAnsi="Arial" w:cs="Arial"/>
          <w:sz w:val="24"/>
          <w:szCs w:val="24"/>
          <w:lang w:val="es-ES_tradnl"/>
        </w:rPr>
        <w:t>,</w:t>
      </w:r>
      <w:r w:rsidR="00312084">
        <w:rPr>
          <w:rFonts w:ascii="Arial" w:hAnsi="Arial" w:cs="Arial"/>
          <w:sz w:val="24"/>
          <w:szCs w:val="24"/>
          <w:lang w:val="es-ES_tradnl"/>
        </w:rPr>
        <w:t xml:space="preserve"> se remite n</w:t>
      </w:r>
      <w:r w:rsidR="00312084" w:rsidRPr="00312084">
        <w:rPr>
          <w:rFonts w:ascii="Arial" w:hAnsi="Arial" w:cs="Arial"/>
          <w:sz w:val="24"/>
          <w:szCs w:val="24"/>
          <w:lang w:val="es-ES_tradnl"/>
        </w:rPr>
        <w:t>ota de la Dirección Ejecutiva de la UC</w:t>
      </w:r>
      <w:r w:rsidR="00312084">
        <w:rPr>
          <w:rFonts w:ascii="Arial" w:hAnsi="Arial" w:cs="Arial"/>
          <w:sz w:val="24"/>
          <w:szCs w:val="24"/>
          <w:lang w:val="es-ES_tradnl"/>
        </w:rPr>
        <w:t>A</w:t>
      </w:r>
      <w:r w:rsidR="00312084" w:rsidRPr="00312084">
        <w:rPr>
          <w:rFonts w:ascii="Arial" w:hAnsi="Arial" w:cs="Arial"/>
          <w:sz w:val="24"/>
          <w:szCs w:val="24"/>
          <w:lang w:val="es-ES_tradnl"/>
        </w:rPr>
        <w:t xml:space="preserve"> de fecha 12.4.2019</w:t>
      </w:r>
      <w:r w:rsidR="00727040">
        <w:rPr>
          <w:rFonts w:ascii="Arial" w:hAnsi="Arial" w:cs="Arial"/>
          <w:sz w:val="24"/>
          <w:szCs w:val="24"/>
          <w:lang w:val="es-ES_tradnl"/>
        </w:rPr>
        <w:t>,</w:t>
      </w:r>
      <w:r w:rsidR="00312084" w:rsidRPr="00312084">
        <w:rPr>
          <w:rFonts w:ascii="Arial" w:hAnsi="Arial" w:cs="Arial"/>
          <w:sz w:val="24"/>
          <w:szCs w:val="24"/>
          <w:lang w:val="es-ES_tradnl"/>
        </w:rPr>
        <w:t xml:space="preserve"> informando que el ítem 14 “Agua Oxigenada, 10 Volúmenes” fue adjudicado a </w:t>
      </w:r>
      <w:proofErr w:type="spellStart"/>
      <w:r w:rsidR="00312084" w:rsidRPr="00312084">
        <w:rPr>
          <w:rFonts w:ascii="Arial" w:hAnsi="Arial" w:cs="Arial"/>
          <w:sz w:val="24"/>
          <w:szCs w:val="24"/>
          <w:lang w:val="es-ES_tradnl"/>
        </w:rPr>
        <w:t>Entox</w:t>
      </w:r>
      <w:proofErr w:type="spellEnd"/>
      <w:r w:rsidR="00312084" w:rsidRPr="00312084">
        <w:rPr>
          <w:rFonts w:ascii="Arial" w:hAnsi="Arial" w:cs="Arial"/>
          <w:sz w:val="24"/>
          <w:szCs w:val="24"/>
          <w:lang w:val="es-ES_tradnl"/>
        </w:rPr>
        <w:t xml:space="preserve"> SRL. </w:t>
      </w:r>
      <w:r w:rsidR="00FD7E14">
        <w:rPr>
          <w:rFonts w:ascii="Arial" w:hAnsi="Arial" w:cs="Arial"/>
          <w:sz w:val="24"/>
          <w:szCs w:val="24"/>
          <w:lang w:val="es-ES_tradnl"/>
        </w:rPr>
        <w:t>La DNSFFAA</w:t>
      </w:r>
      <w:r w:rsidR="00312084" w:rsidRPr="00312084">
        <w:rPr>
          <w:rFonts w:ascii="Arial" w:hAnsi="Arial" w:cs="Arial"/>
          <w:sz w:val="24"/>
          <w:szCs w:val="24"/>
          <w:lang w:val="es-ES_tradnl"/>
        </w:rPr>
        <w:t xml:space="preserve"> no cargó en su oportunidad, demanda para el referido ítem</w:t>
      </w:r>
      <w:r w:rsidR="00727040">
        <w:rPr>
          <w:rFonts w:ascii="Arial" w:hAnsi="Arial" w:cs="Arial"/>
          <w:sz w:val="24"/>
          <w:szCs w:val="24"/>
          <w:lang w:val="es-ES_tradnl"/>
        </w:rPr>
        <w:t xml:space="preserve"> y  solicita</w:t>
      </w:r>
      <w:r w:rsidR="00312084" w:rsidRPr="00312084">
        <w:rPr>
          <w:rFonts w:ascii="Arial" w:hAnsi="Arial" w:cs="Arial"/>
          <w:sz w:val="24"/>
          <w:szCs w:val="24"/>
          <w:lang w:val="es-ES_tradnl"/>
        </w:rPr>
        <w:t xml:space="preserve">, </w:t>
      </w:r>
      <w:r w:rsidR="00727040">
        <w:rPr>
          <w:rFonts w:ascii="Arial" w:hAnsi="Arial" w:cs="Arial"/>
          <w:sz w:val="24"/>
          <w:szCs w:val="24"/>
          <w:lang w:val="es-ES_tradnl"/>
        </w:rPr>
        <w:t xml:space="preserve">80 </w:t>
      </w:r>
      <w:r w:rsidR="00312084" w:rsidRPr="00312084">
        <w:rPr>
          <w:rFonts w:ascii="Arial" w:hAnsi="Arial" w:cs="Arial"/>
          <w:sz w:val="24"/>
          <w:szCs w:val="24"/>
          <w:lang w:val="es-ES_tradnl"/>
        </w:rPr>
        <w:t xml:space="preserve">unidades, lo que </w:t>
      </w:r>
      <w:r w:rsidR="00312084" w:rsidRPr="00312084">
        <w:rPr>
          <w:rFonts w:ascii="Arial" w:hAnsi="Arial" w:cs="Arial"/>
          <w:sz w:val="24"/>
          <w:szCs w:val="24"/>
          <w:lang w:val="es-ES_tradnl"/>
        </w:rPr>
        <w:lastRenderedPageBreak/>
        <w:t xml:space="preserve">representa un 1% del total </w:t>
      </w:r>
      <w:r w:rsidR="00312084">
        <w:rPr>
          <w:rFonts w:ascii="Arial" w:hAnsi="Arial" w:cs="Arial"/>
          <w:sz w:val="24"/>
          <w:szCs w:val="24"/>
          <w:lang w:val="es-ES_tradnl"/>
        </w:rPr>
        <w:t>demandado por Organismos, estableciendo que en virtud del monto</w:t>
      </w:r>
      <w:r w:rsidR="00312084" w:rsidRPr="00312084">
        <w:rPr>
          <w:rFonts w:ascii="Arial" w:hAnsi="Arial" w:cs="Arial"/>
          <w:sz w:val="24"/>
          <w:szCs w:val="24"/>
          <w:lang w:val="es-ES_tradnl"/>
        </w:rPr>
        <w:t>, no es necesaria la conform</w:t>
      </w:r>
      <w:r w:rsidR="00312084">
        <w:rPr>
          <w:rFonts w:ascii="Arial" w:hAnsi="Arial" w:cs="Arial"/>
          <w:sz w:val="24"/>
          <w:szCs w:val="24"/>
          <w:lang w:val="es-ES_tradnl"/>
        </w:rPr>
        <w:t>idad de la firma adjudicataria;</w:t>
      </w:r>
    </w:p>
    <w:p w:rsidR="00312084" w:rsidRPr="00B01EF5" w:rsidRDefault="00312084" w:rsidP="00FD7E14">
      <w:pPr>
        <w:spacing w:after="0" w:line="360" w:lineRule="auto"/>
        <w:jc w:val="both"/>
        <w:rPr>
          <w:rFonts w:ascii="Arial" w:hAnsi="Arial" w:cs="Arial"/>
          <w:bCs/>
          <w:sz w:val="24"/>
          <w:szCs w:val="24"/>
          <w:lang w:val="es-ES_tradnl"/>
        </w:rPr>
      </w:pPr>
      <w:r w:rsidRPr="00312084">
        <w:rPr>
          <w:rFonts w:ascii="Arial" w:hAnsi="Arial" w:cs="Arial"/>
          <w:b/>
          <w:sz w:val="24"/>
          <w:szCs w:val="24"/>
          <w:lang w:val="es-ES_tradnl"/>
        </w:rPr>
        <w:t xml:space="preserve">                                        3)</w:t>
      </w:r>
      <w:r>
        <w:rPr>
          <w:rFonts w:ascii="Arial" w:hAnsi="Arial" w:cs="Arial"/>
          <w:sz w:val="24"/>
          <w:szCs w:val="24"/>
          <w:lang w:val="es-ES_tradnl"/>
        </w:rPr>
        <w:t xml:space="preserve"> que se adjunta </w:t>
      </w:r>
      <w:r w:rsidRPr="00312084">
        <w:rPr>
          <w:rFonts w:ascii="Arial" w:hAnsi="Arial" w:cs="Arial"/>
          <w:sz w:val="24"/>
          <w:szCs w:val="24"/>
          <w:lang w:val="es-ES_tradnl"/>
        </w:rPr>
        <w:t>Resolución Nº 37/019</w:t>
      </w:r>
      <w:r w:rsidR="00727040">
        <w:rPr>
          <w:rFonts w:ascii="Arial" w:hAnsi="Arial" w:cs="Arial"/>
          <w:sz w:val="24"/>
          <w:szCs w:val="24"/>
          <w:lang w:val="es-ES_tradnl"/>
        </w:rPr>
        <w:t>,</w:t>
      </w:r>
      <w:r w:rsidRPr="00312084">
        <w:rPr>
          <w:rFonts w:ascii="Arial" w:hAnsi="Arial" w:cs="Arial"/>
          <w:sz w:val="24"/>
          <w:szCs w:val="24"/>
          <w:lang w:val="es-ES_tradnl"/>
        </w:rPr>
        <w:t xml:space="preserve"> adoptada por la UCA con fecha 24 de abril de 2019, ampliando la adjudicación del llamado según detalle que surge del Anexo adjunto, que forman parte de la presente, al amparo del </w:t>
      </w:r>
      <w:r w:rsidR="00727040">
        <w:rPr>
          <w:rFonts w:ascii="Arial" w:hAnsi="Arial" w:cs="Arial"/>
          <w:sz w:val="24"/>
          <w:szCs w:val="24"/>
          <w:lang w:val="es-ES_tradnl"/>
        </w:rPr>
        <w:t>a</w:t>
      </w:r>
      <w:r w:rsidRPr="00312084">
        <w:rPr>
          <w:rFonts w:ascii="Arial" w:hAnsi="Arial" w:cs="Arial"/>
          <w:sz w:val="24"/>
          <w:szCs w:val="24"/>
          <w:lang w:val="es-ES_tradnl"/>
        </w:rPr>
        <w:t xml:space="preserve">rtículo 74 del TOCAF, por un </w:t>
      </w:r>
      <w:r>
        <w:rPr>
          <w:rFonts w:ascii="Arial" w:hAnsi="Arial" w:cs="Arial"/>
          <w:sz w:val="24"/>
          <w:szCs w:val="24"/>
          <w:lang w:val="es-ES_tradnl"/>
        </w:rPr>
        <w:t>monto total de $ 2.733</w:t>
      </w:r>
      <w:r w:rsidR="004C76BF">
        <w:rPr>
          <w:rFonts w:ascii="Arial" w:hAnsi="Arial" w:cs="Arial"/>
          <w:sz w:val="24"/>
          <w:szCs w:val="24"/>
          <w:lang w:val="es-ES_tradnl"/>
        </w:rPr>
        <w:t>.-</w:t>
      </w:r>
      <w:bookmarkStart w:id="0" w:name="_GoBack"/>
      <w:bookmarkEnd w:id="0"/>
      <w:r>
        <w:rPr>
          <w:rFonts w:ascii="Arial" w:hAnsi="Arial" w:cs="Arial"/>
          <w:sz w:val="24"/>
          <w:szCs w:val="24"/>
          <w:lang w:val="es-ES_tradnl"/>
        </w:rPr>
        <w:t>;</w:t>
      </w:r>
    </w:p>
    <w:p w:rsidR="00A01718" w:rsidRDefault="004F70B0" w:rsidP="00B01EF5">
      <w:pPr>
        <w:spacing w:after="0" w:line="360" w:lineRule="auto"/>
        <w:ind w:firstLine="708"/>
        <w:jc w:val="both"/>
        <w:rPr>
          <w:rFonts w:ascii="Arial" w:hAnsi="Arial" w:cs="Arial"/>
          <w:sz w:val="24"/>
          <w:szCs w:val="24"/>
          <w:lang w:val="es-ES_tradnl"/>
        </w:rPr>
      </w:pPr>
      <w:r w:rsidRPr="004F70B0">
        <w:rPr>
          <w:rFonts w:ascii="Arial" w:hAnsi="Arial" w:cs="Arial"/>
          <w:b/>
          <w:sz w:val="24"/>
          <w:szCs w:val="24"/>
          <w:lang w:val="es-ES_tradnl"/>
        </w:rPr>
        <w:t>CONSIDERANDO:</w:t>
      </w:r>
      <w:r>
        <w:rPr>
          <w:rFonts w:ascii="Arial" w:hAnsi="Arial" w:cs="Arial"/>
          <w:sz w:val="24"/>
          <w:szCs w:val="24"/>
          <w:lang w:val="es-ES_tradnl"/>
        </w:rPr>
        <w:t xml:space="preserve"> que la ampliación remitida encuadra en lo dispuesto </w:t>
      </w:r>
      <w:r w:rsidR="00AE2B98">
        <w:rPr>
          <w:rFonts w:ascii="Arial" w:hAnsi="Arial" w:cs="Arial"/>
          <w:sz w:val="24"/>
          <w:szCs w:val="24"/>
          <w:lang w:val="es-ES_tradnl"/>
        </w:rPr>
        <w:t>por</w:t>
      </w:r>
      <w:r>
        <w:rPr>
          <w:rFonts w:ascii="Arial" w:hAnsi="Arial" w:cs="Arial"/>
          <w:sz w:val="24"/>
          <w:szCs w:val="24"/>
          <w:lang w:val="es-ES_tradnl"/>
        </w:rPr>
        <w:t xml:space="preserve"> el </w:t>
      </w:r>
      <w:r w:rsidR="00727040">
        <w:rPr>
          <w:rFonts w:ascii="Arial" w:hAnsi="Arial" w:cs="Arial"/>
          <w:sz w:val="24"/>
          <w:szCs w:val="24"/>
          <w:lang w:val="es-ES_tradnl"/>
        </w:rPr>
        <w:t>a</w:t>
      </w:r>
      <w:r w:rsidR="00AE2B98">
        <w:rPr>
          <w:rFonts w:ascii="Arial" w:hAnsi="Arial" w:cs="Arial"/>
          <w:sz w:val="24"/>
          <w:szCs w:val="24"/>
          <w:lang w:val="es-ES_tradnl"/>
        </w:rPr>
        <w:t>rtículo</w:t>
      </w:r>
      <w:r>
        <w:rPr>
          <w:rFonts w:ascii="Arial" w:hAnsi="Arial" w:cs="Arial"/>
          <w:sz w:val="24"/>
          <w:szCs w:val="24"/>
          <w:lang w:val="es-ES_tradnl"/>
        </w:rPr>
        <w:t xml:space="preserve"> </w:t>
      </w:r>
      <w:r w:rsidR="00B01EF5">
        <w:rPr>
          <w:rFonts w:ascii="Arial" w:hAnsi="Arial" w:cs="Arial"/>
          <w:sz w:val="24"/>
          <w:szCs w:val="24"/>
          <w:lang w:val="es-ES_tradnl"/>
        </w:rPr>
        <w:t>74 del TOCAF;</w:t>
      </w:r>
    </w:p>
    <w:p w:rsidR="004F70B0" w:rsidRPr="004F70B0" w:rsidRDefault="004F70B0" w:rsidP="000B39F8">
      <w:pPr>
        <w:spacing w:after="0" w:line="360" w:lineRule="auto"/>
        <w:ind w:firstLine="708"/>
        <w:jc w:val="both"/>
        <w:rPr>
          <w:rFonts w:ascii="Arial" w:eastAsia="Times New Roman" w:hAnsi="Arial" w:cs="Times New Roman"/>
          <w:bCs/>
          <w:color w:val="000000"/>
          <w:sz w:val="24"/>
          <w:szCs w:val="20"/>
          <w:lang w:val="es-ES_tradnl" w:eastAsia="es-ES"/>
        </w:rPr>
      </w:pPr>
      <w:r w:rsidRPr="004F70B0">
        <w:rPr>
          <w:rFonts w:ascii="Arial" w:eastAsia="Times New Roman" w:hAnsi="Arial" w:cs="Times New Roman"/>
          <w:b/>
          <w:color w:val="000000"/>
          <w:sz w:val="24"/>
          <w:szCs w:val="20"/>
          <w:lang w:val="es-ES_tradnl" w:eastAsia="es-ES"/>
        </w:rPr>
        <w:t>ATENTO:</w:t>
      </w:r>
      <w:r w:rsidRPr="004F70B0">
        <w:rPr>
          <w:rFonts w:ascii="Arial" w:eastAsia="Times New Roman" w:hAnsi="Arial" w:cs="Times New Roman"/>
          <w:bCs/>
          <w:color w:val="000000"/>
          <w:sz w:val="24"/>
          <w:szCs w:val="20"/>
          <w:lang w:val="es-ES_tradnl" w:eastAsia="es-ES"/>
        </w:rPr>
        <w:t xml:space="preserve"> a lo precedentemente expues</w:t>
      </w:r>
      <w:r>
        <w:rPr>
          <w:rFonts w:ascii="Arial" w:eastAsia="Times New Roman" w:hAnsi="Arial" w:cs="Times New Roman"/>
          <w:bCs/>
          <w:color w:val="000000"/>
          <w:sz w:val="24"/>
          <w:szCs w:val="20"/>
          <w:lang w:val="es-ES_tradnl" w:eastAsia="es-ES"/>
        </w:rPr>
        <w:t xml:space="preserve">to y a lo establecido en el </w:t>
      </w:r>
      <w:r w:rsidR="00727040">
        <w:rPr>
          <w:rFonts w:ascii="Arial" w:eastAsia="Times New Roman" w:hAnsi="Arial" w:cs="Times New Roman"/>
          <w:bCs/>
          <w:color w:val="000000"/>
          <w:sz w:val="24"/>
          <w:szCs w:val="20"/>
          <w:lang w:val="es-ES_tradnl" w:eastAsia="es-ES"/>
        </w:rPr>
        <w:t>a</w:t>
      </w:r>
      <w:r>
        <w:rPr>
          <w:rFonts w:ascii="Arial" w:eastAsia="Times New Roman" w:hAnsi="Arial" w:cs="Times New Roman"/>
          <w:bCs/>
          <w:color w:val="000000"/>
          <w:sz w:val="24"/>
          <w:szCs w:val="20"/>
          <w:lang w:val="es-ES_tradnl" w:eastAsia="es-ES"/>
        </w:rPr>
        <w:t>rtí</w:t>
      </w:r>
      <w:r w:rsidRPr="004F70B0">
        <w:rPr>
          <w:rFonts w:ascii="Arial" w:eastAsia="Times New Roman" w:hAnsi="Arial" w:cs="Times New Roman"/>
          <w:bCs/>
          <w:color w:val="000000"/>
          <w:sz w:val="24"/>
          <w:szCs w:val="20"/>
          <w:lang w:val="es-ES_tradnl" w:eastAsia="es-ES"/>
        </w:rPr>
        <w:t>culo 211 literal B) de la Constitución de la República;</w:t>
      </w:r>
    </w:p>
    <w:p w:rsidR="004F70B0" w:rsidRDefault="004F70B0" w:rsidP="004F70B0">
      <w:pPr>
        <w:spacing w:after="0" w:line="360" w:lineRule="auto"/>
        <w:jc w:val="center"/>
        <w:rPr>
          <w:rFonts w:ascii="Arial" w:hAnsi="Arial" w:cs="Arial"/>
          <w:b/>
          <w:sz w:val="24"/>
          <w:szCs w:val="24"/>
          <w:lang w:val="es-ES_tradnl"/>
        </w:rPr>
      </w:pPr>
      <w:r w:rsidRPr="004F70B0">
        <w:rPr>
          <w:rFonts w:ascii="Arial" w:hAnsi="Arial" w:cs="Arial"/>
          <w:b/>
          <w:sz w:val="24"/>
          <w:szCs w:val="24"/>
          <w:lang w:val="es-ES_tradnl"/>
        </w:rPr>
        <w:t>EL   TRIBUNAL   ACUERDA</w:t>
      </w:r>
    </w:p>
    <w:p w:rsidR="00FD7E14" w:rsidRDefault="00FD7E14" w:rsidP="00FD7E14">
      <w:pPr>
        <w:spacing w:after="0" w:line="360" w:lineRule="auto"/>
        <w:ind w:left="284" w:hanging="284"/>
        <w:jc w:val="both"/>
        <w:rPr>
          <w:rFonts w:ascii="Arial" w:eastAsia="Times New Roman" w:hAnsi="Arial" w:cs="Arial"/>
          <w:bCs/>
          <w:color w:val="000000"/>
          <w:sz w:val="24"/>
          <w:szCs w:val="20"/>
          <w:lang w:eastAsia="es-ES"/>
        </w:rPr>
      </w:pPr>
      <w:r w:rsidRPr="00FD7E14">
        <w:rPr>
          <w:rFonts w:ascii="Arial" w:hAnsi="Arial" w:cs="Arial"/>
          <w:b/>
          <w:sz w:val="24"/>
          <w:szCs w:val="24"/>
          <w:lang w:val="es-ES_tradnl"/>
        </w:rPr>
        <w:t>1)</w:t>
      </w:r>
      <w:r>
        <w:rPr>
          <w:rFonts w:ascii="Arial" w:hAnsi="Arial" w:cs="Arial"/>
          <w:sz w:val="24"/>
          <w:szCs w:val="24"/>
          <w:lang w:val="es-ES_tradnl"/>
        </w:rPr>
        <w:t xml:space="preserve"> </w:t>
      </w:r>
      <w:r w:rsidR="00312084">
        <w:rPr>
          <w:rFonts w:ascii="Arial" w:hAnsi="Arial" w:cs="Arial"/>
          <w:sz w:val="24"/>
          <w:szCs w:val="24"/>
          <w:lang w:val="es-ES_tradnl"/>
        </w:rPr>
        <w:t>C</w:t>
      </w:r>
      <w:proofErr w:type="spellStart"/>
      <w:r w:rsidR="003C5408" w:rsidRPr="004F70B0">
        <w:rPr>
          <w:rFonts w:ascii="Arial" w:eastAsia="Times New Roman" w:hAnsi="Arial" w:cs="Arial"/>
          <w:color w:val="000000"/>
          <w:sz w:val="24"/>
          <w:szCs w:val="20"/>
          <w:lang w:val="es-UY" w:eastAsia="es-ES"/>
        </w:rPr>
        <w:t>om</w:t>
      </w:r>
      <w:r w:rsidR="005A1961">
        <w:rPr>
          <w:rFonts w:ascii="Arial" w:eastAsia="Times New Roman" w:hAnsi="Arial" w:cs="Arial"/>
          <w:color w:val="000000"/>
          <w:sz w:val="24"/>
          <w:szCs w:val="20"/>
          <w:lang w:val="es-UY" w:eastAsia="es-ES"/>
        </w:rPr>
        <w:t>étese</w:t>
      </w:r>
      <w:proofErr w:type="spellEnd"/>
      <w:r w:rsidR="001D7A91">
        <w:rPr>
          <w:rFonts w:ascii="Arial" w:eastAsia="Times New Roman" w:hAnsi="Arial" w:cs="Arial"/>
          <w:color w:val="000000"/>
          <w:sz w:val="24"/>
          <w:szCs w:val="20"/>
          <w:lang w:val="es-UY" w:eastAsia="es-ES"/>
        </w:rPr>
        <w:t xml:space="preserve"> </w:t>
      </w:r>
      <w:r w:rsidR="00132E1A" w:rsidRPr="00132E1A">
        <w:rPr>
          <w:rFonts w:ascii="Arial" w:eastAsia="Times New Roman" w:hAnsi="Arial" w:cs="Arial"/>
          <w:color w:val="000000"/>
          <w:sz w:val="24"/>
          <w:szCs w:val="20"/>
          <w:lang w:eastAsia="es-ES"/>
        </w:rPr>
        <w:t>a</w:t>
      </w:r>
      <w:r w:rsidR="00C2628E">
        <w:rPr>
          <w:rFonts w:ascii="Arial" w:eastAsia="Times New Roman" w:hAnsi="Arial" w:cs="Arial"/>
          <w:color w:val="000000"/>
          <w:sz w:val="24"/>
          <w:szCs w:val="20"/>
          <w:lang w:eastAsia="es-ES"/>
        </w:rPr>
        <w:t xml:space="preserve">l Contador Auditor destacado en el Ministerio de Defensa Nacional </w:t>
      </w:r>
      <w:r w:rsidR="00312084">
        <w:rPr>
          <w:rFonts w:ascii="Arial" w:eastAsia="Times New Roman" w:hAnsi="Arial" w:cs="Arial"/>
          <w:color w:val="000000"/>
          <w:sz w:val="24"/>
          <w:szCs w:val="20"/>
          <w:lang w:eastAsia="es-ES"/>
        </w:rPr>
        <w:t>–</w:t>
      </w:r>
      <w:r w:rsidR="00C2628E">
        <w:rPr>
          <w:rFonts w:ascii="Arial" w:eastAsia="Times New Roman" w:hAnsi="Arial" w:cs="Arial"/>
          <w:color w:val="000000"/>
          <w:sz w:val="24"/>
          <w:szCs w:val="20"/>
          <w:lang w:eastAsia="es-ES"/>
        </w:rPr>
        <w:t xml:space="preserve"> </w:t>
      </w:r>
      <w:r w:rsidR="00312084">
        <w:rPr>
          <w:rFonts w:ascii="Arial" w:eastAsia="Times New Roman" w:hAnsi="Arial" w:cs="Arial"/>
          <w:color w:val="000000"/>
          <w:sz w:val="24"/>
          <w:szCs w:val="20"/>
          <w:lang w:eastAsia="es-ES"/>
        </w:rPr>
        <w:t>C.G.E</w:t>
      </w:r>
      <w:r w:rsidR="00132E1A" w:rsidRPr="00132E1A">
        <w:rPr>
          <w:rFonts w:ascii="Arial" w:eastAsia="Times New Roman" w:hAnsi="Arial" w:cs="Arial"/>
          <w:color w:val="000000"/>
          <w:sz w:val="24"/>
          <w:szCs w:val="20"/>
          <w:lang w:eastAsia="es-ES"/>
        </w:rPr>
        <w:t xml:space="preserve"> </w:t>
      </w:r>
      <w:r w:rsidR="00C2628E">
        <w:rPr>
          <w:rFonts w:ascii="Arial" w:eastAsia="Times New Roman" w:hAnsi="Arial" w:cs="Arial"/>
          <w:color w:val="000000"/>
          <w:sz w:val="24"/>
          <w:szCs w:val="20"/>
          <w:lang w:eastAsia="es-ES"/>
        </w:rPr>
        <w:t xml:space="preserve">la intervención del gasto total de $ </w:t>
      </w:r>
      <w:r w:rsidR="004C76BF">
        <w:rPr>
          <w:rFonts w:ascii="Arial" w:eastAsia="Times New Roman" w:hAnsi="Arial" w:cs="Arial"/>
          <w:color w:val="000000"/>
          <w:sz w:val="24"/>
          <w:szCs w:val="20"/>
          <w:lang w:eastAsia="es-ES"/>
        </w:rPr>
        <w:t>2.733.-</w:t>
      </w:r>
      <w:r w:rsidR="00C2628E">
        <w:rPr>
          <w:rFonts w:ascii="Arial" w:eastAsia="Times New Roman" w:hAnsi="Arial" w:cs="Arial"/>
          <w:color w:val="000000"/>
          <w:sz w:val="24"/>
          <w:szCs w:val="20"/>
          <w:lang w:eastAsia="es-ES"/>
        </w:rPr>
        <w:t xml:space="preserve">  a favor de </w:t>
      </w:r>
      <w:proofErr w:type="spellStart"/>
      <w:r w:rsidR="00312084" w:rsidRPr="00312084">
        <w:rPr>
          <w:rFonts w:ascii="Arial" w:hAnsi="Arial" w:cs="Arial"/>
          <w:sz w:val="24"/>
          <w:szCs w:val="24"/>
          <w:lang w:val="es-ES_tradnl"/>
        </w:rPr>
        <w:t>Entox</w:t>
      </w:r>
      <w:proofErr w:type="spellEnd"/>
      <w:r w:rsidR="00312084" w:rsidRPr="00312084">
        <w:rPr>
          <w:rFonts w:ascii="Arial" w:hAnsi="Arial" w:cs="Arial"/>
          <w:sz w:val="24"/>
          <w:szCs w:val="24"/>
          <w:lang w:val="es-ES_tradnl"/>
        </w:rPr>
        <w:t xml:space="preserve"> SRL</w:t>
      </w:r>
      <w:r w:rsidR="00C2628E">
        <w:rPr>
          <w:rFonts w:ascii="Arial" w:eastAsia="Times New Roman" w:hAnsi="Arial" w:cs="Arial"/>
          <w:color w:val="000000"/>
          <w:sz w:val="24"/>
          <w:szCs w:val="20"/>
          <w:lang w:eastAsia="es-ES"/>
        </w:rPr>
        <w:t xml:space="preserve">, </w:t>
      </w:r>
      <w:r w:rsidR="00132E1A">
        <w:rPr>
          <w:rFonts w:ascii="Arial" w:eastAsia="Times New Roman" w:hAnsi="Arial" w:cs="Arial"/>
          <w:color w:val="000000"/>
          <w:sz w:val="24"/>
          <w:szCs w:val="20"/>
          <w:lang w:eastAsia="es-ES"/>
        </w:rPr>
        <w:t xml:space="preserve">derivados de la ampliación </w:t>
      </w:r>
      <w:r w:rsidR="00727040">
        <w:rPr>
          <w:rFonts w:ascii="Arial" w:eastAsia="Times New Roman" w:hAnsi="Arial" w:cs="Arial"/>
          <w:color w:val="000000"/>
          <w:sz w:val="24"/>
          <w:szCs w:val="20"/>
          <w:lang w:eastAsia="es-ES"/>
        </w:rPr>
        <w:t xml:space="preserve">de un </w:t>
      </w:r>
      <w:r w:rsidR="00312084">
        <w:rPr>
          <w:rFonts w:ascii="Arial" w:eastAsia="Times New Roman" w:hAnsi="Arial" w:cs="Arial"/>
          <w:color w:val="000000"/>
          <w:sz w:val="24"/>
          <w:szCs w:val="20"/>
          <w:lang w:eastAsia="es-ES"/>
        </w:rPr>
        <w:t xml:space="preserve">1% </w:t>
      </w:r>
      <w:r w:rsidR="00132E1A">
        <w:rPr>
          <w:rFonts w:ascii="Arial" w:eastAsia="Times New Roman" w:hAnsi="Arial" w:cs="Arial"/>
          <w:color w:val="000000"/>
          <w:sz w:val="24"/>
          <w:szCs w:val="20"/>
          <w:lang w:eastAsia="es-ES"/>
        </w:rPr>
        <w:t xml:space="preserve">del ítem </w:t>
      </w:r>
      <w:r w:rsidR="00312084">
        <w:rPr>
          <w:rFonts w:ascii="Arial" w:eastAsia="Times New Roman" w:hAnsi="Arial" w:cs="Arial"/>
          <w:color w:val="000000"/>
          <w:sz w:val="24"/>
          <w:szCs w:val="20"/>
          <w:lang w:eastAsia="es-ES"/>
        </w:rPr>
        <w:t>14</w:t>
      </w:r>
      <w:r w:rsidR="00132E1A">
        <w:rPr>
          <w:rFonts w:ascii="Arial" w:eastAsia="Times New Roman" w:hAnsi="Arial" w:cs="Arial"/>
          <w:color w:val="000000"/>
          <w:sz w:val="24"/>
          <w:szCs w:val="20"/>
          <w:lang w:eastAsia="es-ES"/>
        </w:rPr>
        <w:t xml:space="preserve">, </w:t>
      </w:r>
      <w:r w:rsidR="00132E1A" w:rsidRPr="00132E1A">
        <w:rPr>
          <w:rFonts w:ascii="Arial" w:eastAsia="Times New Roman" w:hAnsi="Arial" w:cs="Arial"/>
          <w:color w:val="000000"/>
          <w:sz w:val="24"/>
          <w:szCs w:val="20"/>
          <w:lang w:eastAsia="es-ES"/>
        </w:rPr>
        <w:t xml:space="preserve">previo control de su imputación en el </w:t>
      </w:r>
      <w:r w:rsidR="00727040">
        <w:rPr>
          <w:rFonts w:ascii="Arial" w:eastAsia="Times New Roman" w:hAnsi="Arial" w:cs="Arial"/>
          <w:color w:val="000000"/>
          <w:sz w:val="24"/>
          <w:szCs w:val="20"/>
          <w:lang w:eastAsia="es-ES"/>
        </w:rPr>
        <w:t>Rubro</w:t>
      </w:r>
      <w:r w:rsidR="00132E1A" w:rsidRPr="00132E1A">
        <w:rPr>
          <w:rFonts w:ascii="Arial" w:eastAsia="Times New Roman" w:hAnsi="Arial" w:cs="Arial"/>
          <w:color w:val="000000"/>
          <w:sz w:val="24"/>
          <w:szCs w:val="20"/>
          <w:lang w:eastAsia="es-ES"/>
        </w:rPr>
        <w:t xml:space="preserve"> adecuado, con disponibilidad suficiente</w:t>
      </w:r>
      <w:r w:rsidR="00727040">
        <w:rPr>
          <w:rFonts w:ascii="Arial" w:eastAsia="Times New Roman" w:hAnsi="Arial" w:cs="Arial"/>
          <w:color w:val="000000"/>
          <w:sz w:val="24"/>
          <w:szCs w:val="20"/>
          <w:lang w:eastAsia="es-ES"/>
        </w:rPr>
        <w:t>;</w:t>
      </w:r>
    </w:p>
    <w:p w:rsidR="00B01EF5" w:rsidRDefault="00FD7E14" w:rsidP="00FD7E14">
      <w:pPr>
        <w:spacing w:after="0" w:line="360" w:lineRule="auto"/>
        <w:ind w:left="284" w:hanging="284"/>
        <w:jc w:val="both"/>
        <w:rPr>
          <w:rFonts w:ascii="Arial" w:eastAsia="Times New Roman" w:hAnsi="Arial" w:cs="Arial"/>
          <w:bCs/>
          <w:color w:val="000000"/>
          <w:sz w:val="24"/>
          <w:szCs w:val="20"/>
          <w:lang w:eastAsia="es-ES"/>
        </w:rPr>
      </w:pPr>
      <w:r>
        <w:rPr>
          <w:rFonts w:ascii="Arial" w:hAnsi="Arial" w:cs="Arial"/>
          <w:b/>
          <w:sz w:val="24"/>
          <w:szCs w:val="24"/>
        </w:rPr>
        <w:t xml:space="preserve">2) </w:t>
      </w:r>
      <w:r w:rsidR="001D7A91" w:rsidRPr="00B01EF5">
        <w:rPr>
          <w:rFonts w:ascii="Arial" w:eastAsia="Times New Roman" w:hAnsi="Arial" w:cs="Arial"/>
          <w:bCs/>
          <w:color w:val="000000"/>
          <w:sz w:val="24"/>
          <w:szCs w:val="20"/>
          <w:lang w:eastAsia="es-ES"/>
        </w:rPr>
        <w:t>Comuníquese a</w:t>
      </w:r>
      <w:r w:rsidR="00EB644F">
        <w:rPr>
          <w:rFonts w:ascii="Arial" w:eastAsia="Times New Roman" w:hAnsi="Arial" w:cs="Arial"/>
          <w:bCs/>
          <w:color w:val="000000"/>
          <w:sz w:val="24"/>
          <w:szCs w:val="20"/>
          <w:lang w:eastAsia="es-ES"/>
        </w:rPr>
        <w:t>l</w:t>
      </w:r>
      <w:r w:rsidR="001D7A91" w:rsidRPr="00B01EF5">
        <w:rPr>
          <w:rFonts w:ascii="Arial" w:eastAsia="Times New Roman" w:hAnsi="Arial" w:cs="Arial"/>
          <w:bCs/>
          <w:color w:val="000000"/>
          <w:sz w:val="24"/>
          <w:szCs w:val="20"/>
          <w:lang w:eastAsia="es-ES"/>
        </w:rPr>
        <w:t xml:space="preserve"> Contador</w:t>
      </w:r>
      <w:r w:rsidR="00EB644F">
        <w:rPr>
          <w:rFonts w:ascii="Arial" w:eastAsia="Times New Roman" w:hAnsi="Arial" w:cs="Arial"/>
          <w:bCs/>
          <w:color w:val="000000"/>
          <w:sz w:val="24"/>
          <w:szCs w:val="20"/>
          <w:lang w:eastAsia="es-ES"/>
        </w:rPr>
        <w:t xml:space="preserve"> Auditor en el Ministerio de Defensa Nacional</w:t>
      </w:r>
      <w:r w:rsidR="004F70B0" w:rsidRPr="00B01EF5">
        <w:rPr>
          <w:rFonts w:ascii="Arial" w:eastAsia="Times New Roman" w:hAnsi="Arial" w:cs="Arial"/>
          <w:bCs/>
          <w:color w:val="000000"/>
          <w:sz w:val="24"/>
          <w:szCs w:val="20"/>
          <w:lang w:eastAsia="es-ES"/>
        </w:rPr>
        <w:t xml:space="preserve">; </w:t>
      </w:r>
      <w:r>
        <w:rPr>
          <w:rFonts w:ascii="Arial" w:eastAsia="Times New Roman" w:hAnsi="Arial" w:cs="Arial"/>
          <w:bCs/>
          <w:color w:val="000000"/>
          <w:sz w:val="24"/>
          <w:szCs w:val="20"/>
          <w:lang w:eastAsia="es-ES"/>
        </w:rPr>
        <w:t>y</w:t>
      </w:r>
    </w:p>
    <w:p w:rsidR="00A01718" w:rsidRPr="00B01EF5" w:rsidRDefault="00FD7E14" w:rsidP="00FD7E14">
      <w:pPr>
        <w:spacing w:after="0" w:line="360" w:lineRule="auto"/>
        <w:jc w:val="both"/>
        <w:rPr>
          <w:rFonts w:ascii="Arial" w:eastAsia="Times New Roman" w:hAnsi="Arial" w:cs="Arial"/>
          <w:bCs/>
          <w:color w:val="000000"/>
          <w:sz w:val="24"/>
          <w:szCs w:val="20"/>
          <w:lang w:eastAsia="es-ES"/>
        </w:rPr>
      </w:pPr>
      <w:r w:rsidRPr="00FD7E14">
        <w:rPr>
          <w:rFonts w:ascii="Arial" w:eastAsia="Times New Roman" w:hAnsi="Arial" w:cs="Arial"/>
          <w:b/>
          <w:bCs/>
          <w:color w:val="000000"/>
          <w:sz w:val="24"/>
          <w:szCs w:val="20"/>
          <w:lang w:eastAsia="es-ES"/>
        </w:rPr>
        <w:t>3)</w:t>
      </w:r>
      <w:r>
        <w:rPr>
          <w:rFonts w:ascii="Arial" w:eastAsia="Times New Roman" w:hAnsi="Arial" w:cs="Arial"/>
          <w:bCs/>
          <w:color w:val="000000"/>
          <w:sz w:val="24"/>
          <w:szCs w:val="20"/>
          <w:lang w:eastAsia="es-ES"/>
        </w:rPr>
        <w:t xml:space="preserve"> </w:t>
      </w:r>
      <w:r w:rsidR="004F70B0" w:rsidRPr="00B01EF5">
        <w:rPr>
          <w:rFonts w:ascii="Arial" w:eastAsia="Times New Roman" w:hAnsi="Arial" w:cs="Arial"/>
          <w:bCs/>
          <w:color w:val="000000"/>
          <w:sz w:val="24"/>
          <w:szCs w:val="20"/>
          <w:lang w:eastAsia="es-ES"/>
        </w:rPr>
        <w:t>Dev</w:t>
      </w:r>
      <w:r w:rsidR="001D7A91" w:rsidRPr="00B01EF5">
        <w:rPr>
          <w:rFonts w:ascii="Arial" w:eastAsia="Times New Roman" w:hAnsi="Arial" w:cs="Arial"/>
          <w:bCs/>
          <w:color w:val="000000"/>
          <w:sz w:val="24"/>
          <w:szCs w:val="20"/>
          <w:lang w:eastAsia="es-ES"/>
        </w:rPr>
        <w:t xml:space="preserve">uélvase </w:t>
      </w:r>
      <w:r w:rsidR="00AE2B98" w:rsidRPr="00B01EF5">
        <w:rPr>
          <w:rFonts w:ascii="Arial" w:eastAsia="Times New Roman" w:hAnsi="Arial" w:cs="Arial"/>
          <w:bCs/>
          <w:color w:val="000000"/>
          <w:sz w:val="24"/>
          <w:szCs w:val="24"/>
          <w:lang w:eastAsia="es-ES"/>
        </w:rPr>
        <w:t xml:space="preserve">al </w:t>
      </w:r>
      <w:r w:rsidR="00AE2B98" w:rsidRPr="00B01EF5">
        <w:rPr>
          <w:rFonts w:ascii="Arial" w:hAnsi="Arial" w:cs="Arial"/>
          <w:bCs/>
          <w:sz w:val="24"/>
          <w:szCs w:val="24"/>
          <w:lang w:val="es-ES_tradnl"/>
        </w:rPr>
        <w:t>Ministerio de Economía y Finanzas</w:t>
      </w:r>
      <w:r w:rsidR="004F70B0" w:rsidRPr="00B01EF5">
        <w:rPr>
          <w:rFonts w:ascii="Arial" w:eastAsia="Times New Roman" w:hAnsi="Arial" w:cs="Arial"/>
          <w:bCs/>
          <w:color w:val="000000"/>
          <w:sz w:val="24"/>
          <w:szCs w:val="24"/>
          <w:lang w:eastAsia="es-ES"/>
        </w:rPr>
        <w:t>.-</w:t>
      </w:r>
    </w:p>
    <w:p w:rsidR="007E33B2" w:rsidRDefault="007E33B2"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Default="00FD7E14" w:rsidP="00A01718">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p w:rsidR="001D7A91" w:rsidRDefault="001D7A91"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Default="001D7A91" w:rsidP="00A01718">
      <w:pPr>
        <w:spacing w:after="0" w:line="360" w:lineRule="auto"/>
        <w:jc w:val="both"/>
        <w:rPr>
          <w:rFonts w:ascii="Arial" w:hAnsi="Arial" w:cs="Arial"/>
          <w:sz w:val="24"/>
          <w:szCs w:val="24"/>
        </w:rPr>
      </w:pPr>
    </w:p>
    <w:p w:rsidR="001D7A91" w:rsidRPr="001D7A91" w:rsidRDefault="001D7A91" w:rsidP="00A01718">
      <w:pPr>
        <w:spacing w:after="0" w:line="360" w:lineRule="auto"/>
        <w:jc w:val="both"/>
        <w:rPr>
          <w:rFonts w:ascii="Arial" w:hAnsi="Arial" w:cs="Arial"/>
          <w:sz w:val="24"/>
          <w:szCs w:val="24"/>
        </w:rPr>
      </w:pPr>
    </w:p>
    <w:sectPr w:rsidR="001D7A91" w:rsidRPr="001D7A91" w:rsidSect="004C76BF">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GothicPS">
    <w:panose1 w:val="00000000000000000000"/>
    <w:charset w:val="00"/>
    <w:family w:val="moder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4576"/>
    <w:multiLevelType w:val="hybridMultilevel"/>
    <w:tmpl w:val="A71ECF92"/>
    <w:lvl w:ilvl="0" w:tplc="A59A90AE">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643191F"/>
    <w:multiLevelType w:val="hybridMultilevel"/>
    <w:tmpl w:val="5E16FAC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4542AE"/>
    <w:multiLevelType w:val="hybridMultilevel"/>
    <w:tmpl w:val="C5026624"/>
    <w:lvl w:ilvl="0" w:tplc="380A000B">
      <w:start w:val="1"/>
      <w:numFmt w:val="bullet"/>
      <w:lvlText w:val=""/>
      <w:lvlJc w:val="left"/>
      <w:pPr>
        <w:ind w:left="720" w:hanging="360"/>
      </w:pPr>
      <w:rPr>
        <w:rFonts w:ascii="Wingdings" w:hAnsi="Wingdings"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7D586DFF"/>
    <w:multiLevelType w:val="hybridMultilevel"/>
    <w:tmpl w:val="46FCB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A0"/>
    <w:rsid w:val="00003E6F"/>
    <w:rsid w:val="000075AF"/>
    <w:rsid w:val="00045B81"/>
    <w:rsid w:val="0005585B"/>
    <w:rsid w:val="00056923"/>
    <w:rsid w:val="00060343"/>
    <w:rsid w:val="000A0831"/>
    <w:rsid w:val="000A64D5"/>
    <w:rsid w:val="000B39F8"/>
    <w:rsid w:val="000C0A4B"/>
    <w:rsid w:val="000C668D"/>
    <w:rsid w:val="00132E1A"/>
    <w:rsid w:val="001945C3"/>
    <w:rsid w:val="001A07E6"/>
    <w:rsid w:val="001C1335"/>
    <w:rsid w:val="001D635F"/>
    <w:rsid w:val="001D7A91"/>
    <w:rsid w:val="001F2474"/>
    <w:rsid w:val="00213CA4"/>
    <w:rsid w:val="002249E5"/>
    <w:rsid w:val="002424E7"/>
    <w:rsid w:val="00293563"/>
    <w:rsid w:val="002A33DE"/>
    <w:rsid w:val="002E2F27"/>
    <w:rsid w:val="00306163"/>
    <w:rsid w:val="00312084"/>
    <w:rsid w:val="00320B82"/>
    <w:rsid w:val="003858BA"/>
    <w:rsid w:val="003A620F"/>
    <w:rsid w:val="003C5408"/>
    <w:rsid w:val="003F1CD0"/>
    <w:rsid w:val="003F4E5D"/>
    <w:rsid w:val="00402F36"/>
    <w:rsid w:val="00425C99"/>
    <w:rsid w:val="00431F7A"/>
    <w:rsid w:val="00443C58"/>
    <w:rsid w:val="004A5E37"/>
    <w:rsid w:val="004C76BF"/>
    <w:rsid w:val="004F70B0"/>
    <w:rsid w:val="004F73F9"/>
    <w:rsid w:val="00524EE8"/>
    <w:rsid w:val="0058583D"/>
    <w:rsid w:val="005A1961"/>
    <w:rsid w:val="005D723F"/>
    <w:rsid w:val="00616676"/>
    <w:rsid w:val="0063371A"/>
    <w:rsid w:val="00667239"/>
    <w:rsid w:val="00673CA0"/>
    <w:rsid w:val="006C158E"/>
    <w:rsid w:val="00705FA6"/>
    <w:rsid w:val="00727040"/>
    <w:rsid w:val="00780EF7"/>
    <w:rsid w:val="007B1EC6"/>
    <w:rsid w:val="007E33B2"/>
    <w:rsid w:val="00802B1D"/>
    <w:rsid w:val="00843307"/>
    <w:rsid w:val="00867D13"/>
    <w:rsid w:val="008711BE"/>
    <w:rsid w:val="00871ADB"/>
    <w:rsid w:val="00887574"/>
    <w:rsid w:val="00894B32"/>
    <w:rsid w:val="008968B1"/>
    <w:rsid w:val="008F4D3C"/>
    <w:rsid w:val="00901C0D"/>
    <w:rsid w:val="00914952"/>
    <w:rsid w:val="009311A2"/>
    <w:rsid w:val="009C11C5"/>
    <w:rsid w:val="00A01718"/>
    <w:rsid w:val="00A3167E"/>
    <w:rsid w:val="00A60BF1"/>
    <w:rsid w:val="00AB79E0"/>
    <w:rsid w:val="00AE2B98"/>
    <w:rsid w:val="00B01EF5"/>
    <w:rsid w:val="00B068D2"/>
    <w:rsid w:val="00BB6672"/>
    <w:rsid w:val="00BD79CC"/>
    <w:rsid w:val="00C2628E"/>
    <w:rsid w:val="00C265A2"/>
    <w:rsid w:val="00C66BD9"/>
    <w:rsid w:val="00CB433B"/>
    <w:rsid w:val="00CC030C"/>
    <w:rsid w:val="00CE5EAE"/>
    <w:rsid w:val="00CF2024"/>
    <w:rsid w:val="00CF3799"/>
    <w:rsid w:val="00D13458"/>
    <w:rsid w:val="00D16FA7"/>
    <w:rsid w:val="00D40C86"/>
    <w:rsid w:val="00D65C67"/>
    <w:rsid w:val="00D725D9"/>
    <w:rsid w:val="00D7492E"/>
    <w:rsid w:val="00D86D06"/>
    <w:rsid w:val="00DB5374"/>
    <w:rsid w:val="00DE7229"/>
    <w:rsid w:val="00E32300"/>
    <w:rsid w:val="00E57FFE"/>
    <w:rsid w:val="00E63629"/>
    <w:rsid w:val="00E777D6"/>
    <w:rsid w:val="00EA36A2"/>
    <w:rsid w:val="00EB644F"/>
    <w:rsid w:val="00EE33E7"/>
    <w:rsid w:val="00EE59A2"/>
    <w:rsid w:val="00EF4854"/>
    <w:rsid w:val="00F26A41"/>
    <w:rsid w:val="00F34441"/>
    <w:rsid w:val="00F6341F"/>
    <w:rsid w:val="00F73111"/>
    <w:rsid w:val="00FB7FA3"/>
    <w:rsid w:val="00FD247C"/>
    <w:rsid w:val="00FD7E14"/>
    <w:rsid w:val="00FE08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73CA0"/>
    <w:pPr>
      <w:keepNext/>
      <w:spacing w:after="0" w:line="240" w:lineRule="auto"/>
      <w:outlineLvl w:val="0"/>
    </w:pPr>
    <w:rPr>
      <w:rFonts w:ascii="Bookman Old Style" w:eastAsia="Times New Roman" w:hAnsi="Bookman Old Style" w:cs="Times New Roman"/>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3CA0"/>
    <w:rPr>
      <w:rFonts w:ascii="Bookman Old Style" w:eastAsia="Times New Roman" w:hAnsi="Bookman Old Style" w:cs="Times New Roman"/>
      <w:b/>
      <w:color w:val="000000"/>
      <w:sz w:val="24"/>
      <w:szCs w:val="20"/>
      <w:lang w:val="es-ES_tradnl" w:eastAsia="es-ES"/>
    </w:rPr>
  </w:style>
  <w:style w:type="paragraph" w:styleId="Piedepgina">
    <w:name w:val="footer"/>
    <w:basedOn w:val="Normal"/>
    <w:link w:val="PiedepginaCar"/>
    <w:semiHidden/>
    <w:rsid w:val="00673CA0"/>
    <w:pPr>
      <w:tabs>
        <w:tab w:val="center" w:pos="4419"/>
        <w:tab w:val="right" w:pos="8838"/>
      </w:tabs>
      <w:spacing w:after="0" w:line="240" w:lineRule="auto"/>
    </w:pPr>
    <w:rPr>
      <w:rFonts w:ascii="GothicPS" w:eastAsia="Times New Roman" w:hAnsi="GothicPS" w:cs="Times New Roman"/>
      <w:b/>
      <w:color w:val="000000"/>
      <w:sz w:val="24"/>
      <w:szCs w:val="20"/>
      <w:lang w:eastAsia="es-ES"/>
    </w:rPr>
  </w:style>
  <w:style w:type="character" w:customStyle="1" w:styleId="PiedepginaCar">
    <w:name w:val="Pie de página Car"/>
    <w:basedOn w:val="Fuentedeprrafopredeter"/>
    <w:link w:val="Piedepgina"/>
    <w:semiHidden/>
    <w:rsid w:val="00673CA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38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0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73CA0"/>
    <w:pPr>
      <w:keepNext/>
      <w:spacing w:after="0" w:line="240" w:lineRule="auto"/>
      <w:outlineLvl w:val="0"/>
    </w:pPr>
    <w:rPr>
      <w:rFonts w:ascii="Bookman Old Style" w:eastAsia="Times New Roman" w:hAnsi="Bookman Old Style" w:cs="Times New Roman"/>
      <w:b/>
      <w:color w:val="000000"/>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73CA0"/>
    <w:rPr>
      <w:rFonts w:ascii="Bookman Old Style" w:eastAsia="Times New Roman" w:hAnsi="Bookman Old Style" w:cs="Times New Roman"/>
      <w:b/>
      <w:color w:val="000000"/>
      <w:sz w:val="24"/>
      <w:szCs w:val="20"/>
      <w:lang w:val="es-ES_tradnl" w:eastAsia="es-ES"/>
    </w:rPr>
  </w:style>
  <w:style w:type="paragraph" w:styleId="Piedepgina">
    <w:name w:val="footer"/>
    <w:basedOn w:val="Normal"/>
    <w:link w:val="PiedepginaCar"/>
    <w:semiHidden/>
    <w:rsid w:val="00673CA0"/>
    <w:pPr>
      <w:tabs>
        <w:tab w:val="center" w:pos="4419"/>
        <w:tab w:val="right" w:pos="8838"/>
      </w:tabs>
      <w:spacing w:after="0" w:line="240" w:lineRule="auto"/>
    </w:pPr>
    <w:rPr>
      <w:rFonts w:ascii="GothicPS" w:eastAsia="Times New Roman" w:hAnsi="GothicPS" w:cs="Times New Roman"/>
      <w:b/>
      <w:color w:val="000000"/>
      <w:sz w:val="24"/>
      <w:szCs w:val="20"/>
      <w:lang w:eastAsia="es-ES"/>
    </w:rPr>
  </w:style>
  <w:style w:type="character" w:customStyle="1" w:styleId="PiedepginaCar">
    <w:name w:val="Pie de página Car"/>
    <w:basedOn w:val="Fuentedeprrafopredeter"/>
    <w:link w:val="Piedepgina"/>
    <w:semiHidden/>
    <w:rsid w:val="00673CA0"/>
    <w:rPr>
      <w:rFonts w:ascii="GothicPS" w:eastAsia="Times New Roman" w:hAnsi="GothicPS" w:cs="Times New Roman"/>
      <w:b/>
      <w:color w:val="000000"/>
      <w:sz w:val="24"/>
      <w:szCs w:val="20"/>
      <w:lang w:eastAsia="es-ES"/>
    </w:rPr>
  </w:style>
  <w:style w:type="table" w:styleId="Tablaconcuadrcula">
    <w:name w:val="Table Grid"/>
    <w:basedOn w:val="Tablanormal"/>
    <w:uiPriority w:val="59"/>
    <w:rsid w:val="0038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60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0E928-29A1-45AA-97E0-5692BB84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2379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dc:creator>
  <cp:lastModifiedBy>Miriam Cristina Rivero</cp:lastModifiedBy>
  <cp:revision>2</cp:revision>
  <cp:lastPrinted>2019-06-06T15:20:00Z</cp:lastPrinted>
  <dcterms:created xsi:type="dcterms:W3CDTF">2019-06-06T15:21:00Z</dcterms:created>
  <dcterms:modified xsi:type="dcterms:W3CDTF">2019-06-06T15:21:00Z</dcterms:modified>
</cp:coreProperties>
</file>