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8A9" w:rsidRPr="00786EEB" w:rsidRDefault="005F28A9"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1344/19</w:t>
      </w:r>
    </w:p>
    <w:p w:rsidR="005F28A9" w:rsidRDefault="005F28A9" w:rsidP="00786EEB">
      <w:pPr>
        <w:tabs>
          <w:tab w:val="center" w:pos="4253"/>
        </w:tabs>
        <w:suppressAutoHyphens/>
        <w:jc w:val="right"/>
        <w:rPr>
          <w:rFonts w:ascii="Arial" w:hAnsi="Arial" w:cs="Arial"/>
          <w:b/>
          <w:lang w:val="es-ES_tradnl"/>
        </w:rPr>
      </w:pPr>
    </w:p>
    <w:p w:rsidR="005F28A9" w:rsidRPr="00762B34" w:rsidRDefault="005F28A9">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5F28A9" w:rsidRPr="00762B34" w:rsidRDefault="005F28A9">
      <w:pPr>
        <w:tabs>
          <w:tab w:val="left" w:pos="-720"/>
        </w:tabs>
        <w:suppressAutoHyphens/>
        <w:jc w:val="center"/>
        <w:rPr>
          <w:rFonts w:ascii="Arial" w:hAnsi="Arial" w:cs="Arial"/>
          <w:b/>
          <w:lang w:val="es-ES_tradnl"/>
        </w:rPr>
      </w:pPr>
    </w:p>
    <w:p w:rsidR="005F28A9" w:rsidRPr="00762B34" w:rsidRDefault="005F28A9">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5F28A9" w:rsidRPr="00762B34" w:rsidRDefault="005F28A9">
      <w:pPr>
        <w:tabs>
          <w:tab w:val="left" w:pos="-720"/>
        </w:tabs>
        <w:suppressAutoHyphens/>
        <w:jc w:val="center"/>
        <w:rPr>
          <w:rFonts w:ascii="Arial" w:hAnsi="Arial" w:cs="Arial"/>
          <w:b/>
          <w:lang w:val="es-ES_tradnl"/>
        </w:rPr>
      </w:pPr>
    </w:p>
    <w:p w:rsidR="005F28A9" w:rsidRPr="00762B34" w:rsidRDefault="005F28A9">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29 DE MAYO DE 2019</w:t>
      </w:r>
    </w:p>
    <w:p w:rsidR="005F28A9" w:rsidRPr="00762B34" w:rsidRDefault="005F28A9">
      <w:pPr>
        <w:tabs>
          <w:tab w:val="center" w:pos="4253"/>
        </w:tabs>
        <w:suppressAutoHyphens/>
        <w:jc w:val="center"/>
        <w:rPr>
          <w:rFonts w:ascii="Arial" w:hAnsi="Arial" w:cs="Arial"/>
          <w:b/>
          <w:lang w:val="es-ES_tradnl"/>
        </w:rPr>
      </w:pPr>
    </w:p>
    <w:p w:rsidR="005F28A9" w:rsidRPr="00E71C89" w:rsidRDefault="005F28A9">
      <w:pPr>
        <w:tabs>
          <w:tab w:val="center" w:pos="4253"/>
        </w:tabs>
        <w:suppressAutoHyphens/>
        <w:jc w:val="center"/>
        <w:rPr>
          <w:rFonts w:ascii="Arial" w:hAnsi="Arial" w:cs="Arial"/>
          <w:b/>
          <w:lang w:val="es-UY"/>
        </w:rPr>
      </w:pPr>
      <w:r w:rsidRPr="00E71C89">
        <w:rPr>
          <w:rFonts w:ascii="Arial" w:hAnsi="Arial" w:cs="Arial"/>
          <w:b/>
          <w:lang w:val="es-UY"/>
        </w:rPr>
        <w:t>(E. E. Nº</w:t>
      </w:r>
      <w:r w:rsidRPr="005F28A9">
        <w:rPr>
          <w:rFonts w:ascii="Arial" w:hAnsi="Arial" w:cs="Arial"/>
          <w:b/>
        </w:rPr>
        <w:t>2017-17-1-0001290</w:t>
      </w:r>
      <w:r w:rsidRPr="00E71C89">
        <w:rPr>
          <w:rFonts w:ascii="Arial" w:hAnsi="Arial" w:cs="Arial"/>
          <w:b/>
          <w:lang w:val="es-UY"/>
        </w:rPr>
        <w:t xml:space="preserve">, </w:t>
      </w:r>
      <w:proofErr w:type="spellStart"/>
      <w:r w:rsidRPr="00E71C89">
        <w:rPr>
          <w:rFonts w:ascii="Arial" w:hAnsi="Arial" w:cs="Arial"/>
          <w:b/>
          <w:lang w:val="es-UY"/>
        </w:rPr>
        <w:t>Ent</w:t>
      </w:r>
      <w:proofErr w:type="spellEnd"/>
      <w:r w:rsidRPr="00E71C89">
        <w:rPr>
          <w:rFonts w:ascii="Arial" w:hAnsi="Arial" w:cs="Arial"/>
          <w:b/>
          <w:lang w:val="es-UY"/>
        </w:rPr>
        <w:t>. N° 1774/19)</w:t>
      </w:r>
    </w:p>
    <w:p w:rsidR="008168B2" w:rsidRPr="0017174D" w:rsidRDefault="008168B2" w:rsidP="005F28A9">
      <w:pPr>
        <w:spacing w:line="360" w:lineRule="auto"/>
        <w:rPr>
          <w:rFonts w:ascii="Arial" w:hAnsi="Arial" w:cs="Arial"/>
          <w:color w:val="FF0000"/>
        </w:rPr>
      </w:pPr>
    </w:p>
    <w:p w:rsidR="00636E07" w:rsidRDefault="008168B2" w:rsidP="00636E07">
      <w:pPr>
        <w:spacing w:line="360" w:lineRule="auto"/>
        <w:ind w:firstLine="708"/>
        <w:jc w:val="both"/>
        <w:rPr>
          <w:rFonts w:ascii="Arial" w:hAnsi="Arial" w:cs="Arial"/>
        </w:rPr>
      </w:pPr>
      <w:r w:rsidRPr="008168B2">
        <w:rPr>
          <w:rFonts w:ascii="Arial" w:hAnsi="Arial" w:cs="Arial"/>
          <w:b/>
        </w:rPr>
        <w:t xml:space="preserve">VISTO: </w:t>
      </w:r>
      <w:r>
        <w:rPr>
          <w:rFonts w:ascii="Arial" w:hAnsi="Arial" w:cs="Arial"/>
        </w:rPr>
        <w:t>las nuevas actuaciones remitidas por e</w:t>
      </w:r>
      <w:r w:rsidR="00636E07">
        <w:rPr>
          <w:rFonts w:ascii="Arial" w:hAnsi="Arial" w:cs="Arial"/>
        </w:rPr>
        <w:t xml:space="preserve">l Ministerio de </w:t>
      </w:r>
      <w:r>
        <w:rPr>
          <w:rFonts w:ascii="Arial" w:hAnsi="Arial" w:cs="Arial"/>
        </w:rPr>
        <w:t xml:space="preserve">Desarrollo Social </w:t>
      </w:r>
      <w:r w:rsidR="00636E07">
        <w:rPr>
          <w:rFonts w:ascii="Arial" w:hAnsi="Arial" w:cs="Arial"/>
        </w:rPr>
        <w:t>relacionadas con la Licitación Pública Nº 50/2016, cuyo objeto es el “Llamado a Organiza</w:t>
      </w:r>
      <w:r w:rsidR="00CE3B42">
        <w:rPr>
          <w:rFonts w:ascii="Arial" w:hAnsi="Arial" w:cs="Arial"/>
        </w:rPr>
        <w:t>ciones de la Sociedad Civil (</w:t>
      </w:r>
      <w:proofErr w:type="spellStart"/>
      <w:r w:rsidR="00CE3B42">
        <w:rPr>
          <w:rFonts w:ascii="Arial" w:hAnsi="Arial" w:cs="Arial"/>
        </w:rPr>
        <w:t>OSCs</w:t>
      </w:r>
      <w:proofErr w:type="spellEnd"/>
      <w:r w:rsidR="00636E07">
        <w:rPr>
          <w:rFonts w:ascii="Arial" w:hAnsi="Arial" w:cs="Arial"/>
        </w:rPr>
        <w:t>) y/o Cooperativas de Trabajo que provean de equipos técnicos multidisciplinarios para una Red de Servicios para una Vida Libre de Violencia Basada en G</w:t>
      </w:r>
      <w:r>
        <w:rPr>
          <w:rFonts w:ascii="Arial" w:hAnsi="Arial" w:cs="Arial"/>
        </w:rPr>
        <w:t xml:space="preserve">énero; </w:t>
      </w:r>
    </w:p>
    <w:p w:rsidR="00636E07" w:rsidRPr="001369EA" w:rsidRDefault="008168B2" w:rsidP="008168B2">
      <w:pPr>
        <w:spacing w:line="360" w:lineRule="auto"/>
        <w:jc w:val="both"/>
        <w:rPr>
          <w:rFonts w:ascii="Arial" w:hAnsi="Arial" w:cs="Arial"/>
          <w:b/>
          <w:i/>
        </w:rPr>
      </w:pPr>
      <w:r>
        <w:rPr>
          <w:rFonts w:ascii="Arial" w:hAnsi="Arial" w:cs="Arial"/>
        </w:rPr>
        <w:tab/>
      </w:r>
      <w:r w:rsidRPr="008168B2">
        <w:rPr>
          <w:rFonts w:ascii="Arial" w:hAnsi="Arial" w:cs="Arial"/>
          <w:b/>
        </w:rPr>
        <w:t xml:space="preserve">RESULTANDO: 1) </w:t>
      </w:r>
      <w:r>
        <w:rPr>
          <w:rFonts w:ascii="Arial" w:hAnsi="Arial" w:cs="Arial"/>
        </w:rPr>
        <w:t xml:space="preserve">que en </w:t>
      </w:r>
      <w:r w:rsidR="00636E07" w:rsidRPr="008168B2">
        <w:rPr>
          <w:rFonts w:ascii="Arial" w:hAnsi="Arial" w:cs="Arial"/>
        </w:rPr>
        <w:t>Sesión de fecha 2 de marzo de 2017,</w:t>
      </w:r>
      <w:r w:rsidR="00636E07" w:rsidRPr="001369EA">
        <w:rPr>
          <w:rFonts w:ascii="Arial" w:hAnsi="Arial" w:cs="Arial"/>
        </w:rPr>
        <w:t xml:space="preserve"> este Tribunal acordó: </w:t>
      </w:r>
      <w:r w:rsidR="00636E07" w:rsidRPr="008168B2">
        <w:rPr>
          <w:rFonts w:ascii="Arial" w:hAnsi="Arial" w:cs="Arial"/>
        </w:rPr>
        <w:t>“Dictada la Resolución por el Ordenador competente, cométese a la Contadora Auditora destacada ante el Ministerio de Desarrollo Social la intervención del gasto total de $ 71:132.157, previo control de su imputación en el Grupo adecuado con disponibilidad suficiente, y de que se haya dado cumplimiento a los requisitos señalados por la Comisión Asesora (Resultando 4) (…)”</w:t>
      </w:r>
      <w:r>
        <w:rPr>
          <w:rFonts w:ascii="Arial" w:hAnsi="Arial" w:cs="Arial"/>
        </w:rPr>
        <w:t xml:space="preserve">; </w:t>
      </w:r>
    </w:p>
    <w:p w:rsidR="00166F38" w:rsidRDefault="008168B2" w:rsidP="00902499">
      <w:pPr>
        <w:tabs>
          <w:tab w:val="left" w:pos="2552"/>
        </w:tabs>
        <w:spacing w:line="360" w:lineRule="auto"/>
        <w:jc w:val="both"/>
        <w:rPr>
          <w:rFonts w:ascii="Arial" w:hAnsi="Arial" w:cs="Arial"/>
        </w:rPr>
      </w:pPr>
      <w:r>
        <w:rPr>
          <w:rFonts w:ascii="Arial" w:hAnsi="Arial" w:cs="Arial"/>
        </w:rPr>
        <w:t xml:space="preserve">                                        </w:t>
      </w:r>
      <w:r w:rsidR="00902499">
        <w:rPr>
          <w:rFonts w:ascii="Arial" w:hAnsi="Arial" w:cs="Arial"/>
        </w:rPr>
        <w:t xml:space="preserve">  </w:t>
      </w:r>
      <w:r w:rsidRPr="008168B2">
        <w:rPr>
          <w:rFonts w:ascii="Arial" w:hAnsi="Arial" w:cs="Arial"/>
          <w:b/>
        </w:rPr>
        <w:t>2)</w:t>
      </w:r>
      <w:r>
        <w:rPr>
          <w:rFonts w:ascii="Arial" w:hAnsi="Arial" w:cs="Arial"/>
        </w:rPr>
        <w:t xml:space="preserve"> que </w:t>
      </w:r>
      <w:r w:rsidR="00166F38" w:rsidRPr="00166F38">
        <w:rPr>
          <w:rFonts w:ascii="Arial" w:hAnsi="Arial" w:cs="Arial"/>
        </w:rPr>
        <w:t>con fecha 2 de mayo de 2017, fueron suscritos los convenios, con las diferentes organizaciones, estableciéndose que el plazo de vigencia de los mismos será de doce (12) meses contados a partir de la firma con posibilidad de prorrogarlo por hasta dos períodos iguales, o por un período menor, previo informe favorable de gestión de la Administración;</w:t>
      </w:r>
    </w:p>
    <w:p w:rsidR="00A66173" w:rsidRDefault="00166F38" w:rsidP="00902499">
      <w:pPr>
        <w:tabs>
          <w:tab w:val="left" w:pos="2552"/>
        </w:tabs>
        <w:spacing w:line="360" w:lineRule="auto"/>
        <w:jc w:val="both"/>
        <w:rPr>
          <w:rFonts w:ascii="Arial" w:hAnsi="Arial" w:cs="Arial"/>
        </w:rPr>
      </w:pPr>
      <w:r>
        <w:rPr>
          <w:rFonts w:ascii="Arial" w:hAnsi="Arial" w:cs="Arial"/>
        </w:rPr>
        <w:t xml:space="preserve">                                          </w:t>
      </w:r>
      <w:r w:rsidRPr="00166F38">
        <w:rPr>
          <w:rFonts w:ascii="Arial" w:hAnsi="Arial" w:cs="Arial"/>
          <w:b/>
        </w:rPr>
        <w:t>3)</w:t>
      </w:r>
      <w:r>
        <w:rPr>
          <w:rFonts w:ascii="Arial" w:hAnsi="Arial" w:cs="Arial"/>
        </w:rPr>
        <w:t xml:space="preserve"> que </w:t>
      </w:r>
      <w:r w:rsidR="00850990">
        <w:rPr>
          <w:rFonts w:ascii="Arial" w:hAnsi="Arial" w:cs="Arial"/>
        </w:rPr>
        <w:t>posteriormente, en Sesión de 20 de junio de 2018, acordó observar las prórrogas de los convenios a suscribirse, en virtud de que el plazo original venció el 2 de mayo de 2018</w:t>
      </w:r>
      <w:r w:rsidR="00A66173">
        <w:rPr>
          <w:rFonts w:ascii="Arial" w:hAnsi="Arial" w:cs="Arial"/>
        </w:rPr>
        <w:t xml:space="preserve"> y contar las actuaciones con principio de ejecución en contravención de lo dispuesto por el artículo 211, literal B) de la Constitución de la República y por contravenir lo dispuesto en el </w:t>
      </w:r>
      <w:r w:rsidR="00A66173">
        <w:rPr>
          <w:rFonts w:ascii="Arial" w:hAnsi="Arial" w:cs="Arial"/>
        </w:rPr>
        <w:lastRenderedPageBreak/>
        <w:t>numeral 2 del artículo 20 del TOCAF al establecers</w:t>
      </w:r>
      <w:r w:rsidR="00CE3B42">
        <w:rPr>
          <w:rFonts w:ascii="Arial" w:hAnsi="Arial" w:cs="Arial"/>
        </w:rPr>
        <w:t>e los pagos en forma anticipada</w:t>
      </w:r>
      <w:r w:rsidR="00A66173">
        <w:rPr>
          <w:rFonts w:ascii="Arial" w:hAnsi="Arial" w:cs="Arial"/>
        </w:rPr>
        <w:t>;</w:t>
      </w:r>
    </w:p>
    <w:p w:rsidR="00166F38" w:rsidRDefault="00A66173" w:rsidP="00902499">
      <w:pPr>
        <w:tabs>
          <w:tab w:val="left" w:pos="2552"/>
        </w:tabs>
        <w:spacing w:line="360" w:lineRule="auto"/>
        <w:jc w:val="both"/>
        <w:rPr>
          <w:rFonts w:ascii="Arial" w:hAnsi="Arial" w:cs="Arial"/>
        </w:rPr>
      </w:pPr>
      <w:r>
        <w:rPr>
          <w:rFonts w:ascii="Arial" w:hAnsi="Arial" w:cs="Arial"/>
        </w:rPr>
        <w:t xml:space="preserve">                                          </w:t>
      </w:r>
      <w:r w:rsidR="00166F38">
        <w:rPr>
          <w:rFonts w:ascii="Arial" w:hAnsi="Arial" w:cs="Arial"/>
          <w:b/>
        </w:rPr>
        <w:t>4</w:t>
      </w:r>
      <w:r w:rsidRPr="00166F38">
        <w:rPr>
          <w:rFonts w:ascii="Arial" w:hAnsi="Arial" w:cs="Arial"/>
          <w:b/>
        </w:rPr>
        <w:t>)</w:t>
      </w:r>
      <w:r>
        <w:rPr>
          <w:rFonts w:ascii="Arial" w:hAnsi="Arial" w:cs="Arial"/>
        </w:rPr>
        <w:t xml:space="preserve"> que por Resolución del Poder Ejecutivo de 23 de julio de 2018, se reiteró el gasto </w:t>
      </w:r>
      <w:r w:rsidR="005E2A18">
        <w:rPr>
          <w:rFonts w:ascii="Arial" w:hAnsi="Arial" w:cs="Arial"/>
        </w:rPr>
        <w:t>por considerar improcedentes las observaciones realizadas con respecto a la forma de pago por parte del MIDES</w:t>
      </w:r>
      <w:r w:rsidR="00166F38">
        <w:rPr>
          <w:rFonts w:ascii="Arial" w:hAnsi="Arial" w:cs="Arial"/>
        </w:rPr>
        <w:t>, dado que algunas Organizaciones no cuentan con recursos necesarios para desarrollar tareas y la necesidad de contar con un servicio especializado;</w:t>
      </w:r>
    </w:p>
    <w:p w:rsidR="008168B2" w:rsidRDefault="00166F38" w:rsidP="00902499">
      <w:pPr>
        <w:tabs>
          <w:tab w:val="left" w:pos="2552"/>
        </w:tabs>
        <w:spacing w:line="360" w:lineRule="auto"/>
        <w:jc w:val="both"/>
        <w:rPr>
          <w:rFonts w:ascii="Arial" w:hAnsi="Arial" w:cs="Arial"/>
        </w:rPr>
      </w:pPr>
      <w:r>
        <w:rPr>
          <w:rFonts w:ascii="Arial" w:hAnsi="Arial" w:cs="Arial"/>
        </w:rPr>
        <w:t xml:space="preserve">                                          </w:t>
      </w:r>
      <w:r>
        <w:rPr>
          <w:rFonts w:ascii="Arial" w:hAnsi="Arial" w:cs="Arial"/>
          <w:b/>
        </w:rPr>
        <w:t>5</w:t>
      </w:r>
      <w:r w:rsidRPr="00166F38">
        <w:rPr>
          <w:rFonts w:ascii="Arial" w:hAnsi="Arial" w:cs="Arial"/>
          <w:b/>
        </w:rPr>
        <w:t>)</w:t>
      </w:r>
      <w:r>
        <w:rPr>
          <w:rFonts w:ascii="Arial" w:hAnsi="Arial" w:cs="Arial"/>
        </w:rPr>
        <w:t xml:space="preserve"> </w:t>
      </w:r>
      <w:r w:rsidR="005E2A18">
        <w:rPr>
          <w:rFonts w:ascii="Arial" w:hAnsi="Arial" w:cs="Arial"/>
        </w:rPr>
        <w:t xml:space="preserve">que </w:t>
      </w:r>
      <w:r w:rsidR="008168B2">
        <w:rPr>
          <w:rFonts w:ascii="Arial" w:hAnsi="Arial" w:cs="Arial"/>
        </w:rPr>
        <w:t xml:space="preserve">en </w:t>
      </w:r>
      <w:r w:rsidR="00505D14">
        <w:rPr>
          <w:rFonts w:ascii="Arial" w:hAnsi="Arial" w:cs="Arial"/>
        </w:rPr>
        <w:t>esta</w:t>
      </w:r>
      <w:r w:rsidR="008168B2">
        <w:rPr>
          <w:rFonts w:ascii="Arial" w:hAnsi="Arial" w:cs="Arial"/>
        </w:rPr>
        <w:t xml:space="preserve"> oportunidad se remite </w:t>
      </w:r>
      <w:r w:rsidR="00636E07" w:rsidRPr="00D30463">
        <w:rPr>
          <w:rFonts w:ascii="Arial" w:hAnsi="Arial" w:cs="Arial"/>
        </w:rPr>
        <w:t xml:space="preserve">Resolución del Poder Ejecutivo, de fecha 7 de abril de 2017, </w:t>
      </w:r>
      <w:r w:rsidR="008168B2">
        <w:rPr>
          <w:rFonts w:ascii="Arial" w:hAnsi="Arial" w:cs="Arial"/>
        </w:rPr>
        <w:t xml:space="preserve">mediante la cual </w:t>
      </w:r>
      <w:r w:rsidR="00636E07" w:rsidRPr="00D30463">
        <w:rPr>
          <w:rFonts w:ascii="Arial" w:hAnsi="Arial" w:cs="Arial"/>
        </w:rPr>
        <w:t>se adjudic</w:t>
      </w:r>
      <w:r w:rsidR="008168B2">
        <w:rPr>
          <w:rFonts w:ascii="Arial" w:hAnsi="Arial" w:cs="Arial"/>
        </w:rPr>
        <w:t xml:space="preserve">ó el llamado de referencia; </w:t>
      </w:r>
    </w:p>
    <w:p w:rsidR="008168B2" w:rsidRPr="003D57BC" w:rsidRDefault="008168B2" w:rsidP="00902499">
      <w:pPr>
        <w:tabs>
          <w:tab w:val="left" w:pos="2552"/>
        </w:tabs>
        <w:spacing w:line="360" w:lineRule="auto"/>
        <w:jc w:val="both"/>
        <w:rPr>
          <w:rFonts w:ascii="Arial" w:hAnsi="Arial" w:cs="Arial"/>
        </w:rPr>
      </w:pPr>
      <w:r>
        <w:rPr>
          <w:rFonts w:ascii="Arial" w:hAnsi="Arial" w:cs="Arial"/>
        </w:rPr>
        <w:t xml:space="preserve">                                        </w:t>
      </w:r>
      <w:r w:rsidR="00902499">
        <w:rPr>
          <w:rFonts w:ascii="Arial" w:hAnsi="Arial" w:cs="Arial"/>
        </w:rPr>
        <w:t xml:space="preserve"> </w:t>
      </w:r>
      <w:r>
        <w:rPr>
          <w:rFonts w:ascii="Arial" w:hAnsi="Arial" w:cs="Arial"/>
        </w:rPr>
        <w:t xml:space="preserve"> </w:t>
      </w:r>
      <w:r w:rsidR="00166F38">
        <w:rPr>
          <w:rFonts w:ascii="Arial" w:hAnsi="Arial" w:cs="Arial"/>
          <w:b/>
        </w:rPr>
        <w:t>6</w:t>
      </w:r>
      <w:r w:rsidRPr="008168B2">
        <w:rPr>
          <w:rFonts w:ascii="Arial" w:hAnsi="Arial" w:cs="Arial"/>
          <w:b/>
        </w:rPr>
        <w:t>)</w:t>
      </w:r>
      <w:r>
        <w:rPr>
          <w:rFonts w:ascii="Arial" w:hAnsi="Arial" w:cs="Arial"/>
        </w:rPr>
        <w:t xml:space="preserve"> que</w:t>
      </w:r>
      <w:r w:rsidRPr="003D57BC">
        <w:rPr>
          <w:rFonts w:ascii="Arial" w:hAnsi="Arial" w:cs="Arial"/>
        </w:rPr>
        <w:t xml:space="preserve"> se agrega </w:t>
      </w:r>
      <w:r w:rsidR="00636E07" w:rsidRPr="003D57BC">
        <w:rPr>
          <w:rFonts w:ascii="Arial" w:hAnsi="Arial" w:cs="Arial"/>
        </w:rPr>
        <w:t xml:space="preserve">Documento de Afectación </w:t>
      </w:r>
      <w:r w:rsidR="0020799A">
        <w:rPr>
          <w:rFonts w:ascii="Arial" w:hAnsi="Arial" w:cs="Arial"/>
        </w:rPr>
        <w:t xml:space="preserve">             </w:t>
      </w:r>
      <w:r w:rsidR="00636E07" w:rsidRPr="003D57BC">
        <w:rPr>
          <w:rFonts w:ascii="Arial" w:hAnsi="Arial" w:cs="Arial"/>
        </w:rPr>
        <w:t xml:space="preserve">Nº </w:t>
      </w:r>
      <w:r w:rsidR="003D57BC" w:rsidRPr="003D57BC">
        <w:rPr>
          <w:rFonts w:ascii="Arial" w:hAnsi="Arial" w:cs="Arial"/>
        </w:rPr>
        <w:t>000178, de fecha 02 de abril de 2019, Inciso 15, Ministerio de Desarrollo Social, Unidad Ejecutora 002 Dirección de Desarrollo Social, Financiamiento 11 Rentas Generales</w:t>
      </w:r>
      <w:r w:rsidR="003D57BC">
        <w:rPr>
          <w:rFonts w:ascii="Arial" w:hAnsi="Arial" w:cs="Arial"/>
        </w:rPr>
        <w:t>,</w:t>
      </w:r>
      <w:r w:rsidR="003D57BC" w:rsidRPr="003D57BC">
        <w:rPr>
          <w:rFonts w:ascii="Arial" w:hAnsi="Arial" w:cs="Arial"/>
        </w:rPr>
        <w:t xml:space="preserve"> </w:t>
      </w:r>
      <w:proofErr w:type="spellStart"/>
      <w:r w:rsidR="003D57BC" w:rsidRPr="003D57BC">
        <w:rPr>
          <w:rFonts w:ascii="Arial" w:hAnsi="Arial" w:cs="Arial"/>
        </w:rPr>
        <w:t>Prog</w:t>
      </w:r>
      <w:proofErr w:type="spellEnd"/>
      <w:r w:rsidR="003D57BC">
        <w:rPr>
          <w:rFonts w:ascii="Arial" w:hAnsi="Arial" w:cs="Arial"/>
        </w:rPr>
        <w:t>.</w:t>
      </w:r>
      <w:r w:rsidR="003D57BC" w:rsidRPr="003D57BC">
        <w:rPr>
          <w:rFonts w:ascii="Arial" w:hAnsi="Arial" w:cs="Arial"/>
        </w:rPr>
        <w:t xml:space="preserve"> 400, </w:t>
      </w:r>
      <w:proofErr w:type="spellStart"/>
      <w:r w:rsidR="003D57BC" w:rsidRPr="003D57BC">
        <w:rPr>
          <w:rFonts w:ascii="Arial" w:hAnsi="Arial" w:cs="Arial"/>
        </w:rPr>
        <w:t>Proy</w:t>
      </w:r>
      <w:proofErr w:type="spellEnd"/>
      <w:r w:rsidR="003D57BC">
        <w:rPr>
          <w:rFonts w:ascii="Arial" w:hAnsi="Arial" w:cs="Arial"/>
        </w:rPr>
        <w:t>.</w:t>
      </w:r>
      <w:r w:rsidR="003D57BC" w:rsidRPr="003D57BC">
        <w:rPr>
          <w:rFonts w:ascii="Arial" w:hAnsi="Arial" w:cs="Arial"/>
        </w:rPr>
        <w:t xml:space="preserve"> 121, </w:t>
      </w:r>
      <w:proofErr w:type="spellStart"/>
      <w:r w:rsidR="003D57BC" w:rsidRPr="003D57BC">
        <w:rPr>
          <w:rFonts w:ascii="Arial" w:hAnsi="Arial" w:cs="Arial"/>
        </w:rPr>
        <w:t>Obj</w:t>
      </w:r>
      <w:proofErr w:type="spellEnd"/>
      <w:r w:rsidR="003D57BC" w:rsidRPr="003D57BC">
        <w:rPr>
          <w:rFonts w:ascii="Arial" w:hAnsi="Arial" w:cs="Arial"/>
        </w:rPr>
        <w:t>. Gas. 554, por un total nominal de $ 60:879.985</w:t>
      </w:r>
      <w:r w:rsidR="003D57BC">
        <w:rPr>
          <w:rFonts w:ascii="Arial" w:hAnsi="Arial" w:cs="Arial"/>
        </w:rPr>
        <w:t>. Estado del documento verificado y no confirmado</w:t>
      </w:r>
      <w:r w:rsidRPr="003D57BC">
        <w:rPr>
          <w:rFonts w:ascii="Arial" w:hAnsi="Arial" w:cs="Arial"/>
        </w:rPr>
        <w:t xml:space="preserve">; </w:t>
      </w:r>
    </w:p>
    <w:p w:rsidR="00790CD9" w:rsidRPr="009A7CFA" w:rsidRDefault="008168B2" w:rsidP="00905A56">
      <w:pPr>
        <w:spacing w:line="360" w:lineRule="auto"/>
        <w:jc w:val="both"/>
        <w:rPr>
          <w:rFonts w:ascii="Arial" w:hAnsi="Arial" w:cs="Arial"/>
          <w:b/>
          <w:bCs/>
        </w:rPr>
      </w:pPr>
      <w:r>
        <w:rPr>
          <w:rFonts w:ascii="Arial" w:hAnsi="Arial" w:cs="Arial"/>
          <w:lang w:val="es-ES_tradnl"/>
        </w:rPr>
        <w:t xml:space="preserve">                                  </w:t>
      </w:r>
      <w:r w:rsidR="00F615B6">
        <w:rPr>
          <w:rFonts w:ascii="Arial" w:hAnsi="Arial" w:cs="Arial"/>
          <w:lang w:val="es-ES_tradnl"/>
        </w:rPr>
        <w:t xml:space="preserve"> </w:t>
      </w:r>
      <w:r>
        <w:rPr>
          <w:rFonts w:ascii="Arial" w:hAnsi="Arial" w:cs="Arial"/>
          <w:lang w:val="es-ES_tradnl"/>
        </w:rPr>
        <w:t xml:space="preserve">    </w:t>
      </w:r>
      <w:r w:rsidR="00902499">
        <w:rPr>
          <w:rFonts w:ascii="Arial" w:hAnsi="Arial" w:cs="Arial"/>
          <w:lang w:val="es-ES_tradnl"/>
        </w:rPr>
        <w:t xml:space="preserve"> </w:t>
      </w:r>
      <w:r>
        <w:rPr>
          <w:rFonts w:ascii="Arial" w:hAnsi="Arial" w:cs="Arial"/>
          <w:lang w:val="es-ES_tradnl"/>
        </w:rPr>
        <w:t xml:space="preserve"> </w:t>
      </w:r>
      <w:r w:rsidRPr="008168B2">
        <w:rPr>
          <w:rFonts w:ascii="Arial" w:hAnsi="Arial" w:cs="Arial"/>
          <w:b/>
          <w:lang w:val="es-ES_tradnl"/>
        </w:rPr>
        <w:t xml:space="preserve"> </w:t>
      </w:r>
      <w:r w:rsidR="00166F38">
        <w:rPr>
          <w:rFonts w:ascii="Arial" w:hAnsi="Arial" w:cs="Arial"/>
          <w:b/>
          <w:lang w:val="es-ES_tradnl"/>
        </w:rPr>
        <w:t>7</w:t>
      </w:r>
      <w:r w:rsidRPr="008168B2">
        <w:rPr>
          <w:rFonts w:ascii="Arial" w:hAnsi="Arial" w:cs="Arial"/>
          <w:b/>
          <w:lang w:val="es-ES_tradnl"/>
        </w:rPr>
        <w:t xml:space="preserve">) </w:t>
      </w:r>
      <w:r>
        <w:rPr>
          <w:rFonts w:ascii="Arial" w:hAnsi="Arial" w:cs="Arial"/>
          <w:lang w:val="es-ES_tradnl"/>
        </w:rPr>
        <w:t xml:space="preserve">que conforme </w:t>
      </w:r>
      <w:r w:rsidR="00636E07" w:rsidRPr="008168B2">
        <w:rPr>
          <w:rFonts w:ascii="Arial" w:hAnsi="Arial" w:cs="Arial"/>
        </w:rPr>
        <w:t>Proyecto de Resolución del Poder Ejecutivo, se autoriza, previa intervención de</w:t>
      </w:r>
      <w:r w:rsidR="00275088">
        <w:rPr>
          <w:rFonts w:ascii="Arial" w:hAnsi="Arial" w:cs="Arial"/>
        </w:rPr>
        <w:t xml:space="preserve"> este</w:t>
      </w:r>
      <w:r w:rsidR="00636E07" w:rsidRPr="008168B2">
        <w:rPr>
          <w:rFonts w:ascii="Arial" w:hAnsi="Arial" w:cs="Arial"/>
        </w:rPr>
        <w:t xml:space="preserve"> Tribunal, las prórrogas de los convenios suscritos, en el marco de la Licitación Pública Nº 50/2016, por la suma total de </w:t>
      </w:r>
      <w:r w:rsidR="003D57BC">
        <w:rPr>
          <w:rFonts w:ascii="Arial" w:hAnsi="Arial" w:cs="Arial"/>
        </w:rPr>
        <w:t xml:space="preserve">hasta </w:t>
      </w:r>
      <w:r w:rsidR="00636E07" w:rsidRPr="008168B2">
        <w:rPr>
          <w:rFonts w:ascii="Arial" w:hAnsi="Arial" w:cs="Arial"/>
        </w:rPr>
        <w:t xml:space="preserve">$ </w:t>
      </w:r>
      <w:r w:rsidR="003D57BC">
        <w:rPr>
          <w:rFonts w:ascii="Arial" w:hAnsi="Arial" w:cs="Arial"/>
        </w:rPr>
        <w:t>91:319.978</w:t>
      </w:r>
      <w:r w:rsidR="00636E07" w:rsidRPr="008168B2">
        <w:rPr>
          <w:rFonts w:ascii="Arial" w:hAnsi="Arial" w:cs="Arial"/>
        </w:rPr>
        <w:t xml:space="preserve">, </w:t>
      </w:r>
      <w:r w:rsidR="00275088">
        <w:rPr>
          <w:rFonts w:ascii="Arial" w:hAnsi="Arial" w:cs="Arial"/>
        </w:rPr>
        <w:t>según</w:t>
      </w:r>
      <w:r w:rsidR="00636E07" w:rsidRPr="008168B2">
        <w:rPr>
          <w:rFonts w:ascii="Arial" w:hAnsi="Arial" w:cs="Arial"/>
        </w:rPr>
        <w:t xml:space="preserve"> Anexo adjunt</w:t>
      </w:r>
      <w:r w:rsidR="00275088">
        <w:rPr>
          <w:rFonts w:ascii="Arial" w:hAnsi="Arial" w:cs="Arial"/>
        </w:rPr>
        <w:t>o</w:t>
      </w:r>
      <w:r w:rsidR="00636E07" w:rsidRPr="008168B2">
        <w:rPr>
          <w:rFonts w:ascii="Arial" w:hAnsi="Arial" w:cs="Arial"/>
        </w:rPr>
        <w:t>, por el plazo de doce meses contado</w:t>
      </w:r>
      <w:r w:rsidR="00902499">
        <w:rPr>
          <w:rFonts w:ascii="Arial" w:hAnsi="Arial" w:cs="Arial"/>
        </w:rPr>
        <w:t>s a partir del 2 de mayo de 2019</w:t>
      </w:r>
      <w:r w:rsidR="009A7CFA">
        <w:rPr>
          <w:rFonts w:ascii="Arial" w:hAnsi="Arial" w:cs="Arial"/>
        </w:rPr>
        <w:t>;</w:t>
      </w:r>
    </w:p>
    <w:p w:rsidR="00591601" w:rsidRPr="00591601" w:rsidRDefault="00591601" w:rsidP="00902499">
      <w:pPr>
        <w:tabs>
          <w:tab w:val="left" w:pos="2552"/>
        </w:tabs>
        <w:spacing w:line="360" w:lineRule="auto"/>
        <w:jc w:val="both"/>
        <w:rPr>
          <w:rFonts w:ascii="Arial" w:hAnsi="Arial" w:cs="Arial"/>
          <w:b/>
        </w:rPr>
      </w:pPr>
      <w:r>
        <w:rPr>
          <w:rFonts w:ascii="Arial" w:hAnsi="Arial" w:cs="Arial"/>
        </w:rPr>
        <w:t xml:space="preserve">                        </w:t>
      </w:r>
      <w:r w:rsidR="007371DC">
        <w:rPr>
          <w:rFonts w:ascii="Arial" w:hAnsi="Arial" w:cs="Arial"/>
        </w:rPr>
        <w:t xml:space="preserve">  </w:t>
      </w:r>
      <w:r>
        <w:rPr>
          <w:rFonts w:ascii="Arial" w:hAnsi="Arial" w:cs="Arial"/>
        </w:rPr>
        <w:t xml:space="preserve">       </w:t>
      </w:r>
      <w:r w:rsidR="001624B9">
        <w:rPr>
          <w:rFonts w:ascii="Arial" w:hAnsi="Arial" w:cs="Arial"/>
        </w:rPr>
        <w:t xml:space="preserve">   </w:t>
      </w:r>
      <w:r w:rsidR="00760BCD">
        <w:rPr>
          <w:rFonts w:ascii="Arial" w:hAnsi="Arial" w:cs="Arial"/>
        </w:rPr>
        <w:t xml:space="preserve"> </w:t>
      </w:r>
      <w:r w:rsidR="00575C13">
        <w:rPr>
          <w:rFonts w:ascii="Arial" w:hAnsi="Arial" w:cs="Arial"/>
        </w:rPr>
        <w:t xml:space="preserve">  </w:t>
      </w:r>
      <w:r w:rsidR="00902499">
        <w:rPr>
          <w:rFonts w:ascii="Arial" w:hAnsi="Arial" w:cs="Arial"/>
        </w:rPr>
        <w:t xml:space="preserve">  </w:t>
      </w:r>
      <w:r w:rsidR="00575C13">
        <w:rPr>
          <w:rFonts w:ascii="Arial" w:hAnsi="Arial" w:cs="Arial"/>
        </w:rPr>
        <w:t xml:space="preserve"> </w:t>
      </w:r>
      <w:r w:rsidR="001542B5">
        <w:rPr>
          <w:rFonts w:ascii="Arial" w:hAnsi="Arial" w:cs="Arial"/>
          <w:b/>
        </w:rPr>
        <w:t>8</w:t>
      </w:r>
      <w:r w:rsidRPr="00591601">
        <w:rPr>
          <w:rFonts w:ascii="Arial" w:hAnsi="Arial" w:cs="Arial"/>
          <w:b/>
        </w:rPr>
        <w:t xml:space="preserve">) </w:t>
      </w:r>
      <w:r w:rsidR="001624B9" w:rsidRPr="001624B9">
        <w:rPr>
          <w:rFonts w:ascii="Arial" w:hAnsi="Arial" w:cs="Arial"/>
        </w:rPr>
        <w:t xml:space="preserve">que del Proyecto de Resolución surge que existió evaluación satisfactoria del funcionamiento de dichos convenios; </w:t>
      </w:r>
    </w:p>
    <w:p w:rsidR="0047341C" w:rsidRDefault="002227C7" w:rsidP="0047341C">
      <w:pPr>
        <w:pStyle w:val="Prrafodelista"/>
        <w:spacing w:line="360" w:lineRule="auto"/>
        <w:ind w:left="0" w:firstLine="708"/>
        <w:jc w:val="both"/>
        <w:rPr>
          <w:rFonts w:ascii="Arial" w:hAnsi="Arial" w:cs="Arial"/>
        </w:rPr>
      </w:pPr>
      <w:r w:rsidRPr="00F07C11">
        <w:rPr>
          <w:rFonts w:ascii="Arial" w:hAnsi="Arial" w:cs="Arial"/>
          <w:b/>
        </w:rPr>
        <w:t>CONSIDERANDO:</w:t>
      </w:r>
      <w:r w:rsidRPr="00F07C11">
        <w:rPr>
          <w:rFonts w:ascii="Arial" w:hAnsi="Arial" w:cs="Arial"/>
        </w:rPr>
        <w:t xml:space="preserve"> </w:t>
      </w:r>
      <w:r w:rsidR="00F07C11" w:rsidRPr="00F07C11">
        <w:rPr>
          <w:rFonts w:ascii="Arial" w:hAnsi="Arial" w:cs="Arial"/>
          <w:b/>
        </w:rPr>
        <w:t>1)</w:t>
      </w:r>
      <w:r w:rsidR="00F07C11">
        <w:rPr>
          <w:rFonts w:ascii="Arial" w:hAnsi="Arial" w:cs="Arial"/>
        </w:rPr>
        <w:t xml:space="preserve"> </w:t>
      </w:r>
      <w:r w:rsidR="00041C1A">
        <w:rPr>
          <w:rFonts w:ascii="Arial" w:hAnsi="Arial" w:cs="Arial"/>
        </w:rPr>
        <w:t>que d</w:t>
      </w:r>
      <w:r w:rsidR="00041C1A" w:rsidRPr="00F07C11">
        <w:rPr>
          <w:rFonts w:ascii="Arial" w:hAnsi="Arial" w:cs="Arial"/>
        </w:rPr>
        <w:t>e acuerdo con lo establecido en la cláusula 18 “Plazo Contractual” del Pliego de Condiciones Particulares</w:t>
      </w:r>
      <w:r w:rsidR="00B7166F">
        <w:rPr>
          <w:rFonts w:ascii="Arial" w:hAnsi="Arial" w:cs="Arial"/>
        </w:rPr>
        <w:t>,</w:t>
      </w:r>
      <w:r w:rsidR="00041C1A" w:rsidRPr="00F07C11">
        <w:rPr>
          <w:rFonts w:ascii="Arial" w:hAnsi="Arial" w:cs="Arial"/>
        </w:rPr>
        <w:t xml:space="preserve"> el plazo de las contrataciones se fijó en doce (12) meses a partir de la firma del convenio respectivo, con posibilidad de prorrogarlo por hasta dos períodos iguales, o por un período menor, previo informe favorable de gestión;</w:t>
      </w:r>
    </w:p>
    <w:p w:rsidR="00902499" w:rsidRDefault="00041C1A" w:rsidP="0047341C">
      <w:pPr>
        <w:pStyle w:val="Prrafodelista"/>
        <w:tabs>
          <w:tab w:val="left" w:pos="2835"/>
        </w:tabs>
        <w:spacing w:line="360" w:lineRule="auto"/>
        <w:ind w:left="0" w:firstLine="2835"/>
        <w:jc w:val="both"/>
        <w:rPr>
          <w:rFonts w:ascii="Arial" w:hAnsi="Arial" w:cs="Arial"/>
        </w:rPr>
      </w:pPr>
      <w:r w:rsidRPr="00041C1A">
        <w:rPr>
          <w:rFonts w:ascii="Arial" w:hAnsi="Arial" w:cs="Arial"/>
          <w:b/>
        </w:rPr>
        <w:t xml:space="preserve">2) </w:t>
      </w:r>
      <w:r w:rsidR="00F07C11">
        <w:rPr>
          <w:rFonts w:ascii="Arial" w:hAnsi="Arial" w:cs="Arial"/>
        </w:rPr>
        <w:t xml:space="preserve">que si bien la prórroga tramitada se encuentra prevista en </w:t>
      </w:r>
      <w:r w:rsidR="00275088">
        <w:rPr>
          <w:rFonts w:ascii="Arial" w:hAnsi="Arial" w:cs="Arial"/>
        </w:rPr>
        <w:t xml:space="preserve">el </w:t>
      </w:r>
      <w:r w:rsidR="00275088" w:rsidRPr="00275088">
        <w:rPr>
          <w:rFonts w:ascii="Arial" w:hAnsi="Arial" w:cs="Arial"/>
        </w:rPr>
        <w:t>Pliego de Condiciones Particulares</w:t>
      </w:r>
      <w:r>
        <w:rPr>
          <w:rFonts w:ascii="Arial" w:hAnsi="Arial" w:cs="Arial"/>
        </w:rPr>
        <w:t xml:space="preserve">, </w:t>
      </w:r>
      <w:r w:rsidR="00F07C11">
        <w:rPr>
          <w:rFonts w:ascii="Arial" w:hAnsi="Arial" w:cs="Arial"/>
        </w:rPr>
        <w:t xml:space="preserve">el </w:t>
      </w:r>
      <w:r w:rsidR="00F07C11" w:rsidRPr="00F07C11">
        <w:rPr>
          <w:rFonts w:ascii="Arial" w:hAnsi="Arial" w:cs="Arial"/>
        </w:rPr>
        <w:t xml:space="preserve">plazo del convenio original </w:t>
      </w:r>
      <w:r w:rsidR="00F07C11" w:rsidRPr="00F07C11">
        <w:rPr>
          <w:rFonts w:ascii="Arial" w:hAnsi="Arial" w:cs="Arial"/>
        </w:rPr>
        <w:lastRenderedPageBreak/>
        <w:t>venció el día 2 de mayo de 2018,</w:t>
      </w:r>
      <w:r w:rsidR="00902499">
        <w:rPr>
          <w:rFonts w:ascii="Arial" w:hAnsi="Arial" w:cs="Arial"/>
        </w:rPr>
        <w:t xml:space="preserve"> y  su respectiva prorroga venció el 02 de mayo de 2019;</w:t>
      </w:r>
    </w:p>
    <w:p w:rsidR="00166F38" w:rsidRDefault="00902499" w:rsidP="0047341C">
      <w:pPr>
        <w:pStyle w:val="Prrafodelista"/>
        <w:spacing w:line="360" w:lineRule="auto"/>
        <w:ind w:left="0" w:firstLine="2835"/>
        <w:jc w:val="both"/>
        <w:rPr>
          <w:rFonts w:ascii="Arial" w:hAnsi="Arial" w:cs="Arial"/>
        </w:rPr>
      </w:pPr>
      <w:r w:rsidRPr="00902499">
        <w:rPr>
          <w:rFonts w:ascii="Arial" w:hAnsi="Arial" w:cs="Arial"/>
          <w:b/>
        </w:rPr>
        <w:t>3)</w:t>
      </w:r>
      <w:r w:rsidR="00F07C11" w:rsidRPr="00F07C11">
        <w:rPr>
          <w:rFonts w:ascii="Arial" w:hAnsi="Arial" w:cs="Arial"/>
        </w:rPr>
        <w:t xml:space="preserve"> </w:t>
      </w:r>
      <w:r>
        <w:rPr>
          <w:rFonts w:ascii="Arial" w:hAnsi="Arial" w:cs="Arial"/>
        </w:rPr>
        <w:t>que</w:t>
      </w:r>
      <w:r w:rsidR="00F07C11" w:rsidRPr="00F07C11">
        <w:rPr>
          <w:rFonts w:ascii="Arial" w:hAnsi="Arial" w:cs="Arial"/>
        </w:rPr>
        <w:t xml:space="preserve"> </w:t>
      </w:r>
      <w:r w:rsidR="00166F38">
        <w:rPr>
          <w:rFonts w:ascii="Arial" w:hAnsi="Arial" w:cs="Arial"/>
        </w:rPr>
        <w:t>este Tribunal con anterioridad, observó el gasto por principio de Ejecución y por contravenir lo dispuesto en el numeral 2 del artículo 20 del TOCAF, el cual fue reiterado por el Poder Ejecutivo e intervenido por la Contadora Auditora;</w:t>
      </w:r>
    </w:p>
    <w:p w:rsidR="0047341C" w:rsidRDefault="00166F38" w:rsidP="0047341C">
      <w:pPr>
        <w:pStyle w:val="Prrafodelista"/>
        <w:spacing w:line="360" w:lineRule="auto"/>
        <w:ind w:left="0" w:firstLine="2835"/>
        <w:jc w:val="both"/>
        <w:rPr>
          <w:rFonts w:ascii="Arial" w:hAnsi="Arial" w:cs="Arial"/>
        </w:rPr>
      </w:pPr>
      <w:r w:rsidRPr="00D16918">
        <w:rPr>
          <w:rFonts w:ascii="Arial" w:hAnsi="Arial" w:cs="Arial"/>
          <w:b/>
        </w:rPr>
        <w:t>4)</w:t>
      </w:r>
      <w:r>
        <w:rPr>
          <w:rFonts w:ascii="Arial" w:hAnsi="Arial" w:cs="Arial"/>
        </w:rPr>
        <w:t xml:space="preserve"> que  </w:t>
      </w:r>
      <w:r w:rsidR="00275088">
        <w:rPr>
          <w:rFonts w:ascii="Arial" w:hAnsi="Arial" w:cs="Arial"/>
        </w:rPr>
        <w:t xml:space="preserve">la administración </w:t>
      </w:r>
      <w:r w:rsidR="00D16918">
        <w:rPr>
          <w:rFonts w:ascii="Arial" w:hAnsi="Arial" w:cs="Arial"/>
        </w:rPr>
        <w:t xml:space="preserve">contó con </w:t>
      </w:r>
      <w:r w:rsidR="00275088">
        <w:rPr>
          <w:rFonts w:ascii="Arial" w:hAnsi="Arial" w:cs="Arial"/>
        </w:rPr>
        <w:t xml:space="preserve"> suficiente tiempo para prever y disponer  la </w:t>
      </w:r>
      <w:r w:rsidR="00D16918">
        <w:rPr>
          <w:rFonts w:ascii="Arial" w:hAnsi="Arial" w:cs="Arial"/>
        </w:rPr>
        <w:t>segunda</w:t>
      </w:r>
      <w:r w:rsidR="00275088">
        <w:rPr>
          <w:rFonts w:ascii="Arial" w:hAnsi="Arial" w:cs="Arial"/>
        </w:rPr>
        <w:t xml:space="preserve"> prórroga de la contratación, siendo que </w:t>
      </w:r>
      <w:r w:rsidR="00F07C11" w:rsidRPr="00F07C11">
        <w:rPr>
          <w:rFonts w:ascii="Arial" w:hAnsi="Arial" w:cs="Arial"/>
        </w:rPr>
        <w:t>las actuaciones</w:t>
      </w:r>
      <w:r w:rsidR="00275088">
        <w:rPr>
          <w:rFonts w:ascii="Arial" w:hAnsi="Arial" w:cs="Arial"/>
        </w:rPr>
        <w:t xml:space="preserve"> </w:t>
      </w:r>
      <w:r w:rsidR="00902499">
        <w:rPr>
          <w:rFonts w:ascii="Arial" w:hAnsi="Arial" w:cs="Arial"/>
        </w:rPr>
        <w:t>ingres</w:t>
      </w:r>
      <w:r w:rsidR="00275088">
        <w:rPr>
          <w:rFonts w:ascii="Arial" w:hAnsi="Arial" w:cs="Arial"/>
        </w:rPr>
        <w:t>aron</w:t>
      </w:r>
      <w:r w:rsidR="00F07C11" w:rsidRPr="00F07C11">
        <w:rPr>
          <w:rFonts w:ascii="Arial" w:hAnsi="Arial" w:cs="Arial"/>
        </w:rPr>
        <w:t xml:space="preserve"> a este Tribunal con fe</w:t>
      </w:r>
      <w:r w:rsidR="00041C1A">
        <w:rPr>
          <w:rFonts w:ascii="Arial" w:hAnsi="Arial" w:cs="Arial"/>
        </w:rPr>
        <w:t xml:space="preserve">cha </w:t>
      </w:r>
      <w:r w:rsidR="00902499">
        <w:rPr>
          <w:rFonts w:ascii="Arial" w:hAnsi="Arial" w:cs="Arial"/>
        </w:rPr>
        <w:t>03 de mayo de 2019</w:t>
      </w:r>
      <w:r w:rsidR="005E4C48">
        <w:rPr>
          <w:rFonts w:ascii="Arial" w:hAnsi="Arial" w:cs="Arial"/>
        </w:rPr>
        <w:t>, en contravención con lo dispuesto en el artículo 211 lit</w:t>
      </w:r>
      <w:r w:rsidR="00275088">
        <w:rPr>
          <w:rFonts w:ascii="Arial" w:hAnsi="Arial" w:cs="Arial"/>
        </w:rPr>
        <w:t>eral</w:t>
      </w:r>
      <w:r w:rsidR="005E4C48">
        <w:rPr>
          <w:rFonts w:ascii="Arial" w:hAnsi="Arial" w:cs="Arial"/>
        </w:rPr>
        <w:t xml:space="preserve"> B</w:t>
      </w:r>
      <w:r w:rsidR="00275088">
        <w:rPr>
          <w:rFonts w:ascii="Arial" w:hAnsi="Arial" w:cs="Arial"/>
        </w:rPr>
        <w:t>)</w:t>
      </w:r>
      <w:r w:rsidR="005E4C48">
        <w:rPr>
          <w:rFonts w:ascii="Arial" w:hAnsi="Arial" w:cs="Arial"/>
        </w:rPr>
        <w:t xml:space="preserve"> de la Constitución de la Republica</w:t>
      </w:r>
      <w:r w:rsidR="00041C1A">
        <w:rPr>
          <w:rFonts w:ascii="Arial" w:hAnsi="Arial" w:cs="Arial"/>
        </w:rPr>
        <w:t>;</w:t>
      </w:r>
    </w:p>
    <w:p w:rsidR="00F07C11" w:rsidRDefault="00D16918" w:rsidP="0047341C">
      <w:pPr>
        <w:pStyle w:val="Prrafodelista"/>
        <w:spacing w:line="360" w:lineRule="auto"/>
        <w:ind w:left="0" w:firstLine="2835"/>
        <w:jc w:val="both"/>
        <w:rPr>
          <w:rFonts w:ascii="Arial" w:hAnsi="Arial" w:cs="Arial"/>
        </w:rPr>
      </w:pPr>
      <w:r>
        <w:rPr>
          <w:rFonts w:ascii="Arial" w:hAnsi="Arial" w:cs="Arial"/>
          <w:b/>
        </w:rPr>
        <w:t>5</w:t>
      </w:r>
      <w:r w:rsidR="00F07C11" w:rsidRPr="00F07C11">
        <w:rPr>
          <w:rFonts w:ascii="Arial" w:hAnsi="Arial" w:cs="Arial"/>
          <w:b/>
        </w:rPr>
        <w:t>)</w:t>
      </w:r>
      <w:r w:rsidR="00F07C11">
        <w:rPr>
          <w:rFonts w:ascii="Arial" w:hAnsi="Arial" w:cs="Arial"/>
        </w:rPr>
        <w:t xml:space="preserve"> que </w:t>
      </w:r>
      <w:r>
        <w:rPr>
          <w:rFonts w:ascii="Arial" w:hAnsi="Arial" w:cs="Arial"/>
        </w:rPr>
        <w:t xml:space="preserve">se establecen </w:t>
      </w:r>
      <w:r w:rsidR="00F07C11" w:rsidRPr="00F07C11">
        <w:rPr>
          <w:rFonts w:ascii="Arial" w:hAnsi="Arial" w:cs="Arial"/>
        </w:rPr>
        <w:t xml:space="preserve">las formas de pagos previstas </w:t>
      </w:r>
      <w:r w:rsidR="002F6C00">
        <w:rPr>
          <w:rFonts w:ascii="Arial" w:hAnsi="Arial" w:cs="Arial"/>
        </w:rPr>
        <w:t>a</w:t>
      </w:r>
      <w:r w:rsidR="00F07C11" w:rsidRPr="00F07C11">
        <w:rPr>
          <w:rFonts w:ascii="Arial" w:hAnsi="Arial" w:cs="Arial"/>
        </w:rPr>
        <w:t xml:space="preserve"> las Organizaciones de la Sociedad Civil (</w:t>
      </w:r>
      <w:proofErr w:type="spellStart"/>
      <w:r w:rsidR="00F07C11" w:rsidRPr="00F07C11">
        <w:rPr>
          <w:rFonts w:ascii="Arial" w:hAnsi="Arial" w:cs="Arial"/>
        </w:rPr>
        <w:t>OSCs</w:t>
      </w:r>
      <w:proofErr w:type="spellEnd"/>
      <w:r w:rsidR="00F07C11" w:rsidRPr="00F07C11">
        <w:rPr>
          <w:rFonts w:ascii="Arial" w:hAnsi="Arial" w:cs="Arial"/>
        </w:rPr>
        <w:t xml:space="preserve">) y/o Cooperativas de Trabajo  </w:t>
      </w:r>
      <w:r>
        <w:rPr>
          <w:rFonts w:ascii="Arial" w:hAnsi="Arial" w:cs="Arial"/>
        </w:rPr>
        <w:t xml:space="preserve">en </w:t>
      </w:r>
      <w:r w:rsidR="00F07C11" w:rsidRPr="00F07C11">
        <w:rPr>
          <w:rFonts w:ascii="Arial" w:hAnsi="Arial" w:cs="Arial"/>
        </w:rPr>
        <w:t>tres partidas</w:t>
      </w:r>
      <w:r>
        <w:rPr>
          <w:rFonts w:ascii="Arial" w:hAnsi="Arial" w:cs="Arial"/>
        </w:rPr>
        <w:t>, las que</w:t>
      </w:r>
      <w:r w:rsidR="00C41DC3">
        <w:rPr>
          <w:rFonts w:ascii="Arial" w:hAnsi="Arial" w:cs="Arial"/>
        </w:rPr>
        <w:t xml:space="preserve"> serán </w:t>
      </w:r>
      <w:r w:rsidR="00F07C11" w:rsidRPr="00F07C11">
        <w:rPr>
          <w:rFonts w:ascii="Arial" w:hAnsi="Arial" w:cs="Arial"/>
        </w:rPr>
        <w:t>pagaderas</w:t>
      </w:r>
      <w:r w:rsidR="00C41DC3">
        <w:rPr>
          <w:rFonts w:ascii="Arial" w:hAnsi="Arial" w:cs="Arial"/>
        </w:rPr>
        <w:t>:</w:t>
      </w:r>
      <w:r w:rsidR="00F07C11" w:rsidRPr="00F07C11">
        <w:rPr>
          <w:rFonts w:ascii="Arial" w:hAnsi="Arial" w:cs="Arial"/>
        </w:rPr>
        <w:t xml:space="preserve"> la primera dentro de los 30 días desde la suscripción del convenio; la segunda dentro de los cinco meses, y la tercera, dentro de los nueve meses de ini</w:t>
      </w:r>
      <w:r w:rsidR="00902499">
        <w:rPr>
          <w:rFonts w:ascii="Arial" w:hAnsi="Arial" w:cs="Arial"/>
        </w:rPr>
        <w:t>ciada la ejecución del convenio, lo</w:t>
      </w:r>
      <w:r w:rsidR="00F07C11" w:rsidRPr="00F07C11">
        <w:rPr>
          <w:rFonts w:ascii="Arial" w:hAnsi="Arial" w:cs="Arial"/>
        </w:rPr>
        <w:t xml:space="preserve"> </w:t>
      </w:r>
      <w:r w:rsidR="00902499">
        <w:rPr>
          <w:rFonts w:ascii="Arial" w:hAnsi="Arial" w:cs="Arial"/>
        </w:rPr>
        <w:t>cual</w:t>
      </w:r>
      <w:r w:rsidR="00F07C11" w:rsidRPr="00F07C11">
        <w:rPr>
          <w:rFonts w:ascii="Arial" w:hAnsi="Arial" w:cs="Arial"/>
        </w:rPr>
        <w:t xml:space="preserve"> implica el pago total del servicio con anterioridad a que el mismo se ejecute por completo, </w:t>
      </w:r>
      <w:r>
        <w:rPr>
          <w:rFonts w:ascii="Arial" w:hAnsi="Arial" w:cs="Arial"/>
        </w:rPr>
        <w:t xml:space="preserve">en </w:t>
      </w:r>
      <w:r w:rsidR="00F07C11" w:rsidRPr="00F07C11">
        <w:rPr>
          <w:rFonts w:ascii="Arial" w:hAnsi="Arial" w:cs="Arial"/>
        </w:rPr>
        <w:t xml:space="preserve"> contrav</w:t>
      </w:r>
      <w:r>
        <w:rPr>
          <w:rFonts w:ascii="Arial" w:hAnsi="Arial" w:cs="Arial"/>
        </w:rPr>
        <w:t>ención de</w:t>
      </w:r>
      <w:r w:rsidR="00F07C11" w:rsidRPr="00F07C11">
        <w:rPr>
          <w:rFonts w:ascii="Arial" w:hAnsi="Arial" w:cs="Arial"/>
        </w:rPr>
        <w:t xml:space="preserve"> lo dispuesto por el </w:t>
      </w:r>
      <w:r w:rsidR="00373862">
        <w:rPr>
          <w:rFonts w:ascii="Arial" w:hAnsi="Arial" w:cs="Arial"/>
        </w:rPr>
        <w:t>a</w:t>
      </w:r>
      <w:r w:rsidR="00F07C11" w:rsidRPr="00F07C11">
        <w:rPr>
          <w:rFonts w:ascii="Arial" w:hAnsi="Arial" w:cs="Arial"/>
        </w:rPr>
        <w:t>rtículo 20 numeral 2) del T.O.C.A.F.</w:t>
      </w:r>
      <w:r w:rsidR="00373862">
        <w:rPr>
          <w:rFonts w:ascii="Arial" w:hAnsi="Arial" w:cs="Arial"/>
        </w:rPr>
        <w:t>;</w:t>
      </w:r>
      <w:r w:rsidR="00BE1126">
        <w:rPr>
          <w:rFonts w:ascii="Arial" w:hAnsi="Arial" w:cs="Arial"/>
        </w:rPr>
        <w:t xml:space="preserve"> </w:t>
      </w:r>
    </w:p>
    <w:p w:rsidR="00373862" w:rsidRDefault="00D16918" w:rsidP="0047341C">
      <w:pPr>
        <w:pStyle w:val="Prrafodelista"/>
        <w:spacing w:line="360" w:lineRule="auto"/>
        <w:ind w:left="0" w:firstLine="2835"/>
        <w:jc w:val="both"/>
        <w:rPr>
          <w:rFonts w:ascii="Arial" w:hAnsi="Arial" w:cs="Arial"/>
        </w:rPr>
      </w:pPr>
      <w:r>
        <w:rPr>
          <w:rFonts w:ascii="Arial" w:hAnsi="Arial" w:cs="Arial"/>
          <w:b/>
        </w:rPr>
        <w:t>6</w:t>
      </w:r>
      <w:r w:rsidR="00FC16D6" w:rsidRPr="005E4C48">
        <w:rPr>
          <w:rFonts w:ascii="Arial" w:hAnsi="Arial" w:cs="Arial"/>
          <w:b/>
        </w:rPr>
        <w:t>)</w:t>
      </w:r>
      <w:r w:rsidR="00FC16D6">
        <w:rPr>
          <w:rFonts w:ascii="Arial" w:hAnsi="Arial" w:cs="Arial"/>
        </w:rPr>
        <w:t xml:space="preserve"> que en el referido proyecto de Resolución se fundamenta entre otros artículos del T.O.C.A.F., en el artículo 74, no correspondiendo la aplicación de dicha norma, ya que no se trata de una ampliación de contrato</w:t>
      </w:r>
      <w:r w:rsidR="00373862">
        <w:rPr>
          <w:rFonts w:ascii="Arial" w:hAnsi="Arial" w:cs="Arial"/>
        </w:rPr>
        <w:t>;</w:t>
      </w:r>
    </w:p>
    <w:p w:rsidR="003A6A98" w:rsidRPr="00085945" w:rsidRDefault="00905A56" w:rsidP="00D16918">
      <w:pPr>
        <w:pStyle w:val="Prrafodelista"/>
        <w:spacing w:line="360" w:lineRule="auto"/>
        <w:ind w:left="0"/>
        <w:jc w:val="both"/>
        <w:rPr>
          <w:rFonts w:ascii="Arial" w:hAnsi="Arial"/>
          <w:bCs/>
          <w:lang w:val="es-ES_tradnl"/>
        </w:rPr>
      </w:pPr>
      <w:r w:rsidRPr="00575C13">
        <w:rPr>
          <w:rFonts w:ascii="Arial" w:hAnsi="Arial" w:cs="Arial"/>
        </w:rPr>
        <w:t xml:space="preserve">   </w:t>
      </w:r>
      <w:r w:rsidR="00934C4A" w:rsidRPr="00575C13">
        <w:rPr>
          <w:rFonts w:ascii="Arial" w:hAnsi="Arial" w:cs="Arial"/>
        </w:rPr>
        <w:t xml:space="preserve"> </w:t>
      </w:r>
      <w:r w:rsidR="00575C13" w:rsidRPr="00575C13">
        <w:rPr>
          <w:rFonts w:ascii="Arial" w:hAnsi="Arial" w:cs="Arial"/>
        </w:rPr>
        <w:t xml:space="preserve">    </w:t>
      </w:r>
      <w:r w:rsidR="003A6A98" w:rsidRPr="00575C13">
        <w:rPr>
          <w:rFonts w:ascii="Arial" w:hAnsi="Arial" w:cs="Arial"/>
        </w:rPr>
        <w:t xml:space="preserve">  </w:t>
      </w:r>
      <w:r w:rsidR="003A6A98" w:rsidRPr="005B285E">
        <w:rPr>
          <w:rFonts w:ascii="Arial" w:hAnsi="Arial"/>
          <w:b/>
          <w:bCs/>
          <w:lang w:val="es-ES_tradnl"/>
        </w:rPr>
        <w:t>ATENTO:</w:t>
      </w:r>
      <w:r w:rsidR="003A6A98">
        <w:rPr>
          <w:rFonts w:ascii="Arial" w:hAnsi="Arial"/>
          <w:b/>
          <w:bCs/>
          <w:lang w:val="es-ES_tradnl"/>
        </w:rPr>
        <w:t xml:space="preserve"> </w:t>
      </w:r>
      <w:r w:rsidR="003A6A98" w:rsidRPr="005B285E">
        <w:rPr>
          <w:rFonts w:ascii="Arial" w:hAnsi="Arial"/>
          <w:bCs/>
          <w:lang w:val="es-ES_tradnl"/>
        </w:rPr>
        <w:t xml:space="preserve">a lo precedentemente expuesto y a lo dispuesto en el </w:t>
      </w:r>
      <w:r w:rsidR="00373862">
        <w:rPr>
          <w:rFonts w:ascii="Arial" w:hAnsi="Arial"/>
          <w:bCs/>
          <w:lang w:val="es-ES_tradnl"/>
        </w:rPr>
        <w:t>a</w:t>
      </w:r>
      <w:r w:rsidR="003A6A98" w:rsidRPr="005B285E">
        <w:rPr>
          <w:rFonts w:ascii="Arial" w:hAnsi="Arial"/>
          <w:bCs/>
          <w:lang w:val="es-ES_tradnl"/>
        </w:rPr>
        <w:t xml:space="preserve">rtículo 211 </w:t>
      </w:r>
      <w:r w:rsidR="00373862">
        <w:rPr>
          <w:rFonts w:ascii="Arial" w:hAnsi="Arial"/>
          <w:bCs/>
          <w:lang w:val="es-ES_tradnl"/>
        </w:rPr>
        <w:t>l</w:t>
      </w:r>
      <w:r w:rsidR="003A6A98" w:rsidRPr="005B285E">
        <w:rPr>
          <w:rFonts w:ascii="Arial" w:hAnsi="Arial"/>
          <w:bCs/>
          <w:lang w:val="es-ES_tradnl"/>
        </w:rPr>
        <w:t>iteral B) de la Constitución de la República;</w:t>
      </w:r>
    </w:p>
    <w:p w:rsidR="00B51A33" w:rsidRPr="00380414" w:rsidRDefault="00B51A33" w:rsidP="00380414">
      <w:pPr>
        <w:spacing w:line="360" w:lineRule="auto"/>
        <w:jc w:val="both"/>
        <w:rPr>
          <w:rFonts w:ascii="Arial" w:hAnsi="Arial" w:cs="Arial"/>
        </w:rPr>
      </w:pPr>
    </w:p>
    <w:p w:rsidR="0020799A" w:rsidRDefault="0020799A" w:rsidP="00B51A33">
      <w:pPr>
        <w:pStyle w:val="Prrafodelista"/>
        <w:spacing w:line="360" w:lineRule="auto"/>
        <w:jc w:val="center"/>
        <w:rPr>
          <w:rFonts w:ascii="Arial" w:hAnsi="Arial" w:cs="Arial"/>
          <w:b/>
        </w:rPr>
      </w:pPr>
    </w:p>
    <w:p w:rsidR="0020799A" w:rsidRDefault="0020799A" w:rsidP="00B51A33">
      <w:pPr>
        <w:pStyle w:val="Prrafodelista"/>
        <w:spacing w:line="360" w:lineRule="auto"/>
        <w:jc w:val="center"/>
        <w:rPr>
          <w:rFonts w:ascii="Arial" w:hAnsi="Arial" w:cs="Arial"/>
          <w:b/>
        </w:rPr>
      </w:pPr>
    </w:p>
    <w:p w:rsidR="0020799A" w:rsidRDefault="0020799A" w:rsidP="00B51A33">
      <w:pPr>
        <w:pStyle w:val="Prrafodelista"/>
        <w:spacing w:line="360" w:lineRule="auto"/>
        <w:jc w:val="center"/>
        <w:rPr>
          <w:rFonts w:ascii="Arial" w:hAnsi="Arial" w:cs="Arial"/>
          <w:b/>
        </w:rPr>
      </w:pPr>
    </w:p>
    <w:p w:rsidR="00790CD9" w:rsidRPr="0020799A" w:rsidRDefault="00B51A33" w:rsidP="0020799A">
      <w:pPr>
        <w:pStyle w:val="Prrafodelista"/>
        <w:spacing w:line="360" w:lineRule="auto"/>
        <w:jc w:val="center"/>
        <w:rPr>
          <w:rFonts w:ascii="Arial" w:hAnsi="Arial" w:cs="Arial"/>
          <w:b/>
        </w:rPr>
      </w:pPr>
      <w:r>
        <w:rPr>
          <w:rFonts w:ascii="Arial" w:hAnsi="Arial" w:cs="Arial"/>
          <w:b/>
        </w:rPr>
        <w:lastRenderedPageBreak/>
        <w:t>EL TRIBUNAL ACUERDA</w:t>
      </w:r>
    </w:p>
    <w:p w:rsidR="00C41DC3" w:rsidRDefault="00C41DC3" w:rsidP="0020799A">
      <w:pPr>
        <w:pStyle w:val="Ttulo2"/>
        <w:numPr>
          <w:ilvl w:val="0"/>
          <w:numId w:val="12"/>
        </w:numPr>
        <w:spacing w:line="360" w:lineRule="auto"/>
        <w:ind w:left="284" w:hanging="284"/>
        <w:jc w:val="both"/>
        <w:rPr>
          <w:b w:val="0"/>
          <w:bCs/>
          <w:lang w:val="es-UY"/>
        </w:rPr>
      </w:pPr>
      <w:r>
        <w:rPr>
          <w:b w:val="0"/>
          <w:bCs/>
          <w:lang w:val="es-UY"/>
        </w:rPr>
        <w:t xml:space="preserve">Observar las prórrogas de los convenios a suscribirse y </w:t>
      </w:r>
      <w:r w:rsidR="00373862">
        <w:rPr>
          <w:b w:val="0"/>
          <w:bCs/>
          <w:lang w:val="es-UY"/>
        </w:rPr>
        <w:t>los</w:t>
      </w:r>
      <w:r>
        <w:rPr>
          <w:b w:val="0"/>
          <w:bCs/>
          <w:lang w:val="es-UY"/>
        </w:rPr>
        <w:t xml:space="preserve"> gasto</w:t>
      </w:r>
      <w:r w:rsidR="00373862">
        <w:rPr>
          <w:b w:val="0"/>
          <w:bCs/>
          <w:lang w:val="es-UY"/>
        </w:rPr>
        <w:t>s</w:t>
      </w:r>
      <w:r>
        <w:rPr>
          <w:b w:val="0"/>
          <w:bCs/>
          <w:lang w:val="es-UY"/>
        </w:rPr>
        <w:t xml:space="preserve"> derivado</w:t>
      </w:r>
      <w:r w:rsidR="00373862">
        <w:rPr>
          <w:b w:val="0"/>
          <w:bCs/>
          <w:lang w:val="es-UY"/>
        </w:rPr>
        <w:t>s</w:t>
      </w:r>
      <w:r>
        <w:rPr>
          <w:b w:val="0"/>
          <w:bCs/>
          <w:lang w:val="es-UY"/>
        </w:rPr>
        <w:t xml:space="preserve"> de los mismos</w:t>
      </w:r>
      <w:r w:rsidR="00FC16D6">
        <w:rPr>
          <w:b w:val="0"/>
          <w:bCs/>
          <w:lang w:val="es-UY"/>
        </w:rPr>
        <w:t xml:space="preserve">, por lo expuesto en los </w:t>
      </w:r>
      <w:r w:rsidR="00373862">
        <w:rPr>
          <w:b w:val="0"/>
          <w:bCs/>
          <w:lang w:val="es-UY"/>
        </w:rPr>
        <w:t>C</w:t>
      </w:r>
      <w:r w:rsidR="00FC16D6">
        <w:rPr>
          <w:b w:val="0"/>
          <w:bCs/>
          <w:lang w:val="es-UY"/>
        </w:rPr>
        <w:t>onsiderando 2)</w:t>
      </w:r>
      <w:r w:rsidR="00D16918">
        <w:rPr>
          <w:b w:val="0"/>
          <w:bCs/>
          <w:lang w:val="es-UY"/>
        </w:rPr>
        <w:t xml:space="preserve"> a</w:t>
      </w:r>
      <w:r w:rsidR="00FC16D6">
        <w:rPr>
          <w:b w:val="0"/>
          <w:bCs/>
          <w:lang w:val="es-UY"/>
        </w:rPr>
        <w:t xml:space="preserve"> </w:t>
      </w:r>
      <w:r w:rsidR="00D16918">
        <w:rPr>
          <w:b w:val="0"/>
          <w:bCs/>
          <w:lang w:val="es-UY"/>
        </w:rPr>
        <w:t>5</w:t>
      </w:r>
      <w:r w:rsidR="00FC16D6">
        <w:rPr>
          <w:b w:val="0"/>
          <w:bCs/>
          <w:lang w:val="es-UY"/>
        </w:rPr>
        <w:t>)</w:t>
      </w:r>
      <w:r>
        <w:rPr>
          <w:b w:val="0"/>
          <w:bCs/>
          <w:lang w:val="es-UY"/>
        </w:rPr>
        <w:t>;</w:t>
      </w:r>
    </w:p>
    <w:p w:rsidR="00FC16D6" w:rsidRPr="00FC16D6" w:rsidRDefault="00FC16D6" w:rsidP="0020799A">
      <w:pPr>
        <w:pStyle w:val="Ttulo2"/>
        <w:numPr>
          <w:ilvl w:val="0"/>
          <w:numId w:val="12"/>
        </w:numPr>
        <w:spacing w:line="360" w:lineRule="auto"/>
        <w:ind w:left="284" w:hanging="284"/>
        <w:jc w:val="both"/>
        <w:rPr>
          <w:b w:val="0"/>
          <w:bCs/>
          <w:lang w:val="es-UY"/>
        </w:rPr>
      </w:pPr>
      <w:r w:rsidRPr="00FC16D6">
        <w:rPr>
          <w:b w:val="0"/>
          <w:bCs/>
          <w:lang w:val="es-UY"/>
        </w:rPr>
        <w:t>Téngase presente lo expresado en</w:t>
      </w:r>
      <w:r w:rsidR="00373862">
        <w:rPr>
          <w:b w:val="0"/>
          <w:bCs/>
          <w:lang w:val="es-UY"/>
        </w:rPr>
        <w:t xml:space="preserve"> </w:t>
      </w:r>
      <w:r w:rsidR="00505D14">
        <w:rPr>
          <w:b w:val="0"/>
          <w:bCs/>
          <w:lang w:val="es-UY"/>
        </w:rPr>
        <w:t>el</w:t>
      </w:r>
      <w:r w:rsidRPr="00FC16D6">
        <w:rPr>
          <w:b w:val="0"/>
          <w:bCs/>
          <w:lang w:val="es-UY"/>
        </w:rPr>
        <w:t xml:space="preserve"> </w:t>
      </w:r>
      <w:r w:rsidR="00373862">
        <w:rPr>
          <w:b w:val="0"/>
          <w:bCs/>
          <w:lang w:val="es-UY"/>
        </w:rPr>
        <w:t>C</w:t>
      </w:r>
      <w:r w:rsidRPr="00FC16D6">
        <w:rPr>
          <w:b w:val="0"/>
          <w:bCs/>
          <w:lang w:val="es-UY"/>
        </w:rPr>
        <w:t xml:space="preserve">onsiderando </w:t>
      </w:r>
      <w:r w:rsidR="00D16918">
        <w:rPr>
          <w:b w:val="0"/>
          <w:bCs/>
          <w:lang w:val="es-UY"/>
        </w:rPr>
        <w:t>6</w:t>
      </w:r>
      <w:r w:rsidRPr="00FC16D6">
        <w:rPr>
          <w:b w:val="0"/>
          <w:bCs/>
          <w:lang w:val="es-UY"/>
        </w:rPr>
        <w:t>);</w:t>
      </w:r>
    </w:p>
    <w:p w:rsidR="00C41DC3" w:rsidRPr="00C41DC3" w:rsidRDefault="00C41DC3" w:rsidP="0020799A">
      <w:pPr>
        <w:pStyle w:val="Ttulo2"/>
        <w:numPr>
          <w:ilvl w:val="0"/>
          <w:numId w:val="12"/>
        </w:numPr>
        <w:spacing w:line="360" w:lineRule="auto"/>
        <w:ind w:left="284" w:hanging="284"/>
        <w:jc w:val="both"/>
        <w:rPr>
          <w:b w:val="0"/>
          <w:bCs/>
          <w:lang w:val="es-UY"/>
        </w:rPr>
      </w:pPr>
      <w:r w:rsidRPr="00FC16D6">
        <w:rPr>
          <w:b w:val="0"/>
          <w:bCs/>
          <w:lang w:val="es-UY"/>
        </w:rPr>
        <w:t>Comunicar al Contador Auditor;</w:t>
      </w:r>
    </w:p>
    <w:p w:rsidR="00C41DC3" w:rsidRPr="0020799A" w:rsidRDefault="0020799A" w:rsidP="0020799A">
      <w:pPr>
        <w:pStyle w:val="Ttulo2"/>
        <w:spacing w:line="360" w:lineRule="auto"/>
        <w:jc w:val="both"/>
        <w:rPr>
          <w:b w:val="0"/>
          <w:bCs/>
          <w:i/>
          <w:sz w:val="22"/>
          <w:szCs w:val="22"/>
        </w:rPr>
      </w:pPr>
      <w:r>
        <w:rPr>
          <w:bCs/>
          <w:lang w:val="es-UY"/>
        </w:rPr>
        <w:t xml:space="preserve">4) </w:t>
      </w:r>
      <w:r w:rsidR="00C41DC3" w:rsidRPr="0020799A">
        <w:rPr>
          <w:b w:val="0"/>
          <w:bCs/>
          <w:lang w:val="es-UY"/>
        </w:rPr>
        <w:t>Devolver las actuaciones al</w:t>
      </w:r>
      <w:r w:rsidRPr="0020799A">
        <w:t xml:space="preserve">  </w:t>
      </w:r>
      <w:r w:rsidRPr="0020799A">
        <w:rPr>
          <w:b w:val="0"/>
        </w:rPr>
        <w:t>Ministerio de Desarrollo Social</w:t>
      </w:r>
      <w:r>
        <w:rPr>
          <w:bCs/>
          <w:lang w:val="es-UY"/>
        </w:rPr>
        <w:t>.</w:t>
      </w:r>
      <w:r w:rsidR="005947E5" w:rsidRPr="0020799A">
        <w:rPr>
          <w:b w:val="0"/>
          <w:bCs/>
          <w:i/>
          <w:sz w:val="22"/>
          <w:szCs w:val="22"/>
        </w:rPr>
        <w:t xml:space="preserve">                                                                      </w:t>
      </w:r>
    </w:p>
    <w:p w:rsidR="00373862" w:rsidRPr="00FA77F6" w:rsidRDefault="00FA77F6" w:rsidP="00373862">
      <w:pPr>
        <w:pStyle w:val="Ttulo"/>
        <w:jc w:val="both"/>
        <w:rPr>
          <w:b w:val="0"/>
          <w:bCs/>
          <w:i/>
          <w:sz w:val="20"/>
          <w:szCs w:val="20"/>
          <w:u w:val="none"/>
          <w:lang w:val="es-ES_tradnl"/>
        </w:rPr>
      </w:pPr>
      <w:r>
        <w:rPr>
          <w:b w:val="0"/>
          <w:bCs/>
          <w:i/>
          <w:sz w:val="20"/>
          <w:szCs w:val="20"/>
          <w:u w:val="none"/>
          <w:lang w:val="es-ES_tradnl"/>
        </w:rPr>
        <w:t>CLC</w:t>
      </w:r>
    </w:p>
    <w:p w:rsidR="00E70976" w:rsidRDefault="00E70976" w:rsidP="004C2A2A">
      <w:pPr>
        <w:pStyle w:val="Prrafodelista"/>
        <w:spacing w:line="360" w:lineRule="auto"/>
        <w:ind w:firstLine="696"/>
        <w:jc w:val="both"/>
        <w:rPr>
          <w:rFonts w:ascii="Arial" w:hAnsi="Arial" w:cs="Arial"/>
          <w:color w:val="FF0000"/>
          <w:lang w:val="es-ES_tradnl"/>
        </w:rPr>
      </w:pPr>
    </w:p>
    <w:p w:rsidR="00FA77F6" w:rsidRDefault="00FA77F6" w:rsidP="004C2A2A">
      <w:pPr>
        <w:pStyle w:val="Prrafodelista"/>
        <w:spacing w:line="360" w:lineRule="auto"/>
        <w:ind w:firstLine="696"/>
        <w:jc w:val="both"/>
        <w:rPr>
          <w:rFonts w:ascii="Arial" w:hAnsi="Arial" w:cs="Arial"/>
          <w:color w:val="FF0000"/>
          <w:lang w:val="es-ES_tradnl"/>
        </w:rPr>
      </w:pPr>
    </w:p>
    <w:p w:rsidR="00FA77F6" w:rsidRDefault="00FA77F6" w:rsidP="00D71A3A">
      <w:pPr>
        <w:spacing w:line="360" w:lineRule="auto"/>
        <w:jc w:val="both"/>
        <w:rPr>
          <w:rFonts w:ascii="Arial" w:hAnsi="Arial" w:cs="Arial"/>
          <w:lang w:val="es-UY"/>
        </w:rPr>
      </w:pPr>
    </w:p>
    <w:p w:rsidR="00FA77F6" w:rsidRDefault="00FA77F6" w:rsidP="00D71A3A">
      <w:pPr>
        <w:spacing w:line="360" w:lineRule="auto"/>
        <w:jc w:val="both"/>
        <w:rPr>
          <w:rFonts w:ascii="Arial" w:hAnsi="Arial" w:cs="Arial"/>
          <w:lang w:val="es-UY"/>
        </w:rPr>
      </w:pPr>
    </w:p>
    <w:p w:rsidR="00D41C5A" w:rsidRPr="007578B1" w:rsidRDefault="00E71C89" w:rsidP="00D41C5A">
      <w:pPr>
        <w:spacing w:line="360" w:lineRule="auto"/>
        <w:jc w:val="both"/>
        <w:rPr>
          <w:rFonts w:ascii="Arial" w:hAnsi="Arial" w:cs="Arial"/>
        </w:rPr>
      </w:pPr>
      <w:r w:rsidRPr="00E9382D">
        <w:rPr>
          <w:rFonts w:ascii="Arial" w:hAnsi="Arial" w:cs="Arial"/>
          <w:b/>
          <w:lang w:val="es-UY"/>
        </w:rPr>
        <w:t>CON</w:t>
      </w:r>
      <w:r>
        <w:rPr>
          <w:rFonts w:ascii="Arial" w:hAnsi="Arial" w:cs="Arial"/>
          <w:b/>
          <w:lang w:val="es-UY"/>
        </w:rPr>
        <w:t>S</w:t>
      </w:r>
      <w:r w:rsidRPr="00E9382D">
        <w:rPr>
          <w:rFonts w:ascii="Arial" w:hAnsi="Arial" w:cs="Arial"/>
          <w:b/>
          <w:lang w:val="es-UY"/>
        </w:rPr>
        <w:t xml:space="preserve">TANCIA DE FUNDAMENTO DE VOTO </w:t>
      </w:r>
      <w:r>
        <w:rPr>
          <w:rFonts w:ascii="Arial" w:hAnsi="Arial" w:cs="Arial"/>
          <w:b/>
          <w:lang w:val="es-UY"/>
        </w:rPr>
        <w:t>DISCORDE</w:t>
      </w:r>
      <w:r w:rsidRPr="00E9382D">
        <w:rPr>
          <w:rFonts w:ascii="Arial" w:hAnsi="Arial" w:cs="Arial"/>
          <w:b/>
          <w:lang w:val="es-UY"/>
        </w:rPr>
        <w:t xml:space="preserve"> DEL </w:t>
      </w:r>
      <w:r w:rsidRPr="00837E21">
        <w:rPr>
          <w:rFonts w:ascii="Arial" w:hAnsi="Arial" w:cs="Arial"/>
          <w:b/>
          <w:lang w:val="es-UY"/>
        </w:rPr>
        <w:t>MINISTRO</w:t>
      </w:r>
      <w:r>
        <w:rPr>
          <w:rFonts w:ascii="Arial" w:hAnsi="Arial" w:cs="Arial"/>
          <w:b/>
          <w:lang w:val="es-UY"/>
        </w:rPr>
        <w:t xml:space="preserve"> CR. ENRIQUE CABRERA</w:t>
      </w:r>
      <w:r w:rsidRPr="005C0AC0">
        <w:rPr>
          <w:rFonts w:ascii="Arial" w:hAnsi="Arial" w:cs="Arial"/>
          <w:b/>
          <w:lang w:val="es-UY"/>
        </w:rPr>
        <w:t>:</w:t>
      </w:r>
      <w:r w:rsidR="00FA77F6" w:rsidRPr="005C0AC0">
        <w:rPr>
          <w:rFonts w:ascii="Arial" w:hAnsi="Arial" w:cs="Arial"/>
          <w:b/>
          <w:lang w:val="es-UY"/>
        </w:rPr>
        <w:t xml:space="preserve"> </w:t>
      </w:r>
      <w:r w:rsidR="00FA77F6">
        <w:rPr>
          <w:rFonts w:ascii="Arial" w:hAnsi="Arial" w:cs="Arial"/>
          <w:b/>
          <w:lang w:val="es-UY"/>
        </w:rPr>
        <w:t>“</w:t>
      </w:r>
      <w:r w:rsidR="00D41C5A" w:rsidRPr="007578B1">
        <w:rPr>
          <w:rFonts w:ascii="Arial" w:hAnsi="Arial" w:cs="Arial"/>
        </w:rPr>
        <w:t>Comparto  los argumentos de fundamento de voto discorde expresados por el Ministro Miguel Aumento sobre el expediente remitido por  el  Ministerio de Desarrollo Social relacionado con la Licitación Pública N° 50/2016 para el “Llamado a Organizaciones de la Sociedad Civil (</w:t>
      </w:r>
      <w:proofErr w:type="spellStart"/>
      <w:r w:rsidR="00D41C5A" w:rsidRPr="007578B1">
        <w:rPr>
          <w:rFonts w:ascii="Arial" w:hAnsi="Arial" w:cs="Arial"/>
        </w:rPr>
        <w:t>OSCs</w:t>
      </w:r>
      <w:proofErr w:type="spellEnd"/>
      <w:r w:rsidR="00D41C5A" w:rsidRPr="007578B1">
        <w:rPr>
          <w:rFonts w:ascii="Arial" w:hAnsi="Arial" w:cs="Arial"/>
        </w:rPr>
        <w:t>) y/o Cooperativas de trabajo que provean de equipos técnicos multidisciplinarios para una Red de Servicios para una vida Libre d</w:t>
      </w:r>
      <w:r w:rsidR="00D41C5A">
        <w:rPr>
          <w:rFonts w:ascii="Arial" w:hAnsi="Arial" w:cs="Arial"/>
        </w:rPr>
        <w:t>e Violencia Basada en  Género”.</w:t>
      </w:r>
      <w:r w:rsidR="00D41C5A" w:rsidRPr="007578B1">
        <w:rPr>
          <w:rFonts w:ascii="Arial" w:hAnsi="Arial" w:cs="Arial"/>
        </w:rPr>
        <w:t xml:space="preserve"> </w:t>
      </w:r>
    </w:p>
    <w:p w:rsidR="00D41C5A" w:rsidRDefault="00D41C5A" w:rsidP="00D41C5A">
      <w:pPr>
        <w:spacing w:line="360" w:lineRule="auto"/>
        <w:rPr>
          <w:rFonts w:ascii="Arial" w:hAnsi="Arial" w:cs="Arial"/>
        </w:rPr>
      </w:pPr>
    </w:p>
    <w:p w:rsidR="00E71C89" w:rsidRDefault="00E71C89" w:rsidP="00A70A2C">
      <w:pPr>
        <w:spacing w:line="360" w:lineRule="auto"/>
        <w:jc w:val="both"/>
        <w:rPr>
          <w:rFonts w:ascii="Arial" w:hAnsi="Arial" w:cs="Arial"/>
          <w:b/>
          <w:lang w:val="es-UY"/>
        </w:rPr>
      </w:pPr>
    </w:p>
    <w:p w:rsidR="00A70A2C" w:rsidRPr="007F4E5A" w:rsidRDefault="00E71C89" w:rsidP="00A70A2C">
      <w:pPr>
        <w:spacing w:line="360" w:lineRule="auto"/>
        <w:jc w:val="both"/>
        <w:rPr>
          <w:rFonts w:ascii="Arial" w:eastAsia="Calibri" w:hAnsi="Arial" w:cs="Arial"/>
        </w:rPr>
      </w:pPr>
      <w:r w:rsidRPr="00085274">
        <w:rPr>
          <w:rFonts w:ascii="Arial" w:hAnsi="Arial" w:cs="Arial"/>
          <w:b/>
          <w:lang w:val="es-UY"/>
        </w:rPr>
        <w:t>CONSTANCIA DE FUNDAMENTO DE VOTO DISCORDE DEL MINISTRO</w:t>
      </w:r>
      <w:r w:rsidRPr="00085274">
        <w:rPr>
          <w:rFonts w:ascii="Arial" w:hAnsi="Arial" w:cs="Arial"/>
          <w:lang w:val="es-UY"/>
        </w:rPr>
        <w:t xml:space="preserve">               </w:t>
      </w:r>
      <w:r w:rsidRPr="00085274">
        <w:rPr>
          <w:rFonts w:ascii="Arial" w:hAnsi="Arial" w:cs="Arial"/>
          <w:b/>
          <w:lang w:val="es-UY"/>
        </w:rPr>
        <w:t>ING. MIGUEL AUMENTO:</w:t>
      </w:r>
      <w:r w:rsidR="00FA77F6">
        <w:rPr>
          <w:rFonts w:ascii="Arial" w:hAnsi="Arial" w:cs="Arial"/>
          <w:lang w:val="es-UY"/>
        </w:rPr>
        <w:t xml:space="preserve"> </w:t>
      </w:r>
      <w:r w:rsidR="00A70A2C">
        <w:rPr>
          <w:rFonts w:ascii="Arial" w:hAnsi="Arial" w:cs="Arial"/>
          <w:lang w:val="es-UY"/>
        </w:rPr>
        <w:t>“</w:t>
      </w:r>
      <w:r w:rsidR="00A70A2C" w:rsidRPr="007F4E5A">
        <w:rPr>
          <w:rFonts w:ascii="Arial" w:eastAsia="Calibri" w:hAnsi="Arial" w:cs="Arial"/>
        </w:rPr>
        <w:t>He votado en discordia la Resolución de este expediente, por las razones que se dirán seguidamente.</w:t>
      </w:r>
    </w:p>
    <w:p w:rsidR="00A70A2C" w:rsidRPr="007F4E5A" w:rsidRDefault="00A70A2C" w:rsidP="00A70A2C">
      <w:pPr>
        <w:spacing w:line="360" w:lineRule="auto"/>
        <w:jc w:val="both"/>
        <w:rPr>
          <w:rFonts w:ascii="Arial" w:eastAsia="Calibri" w:hAnsi="Arial" w:cs="Arial"/>
        </w:rPr>
      </w:pPr>
      <w:r w:rsidRPr="007F4E5A">
        <w:rPr>
          <w:rFonts w:ascii="Arial" w:eastAsia="Calibri" w:hAnsi="Arial" w:cs="Arial"/>
        </w:rPr>
        <w:t>En rigor, el Tribunal ha observado este gasto por lo expresado en los Considerandos 4) y 5), dado que el Considerando 3) no concluye expresamente en una posible irradiación del vicio legal originario a esta nueva actuación.</w:t>
      </w:r>
    </w:p>
    <w:p w:rsidR="00A70A2C" w:rsidRPr="007F4E5A" w:rsidRDefault="00A70A2C" w:rsidP="00A70A2C">
      <w:pPr>
        <w:spacing w:line="360" w:lineRule="auto"/>
        <w:jc w:val="both"/>
        <w:rPr>
          <w:rFonts w:ascii="Arial" w:eastAsia="Calibri" w:hAnsi="Arial" w:cs="Arial"/>
        </w:rPr>
      </w:pPr>
      <w:r w:rsidRPr="007F4E5A">
        <w:rPr>
          <w:rFonts w:ascii="Arial" w:eastAsia="Calibri" w:hAnsi="Arial" w:cs="Arial"/>
        </w:rPr>
        <w:lastRenderedPageBreak/>
        <w:t xml:space="preserve">En primer término, no comparto lo esgrimido en el Considerando 4). Se sostiene que “la administración contó con suficiente tiempo para prever y disponer la segunda prórroga de la contratación”, argumentación que a mi juicio no resulta de recibo expresar. Aquí hay que detenerse en si se contravino o no lo preceptuado por el Artículo 211 Literal B) de la Constitución. Las actuaciones ingresaron al Tribunal en las 24 </w:t>
      </w:r>
      <w:proofErr w:type="spellStart"/>
      <w:r w:rsidRPr="007F4E5A">
        <w:rPr>
          <w:rFonts w:ascii="Arial" w:eastAsia="Calibri" w:hAnsi="Arial" w:cs="Arial"/>
        </w:rPr>
        <w:t>hs</w:t>
      </w:r>
      <w:proofErr w:type="spellEnd"/>
      <w:r w:rsidRPr="007F4E5A">
        <w:rPr>
          <w:rFonts w:ascii="Arial" w:eastAsia="Calibri" w:hAnsi="Arial" w:cs="Arial"/>
        </w:rPr>
        <w:t xml:space="preserve">. posteriores al comienzo de la prorroga contractual, pero el Proyecto de Resolución del Poder Ejecutivo  que la autoriza, consideró la “previa intervención del Tribunal”. Si ello no fuera suficiente, entonces se debió apelar al principio de flexibilidad consagrado en el Artículo 149 el TOCAF, que no solo es aplicable a la actuación gubernamental sino al contralor en materia de Contabilidad y Administración Financiera del Estado.      </w:t>
      </w:r>
    </w:p>
    <w:p w:rsidR="00A70A2C" w:rsidRPr="007F4E5A" w:rsidRDefault="00A70A2C" w:rsidP="00A70A2C">
      <w:pPr>
        <w:spacing w:line="360" w:lineRule="auto"/>
        <w:jc w:val="both"/>
        <w:rPr>
          <w:rFonts w:ascii="Arial" w:eastAsia="Calibri" w:hAnsi="Arial" w:cs="Arial"/>
        </w:rPr>
      </w:pPr>
      <w:r w:rsidRPr="007F4E5A">
        <w:rPr>
          <w:rFonts w:ascii="Arial" w:eastAsia="Calibri" w:hAnsi="Arial" w:cs="Arial"/>
        </w:rPr>
        <w:t>En segundo término, tampoco se está de acuerdo con la causal de observación a que refiere el Considerando 5). En efecto, he concluido finalmente que lo dispuesto por el Artículo 20 Numeral 2) del TOCAF faculta a la Administración actuante a la asignación anticipada de recursos, que se otorguen a proveedores con destino a una inversión o a un gasto, siempre y cuando ello estuviere estipulado en las condiciones establecidas por la Administración. Dichas condiciones fueron determinadas en el Artículo 28 “Criterios y forma de transferencia de fondos” sujeto a lo expresado en el Artículo 30 “Rendición de Cuentas”, ambos correspondientes al Pliego Particular de la Licitación Pública N° 50/2016 que nos ocupa.</w:t>
      </w:r>
    </w:p>
    <w:p w:rsidR="00A70A2C" w:rsidRPr="007F4E5A" w:rsidRDefault="00A70A2C" w:rsidP="00A70A2C">
      <w:pPr>
        <w:spacing w:line="360" w:lineRule="auto"/>
        <w:jc w:val="both"/>
        <w:rPr>
          <w:rFonts w:ascii="Arial" w:eastAsia="Calibri" w:hAnsi="Arial" w:cs="Arial"/>
        </w:rPr>
      </w:pPr>
      <w:r w:rsidRPr="007F4E5A">
        <w:rPr>
          <w:rFonts w:ascii="Arial" w:eastAsia="Calibri" w:hAnsi="Arial" w:cs="Arial"/>
        </w:rPr>
        <w:t>Por todo lo expuesto, he votado en forma discorde la R</w:t>
      </w:r>
      <w:r>
        <w:rPr>
          <w:rFonts w:ascii="Arial" w:eastAsia="Calibri" w:hAnsi="Arial" w:cs="Arial"/>
        </w:rPr>
        <w:t>esolución de este expediente.”</w:t>
      </w:r>
    </w:p>
    <w:p w:rsidR="00A70A2C" w:rsidRPr="007F4E5A" w:rsidRDefault="00A70A2C" w:rsidP="00A70A2C">
      <w:pPr>
        <w:spacing w:line="360" w:lineRule="auto"/>
        <w:rPr>
          <w:rFonts w:ascii="Arial" w:hAnsi="Arial" w:cs="Arial"/>
        </w:rPr>
      </w:pPr>
    </w:p>
    <w:p w:rsidR="00FA77F6" w:rsidRDefault="00FA77F6" w:rsidP="00D71A3A">
      <w:pPr>
        <w:spacing w:line="360" w:lineRule="auto"/>
        <w:jc w:val="both"/>
        <w:rPr>
          <w:rFonts w:ascii="Arial" w:hAnsi="Arial" w:cs="Arial"/>
          <w:lang w:val="es-UY"/>
        </w:rPr>
      </w:pPr>
    </w:p>
    <w:p w:rsidR="00FA77F6" w:rsidRDefault="00FA77F6" w:rsidP="00D71A3A">
      <w:pPr>
        <w:spacing w:line="360" w:lineRule="auto"/>
        <w:jc w:val="both"/>
        <w:rPr>
          <w:rFonts w:ascii="Arial" w:hAnsi="Arial" w:cs="Arial"/>
          <w:lang w:val="es-UY"/>
        </w:rPr>
      </w:pPr>
    </w:p>
    <w:p w:rsidR="00FA77F6" w:rsidRDefault="00FA77F6" w:rsidP="00BF5137">
      <w:pPr>
        <w:spacing w:line="360" w:lineRule="auto"/>
        <w:jc w:val="both"/>
        <w:rPr>
          <w:rFonts w:ascii="Arial" w:hAnsi="Arial" w:cs="Arial"/>
          <w:b/>
          <w:lang w:val="es-UY"/>
        </w:rPr>
      </w:pPr>
    </w:p>
    <w:p w:rsidR="00FA77F6" w:rsidRPr="006A2B03" w:rsidRDefault="00FA77F6" w:rsidP="006A2B03">
      <w:pPr>
        <w:rPr>
          <w:lang w:val="es-UY"/>
        </w:rPr>
      </w:pPr>
    </w:p>
    <w:p w:rsidR="00FA77F6" w:rsidRPr="00D21B85" w:rsidRDefault="00FA77F6" w:rsidP="004C2A2A">
      <w:pPr>
        <w:pStyle w:val="Prrafodelista"/>
        <w:spacing w:line="360" w:lineRule="auto"/>
        <w:ind w:firstLine="696"/>
        <w:jc w:val="both"/>
        <w:rPr>
          <w:rFonts w:ascii="Arial" w:hAnsi="Arial" w:cs="Arial"/>
          <w:color w:val="FF0000"/>
          <w:lang w:val="es-ES_tradnl"/>
        </w:rPr>
      </w:pPr>
    </w:p>
    <w:sectPr w:rsidR="00FA77F6" w:rsidRPr="00D21B85" w:rsidSect="00E71C89">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97" w:rsidRDefault="00A94B97" w:rsidP="008174EA">
      <w:r>
        <w:separator/>
      </w:r>
    </w:p>
  </w:endnote>
  <w:endnote w:type="continuationSeparator" w:id="0">
    <w:p w:rsidR="00A94B97" w:rsidRDefault="00A94B97" w:rsidP="0081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38" w:rsidRDefault="00166F38">
    <w:pPr>
      <w:pStyle w:val="Piedepgina"/>
      <w:jc w:val="center"/>
    </w:pPr>
    <w:r>
      <w:fldChar w:fldCharType="begin"/>
    </w:r>
    <w:r>
      <w:instrText>PAGE   \* MERGEFORMAT</w:instrText>
    </w:r>
    <w:r>
      <w:fldChar w:fldCharType="separate"/>
    </w:r>
    <w:r w:rsidR="00E71C89">
      <w:rPr>
        <w:noProof/>
      </w:rPr>
      <w:t>5</w:t>
    </w:r>
    <w:r>
      <w:rPr>
        <w:noProof/>
      </w:rPr>
      <w:fldChar w:fldCharType="end"/>
    </w:r>
  </w:p>
  <w:p w:rsidR="00166F38" w:rsidRDefault="00166F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97" w:rsidRDefault="00A94B97" w:rsidP="008174EA">
      <w:r>
        <w:separator/>
      </w:r>
    </w:p>
  </w:footnote>
  <w:footnote w:type="continuationSeparator" w:id="0">
    <w:p w:rsidR="00A94B97" w:rsidRDefault="00A94B97" w:rsidP="00817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24CA"/>
    <w:multiLevelType w:val="hybridMultilevel"/>
    <w:tmpl w:val="C32E33E6"/>
    <w:lvl w:ilvl="0" w:tplc="CB503572">
      <w:start w:val="1"/>
      <w:numFmt w:val="decimal"/>
      <w:lvlText w:val="%1)"/>
      <w:lvlJc w:val="left"/>
      <w:pPr>
        <w:ind w:left="555" w:hanging="555"/>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3D540E63"/>
    <w:multiLevelType w:val="hybridMultilevel"/>
    <w:tmpl w:val="D2DAA556"/>
    <w:lvl w:ilvl="0" w:tplc="AC3E78BA">
      <w:start w:val="1"/>
      <w:numFmt w:val="decimal"/>
      <w:lvlText w:val="%1)"/>
      <w:lvlJc w:val="left"/>
      <w:pPr>
        <w:ind w:left="1776" w:hanging="360"/>
      </w:pPr>
      <w:rPr>
        <w:rFonts w:cs="Times New Roman" w:hint="default"/>
        <w:b w:val="0"/>
        <w:i w:val="0"/>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abstractNum w:abstractNumId="2">
    <w:nsid w:val="3F2667C5"/>
    <w:multiLevelType w:val="hybridMultilevel"/>
    <w:tmpl w:val="8D8EF146"/>
    <w:lvl w:ilvl="0" w:tplc="45E271F0">
      <w:start w:val="1"/>
      <w:numFmt w:val="upperRoman"/>
      <w:lvlText w:val="%1)"/>
      <w:lvlJc w:val="left"/>
      <w:pPr>
        <w:ind w:left="1428" w:hanging="72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
    <w:nsid w:val="41163183"/>
    <w:multiLevelType w:val="hybridMultilevel"/>
    <w:tmpl w:val="94DC6022"/>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47263AEC"/>
    <w:multiLevelType w:val="hybridMultilevel"/>
    <w:tmpl w:val="6F548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347807"/>
    <w:multiLevelType w:val="hybridMultilevel"/>
    <w:tmpl w:val="57D63644"/>
    <w:lvl w:ilvl="0" w:tplc="42285DBC">
      <w:start w:val="1"/>
      <w:numFmt w:val="decimal"/>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6">
    <w:nsid w:val="508C562E"/>
    <w:multiLevelType w:val="hybridMultilevel"/>
    <w:tmpl w:val="C3341F8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55FF699B"/>
    <w:multiLevelType w:val="hybridMultilevel"/>
    <w:tmpl w:val="4712F628"/>
    <w:lvl w:ilvl="0" w:tplc="0C0A0001">
      <w:start w:val="1"/>
      <w:numFmt w:val="bullet"/>
      <w:lvlText w:val=""/>
      <w:lvlJc w:val="left"/>
      <w:pPr>
        <w:tabs>
          <w:tab w:val="num" w:pos="2520"/>
        </w:tabs>
        <w:ind w:left="2520" w:hanging="360"/>
      </w:pPr>
      <w:rPr>
        <w:rFonts w:ascii="Symbol" w:hAnsi="Symbol"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8">
    <w:nsid w:val="58FA3211"/>
    <w:multiLevelType w:val="hybridMultilevel"/>
    <w:tmpl w:val="80EC69D4"/>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604A4CA6"/>
    <w:multiLevelType w:val="hybridMultilevel"/>
    <w:tmpl w:val="B972BBCC"/>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1095886"/>
    <w:multiLevelType w:val="hybridMultilevel"/>
    <w:tmpl w:val="CA9A23A4"/>
    <w:lvl w:ilvl="0" w:tplc="7B2EF17C">
      <w:start w:val="4"/>
      <w:numFmt w:val="decimal"/>
      <w:lvlText w:val="%1"/>
      <w:lvlJc w:val="left"/>
      <w:pPr>
        <w:ind w:left="720" w:hanging="360"/>
      </w:pPr>
      <w:rPr>
        <w:rFonts w:hint="default"/>
        <w:b/>
        <w:i w:val="0"/>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636906EC"/>
    <w:multiLevelType w:val="hybridMultilevel"/>
    <w:tmpl w:val="C6A64B5E"/>
    <w:lvl w:ilvl="0" w:tplc="AC14123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67230663"/>
    <w:multiLevelType w:val="hybridMultilevel"/>
    <w:tmpl w:val="C6A64B5E"/>
    <w:lvl w:ilvl="0" w:tplc="AC14123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710E773D"/>
    <w:multiLevelType w:val="hybridMultilevel"/>
    <w:tmpl w:val="3C6ED12C"/>
    <w:lvl w:ilvl="0" w:tplc="380A0001">
      <w:start w:val="1"/>
      <w:numFmt w:val="bullet"/>
      <w:lvlText w:val=""/>
      <w:lvlJc w:val="left"/>
      <w:pPr>
        <w:ind w:left="1854" w:hanging="360"/>
      </w:pPr>
      <w:rPr>
        <w:rFonts w:ascii="Symbol" w:hAnsi="Symbol" w:hint="default"/>
      </w:rPr>
    </w:lvl>
    <w:lvl w:ilvl="1" w:tplc="380A0003" w:tentative="1">
      <w:start w:val="1"/>
      <w:numFmt w:val="bullet"/>
      <w:lvlText w:val="o"/>
      <w:lvlJc w:val="left"/>
      <w:pPr>
        <w:ind w:left="2574" w:hanging="360"/>
      </w:pPr>
      <w:rPr>
        <w:rFonts w:ascii="Courier New" w:hAnsi="Courier New" w:cs="Courier New" w:hint="default"/>
      </w:rPr>
    </w:lvl>
    <w:lvl w:ilvl="2" w:tplc="380A0005" w:tentative="1">
      <w:start w:val="1"/>
      <w:numFmt w:val="bullet"/>
      <w:lvlText w:val=""/>
      <w:lvlJc w:val="left"/>
      <w:pPr>
        <w:ind w:left="3294" w:hanging="360"/>
      </w:pPr>
      <w:rPr>
        <w:rFonts w:ascii="Wingdings" w:hAnsi="Wingdings" w:hint="default"/>
      </w:rPr>
    </w:lvl>
    <w:lvl w:ilvl="3" w:tplc="380A0001" w:tentative="1">
      <w:start w:val="1"/>
      <w:numFmt w:val="bullet"/>
      <w:lvlText w:val=""/>
      <w:lvlJc w:val="left"/>
      <w:pPr>
        <w:ind w:left="4014" w:hanging="360"/>
      </w:pPr>
      <w:rPr>
        <w:rFonts w:ascii="Symbol" w:hAnsi="Symbol" w:hint="default"/>
      </w:rPr>
    </w:lvl>
    <w:lvl w:ilvl="4" w:tplc="380A0003" w:tentative="1">
      <w:start w:val="1"/>
      <w:numFmt w:val="bullet"/>
      <w:lvlText w:val="o"/>
      <w:lvlJc w:val="left"/>
      <w:pPr>
        <w:ind w:left="4734" w:hanging="360"/>
      </w:pPr>
      <w:rPr>
        <w:rFonts w:ascii="Courier New" w:hAnsi="Courier New" w:cs="Courier New" w:hint="default"/>
      </w:rPr>
    </w:lvl>
    <w:lvl w:ilvl="5" w:tplc="380A0005" w:tentative="1">
      <w:start w:val="1"/>
      <w:numFmt w:val="bullet"/>
      <w:lvlText w:val=""/>
      <w:lvlJc w:val="left"/>
      <w:pPr>
        <w:ind w:left="5454" w:hanging="360"/>
      </w:pPr>
      <w:rPr>
        <w:rFonts w:ascii="Wingdings" w:hAnsi="Wingdings" w:hint="default"/>
      </w:rPr>
    </w:lvl>
    <w:lvl w:ilvl="6" w:tplc="380A0001" w:tentative="1">
      <w:start w:val="1"/>
      <w:numFmt w:val="bullet"/>
      <w:lvlText w:val=""/>
      <w:lvlJc w:val="left"/>
      <w:pPr>
        <w:ind w:left="6174" w:hanging="360"/>
      </w:pPr>
      <w:rPr>
        <w:rFonts w:ascii="Symbol" w:hAnsi="Symbol" w:hint="default"/>
      </w:rPr>
    </w:lvl>
    <w:lvl w:ilvl="7" w:tplc="380A0003" w:tentative="1">
      <w:start w:val="1"/>
      <w:numFmt w:val="bullet"/>
      <w:lvlText w:val="o"/>
      <w:lvlJc w:val="left"/>
      <w:pPr>
        <w:ind w:left="6894" w:hanging="360"/>
      </w:pPr>
      <w:rPr>
        <w:rFonts w:ascii="Courier New" w:hAnsi="Courier New" w:cs="Courier New" w:hint="default"/>
      </w:rPr>
    </w:lvl>
    <w:lvl w:ilvl="8" w:tplc="380A0005" w:tentative="1">
      <w:start w:val="1"/>
      <w:numFmt w:val="bullet"/>
      <w:lvlText w:val=""/>
      <w:lvlJc w:val="left"/>
      <w:pPr>
        <w:ind w:left="7614" w:hanging="360"/>
      </w:pPr>
      <w:rPr>
        <w:rFonts w:ascii="Wingdings" w:hAnsi="Wingdings" w:hint="default"/>
      </w:rPr>
    </w:lvl>
  </w:abstractNum>
  <w:abstractNum w:abstractNumId="14">
    <w:nsid w:val="7F024BE9"/>
    <w:multiLevelType w:val="hybridMultilevel"/>
    <w:tmpl w:val="EA4E50D8"/>
    <w:lvl w:ilvl="0" w:tplc="0C0A0001">
      <w:start w:val="1"/>
      <w:numFmt w:val="bullet"/>
      <w:lvlText w:val=""/>
      <w:lvlJc w:val="left"/>
      <w:pPr>
        <w:tabs>
          <w:tab w:val="num" w:pos="720"/>
        </w:tabs>
        <w:ind w:left="720" w:hanging="360"/>
      </w:pPr>
      <w:rPr>
        <w:rFonts w:ascii="Symbol" w:hAnsi="Symbol" w:hint="default"/>
      </w:rPr>
    </w:lvl>
    <w:lvl w:ilvl="1" w:tplc="EA6CF950">
      <w:start w:val="2"/>
      <w:numFmt w:val="bullet"/>
      <w:lvlText w:val="-"/>
      <w:lvlJc w:val="left"/>
      <w:pPr>
        <w:tabs>
          <w:tab w:val="num" w:pos="1440"/>
        </w:tabs>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7"/>
  </w:num>
  <w:num w:numId="6">
    <w:abstractNumId w:val="14"/>
  </w:num>
  <w:num w:numId="7">
    <w:abstractNumId w:val="5"/>
  </w:num>
  <w:num w:numId="8">
    <w:abstractNumId w:val="9"/>
  </w:num>
  <w:num w:numId="9">
    <w:abstractNumId w:val="3"/>
  </w:num>
  <w:num w:numId="10">
    <w:abstractNumId w:val="12"/>
  </w:num>
  <w:num w:numId="11">
    <w:abstractNumId w:val="11"/>
  </w:num>
  <w:num w:numId="12">
    <w:abstractNumId w:val="0"/>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2C"/>
    <w:rsid w:val="00015B96"/>
    <w:rsid w:val="000178A9"/>
    <w:rsid w:val="000203BD"/>
    <w:rsid w:val="0002198B"/>
    <w:rsid w:val="000271FB"/>
    <w:rsid w:val="00030D58"/>
    <w:rsid w:val="00041C1A"/>
    <w:rsid w:val="000561CE"/>
    <w:rsid w:val="00064DCD"/>
    <w:rsid w:val="00094D58"/>
    <w:rsid w:val="000B0E79"/>
    <w:rsid w:val="000B3382"/>
    <w:rsid w:val="000B3949"/>
    <w:rsid w:val="000D4577"/>
    <w:rsid w:val="000F14B1"/>
    <w:rsid w:val="000F1E5C"/>
    <w:rsid w:val="000F2F8D"/>
    <w:rsid w:val="000F5063"/>
    <w:rsid w:val="00113E26"/>
    <w:rsid w:val="0011702E"/>
    <w:rsid w:val="00117940"/>
    <w:rsid w:val="0013190C"/>
    <w:rsid w:val="001369EA"/>
    <w:rsid w:val="00142088"/>
    <w:rsid w:val="00147C12"/>
    <w:rsid w:val="00152818"/>
    <w:rsid w:val="001542B5"/>
    <w:rsid w:val="001624B9"/>
    <w:rsid w:val="00166F38"/>
    <w:rsid w:val="0017174D"/>
    <w:rsid w:val="001B5CE6"/>
    <w:rsid w:val="001C7823"/>
    <w:rsid w:val="001D7571"/>
    <w:rsid w:val="001E2770"/>
    <w:rsid w:val="001E48ED"/>
    <w:rsid w:val="001E4DF1"/>
    <w:rsid w:val="001F74A1"/>
    <w:rsid w:val="0020799A"/>
    <w:rsid w:val="002227C7"/>
    <w:rsid w:val="0023199F"/>
    <w:rsid w:val="0024209D"/>
    <w:rsid w:val="00243EF5"/>
    <w:rsid w:val="0025545F"/>
    <w:rsid w:val="00255DCC"/>
    <w:rsid w:val="00275088"/>
    <w:rsid w:val="00277D5F"/>
    <w:rsid w:val="002C72A1"/>
    <w:rsid w:val="002D516F"/>
    <w:rsid w:val="002E1A32"/>
    <w:rsid w:val="002F22A2"/>
    <w:rsid w:val="002F6C00"/>
    <w:rsid w:val="00302B36"/>
    <w:rsid w:val="0031078F"/>
    <w:rsid w:val="003428CC"/>
    <w:rsid w:val="00352067"/>
    <w:rsid w:val="003642F9"/>
    <w:rsid w:val="003673AE"/>
    <w:rsid w:val="00373862"/>
    <w:rsid w:val="0037446E"/>
    <w:rsid w:val="00380414"/>
    <w:rsid w:val="00384FA4"/>
    <w:rsid w:val="00386FF9"/>
    <w:rsid w:val="00391B5E"/>
    <w:rsid w:val="00392882"/>
    <w:rsid w:val="003A64D7"/>
    <w:rsid w:val="003A6A98"/>
    <w:rsid w:val="003C0311"/>
    <w:rsid w:val="003D2821"/>
    <w:rsid w:val="003D3612"/>
    <w:rsid w:val="003D57BC"/>
    <w:rsid w:val="003F55F5"/>
    <w:rsid w:val="00401D01"/>
    <w:rsid w:val="00421656"/>
    <w:rsid w:val="004515EA"/>
    <w:rsid w:val="0047341C"/>
    <w:rsid w:val="00484EC7"/>
    <w:rsid w:val="0048721E"/>
    <w:rsid w:val="00495B86"/>
    <w:rsid w:val="004A07B5"/>
    <w:rsid w:val="004B2357"/>
    <w:rsid w:val="004B269B"/>
    <w:rsid w:val="004C2A2A"/>
    <w:rsid w:val="00505D14"/>
    <w:rsid w:val="0050694E"/>
    <w:rsid w:val="00512AB8"/>
    <w:rsid w:val="0052383D"/>
    <w:rsid w:val="005254DA"/>
    <w:rsid w:val="00540757"/>
    <w:rsid w:val="005639FA"/>
    <w:rsid w:val="00565981"/>
    <w:rsid w:val="0057260A"/>
    <w:rsid w:val="00575C13"/>
    <w:rsid w:val="0057741D"/>
    <w:rsid w:val="00591601"/>
    <w:rsid w:val="005947E5"/>
    <w:rsid w:val="00594D92"/>
    <w:rsid w:val="005C0EF0"/>
    <w:rsid w:val="005C1F73"/>
    <w:rsid w:val="005E2A18"/>
    <w:rsid w:val="005E4C48"/>
    <w:rsid w:val="005F28A9"/>
    <w:rsid w:val="005F520E"/>
    <w:rsid w:val="00627113"/>
    <w:rsid w:val="00636E07"/>
    <w:rsid w:val="00636FC7"/>
    <w:rsid w:val="006433F5"/>
    <w:rsid w:val="006538D3"/>
    <w:rsid w:val="00673CF9"/>
    <w:rsid w:val="00674909"/>
    <w:rsid w:val="006A69D9"/>
    <w:rsid w:val="006B2998"/>
    <w:rsid w:val="006C3787"/>
    <w:rsid w:val="006C7DBB"/>
    <w:rsid w:val="006E70DC"/>
    <w:rsid w:val="006F6124"/>
    <w:rsid w:val="006F73B3"/>
    <w:rsid w:val="00710B8E"/>
    <w:rsid w:val="007230D8"/>
    <w:rsid w:val="007371DC"/>
    <w:rsid w:val="00743B2C"/>
    <w:rsid w:val="00760BCD"/>
    <w:rsid w:val="0076204C"/>
    <w:rsid w:val="00790CD9"/>
    <w:rsid w:val="007B0513"/>
    <w:rsid w:val="007B0A94"/>
    <w:rsid w:val="007C0CFE"/>
    <w:rsid w:val="007C3904"/>
    <w:rsid w:val="007D08CC"/>
    <w:rsid w:val="007E0DCD"/>
    <w:rsid w:val="007F3FCD"/>
    <w:rsid w:val="007F5B12"/>
    <w:rsid w:val="00804E21"/>
    <w:rsid w:val="008168B2"/>
    <w:rsid w:val="008174EA"/>
    <w:rsid w:val="008326B5"/>
    <w:rsid w:val="008329F1"/>
    <w:rsid w:val="00841AD4"/>
    <w:rsid w:val="00845268"/>
    <w:rsid w:val="00850990"/>
    <w:rsid w:val="008579A1"/>
    <w:rsid w:val="00865735"/>
    <w:rsid w:val="00870F22"/>
    <w:rsid w:val="00871C76"/>
    <w:rsid w:val="008A0EAE"/>
    <w:rsid w:val="008A2038"/>
    <w:rsid w:val="008A7446"/>
    <w:rsid w:val="008C2423"/>
    <w:rsid w:val="008C3260"/>
    <w:rsid w:val="008D625B"/>
    <w:rsid w:val="00902499"/>
    <w:rsid w:val="00905A56"/>
    <w:rsid w:val="00912B8C"/>
    <w:rsid w:val="00933FFC"/>
    <w:rsid w:val="00934C4A"/>
    <w:rsid w:val="00935ED9"/>
    <w:rsid w:val="009365EB"/>
    <w:rsid w:val="0094066C"/>
    <w:rsid w:val="00941F67"/>
    <w:rsid w:val="00946521"/>
    <w:rsid w:val="009563C8"/>
    <w:rsid w:val="0099662C"/>
    <w:rsid w:val="009A36C2"/>
    <w:rsid w:val="009A7CFA"/>
    <w:rsid w:val="009B1F70"/>
    <w:rsid w:val="009E24A7"/>
    <w:rsid w:val="009E2993"/>
    <w:rsid w:val="009E35F4"/>
    <w:rsid w:val="009F064C"/>
    <w:rsid w:val="00A046AB"/>
    <w:rsid w:val="00A12535"/>
    <w:rsid w:val="00A409CF"/>
    <w:rsid w:val="00A45F6D"/>
    <w:rsid w:val="00A568EA"/>
    <w:rsid w:val="00A56E5C"/>
    <w:rsid w:val="00A64DE1"/>
    <w:rsid w:val="00A66173"/>
    <w:rsid w:val="00A70A2C"/>
    <w:rsid w:val="00A85991"/>
    <w:rsid w:val="00A94B97"/>
    <w:rsid w:val="00A96E75"/>
    <w:rsid w:val="00AB56E6"/>
    <w:rsid w:val="00AC5B97"/>
    <w:rsid w:val="00AD498D"/>
    <w:rsid w:val="00AE3769"/>
    <w:rsid w:val="00B054F9"/>
    <w:rsid w:val="00B13B2F"/>
    <w:rsid w:val="00B17E07"/>
    <w:rsid w:val="00B25871"/>
    <w:rsid w:val="00B3372B"/>
    <w:rsid w:val="00B36F26"/>
    <w:rsid w:val="00B505F0"/>
    <w:rsid w:val="00B51A33"/>
    <w:rsid w:val="00B53B67"/>
    <w:rsid w:val="00B559BD"/>
    <w:rsid w:val="00B7166F"/>
    <w:rsid w:val="00B9764E"/>
    <w:rsid w:val="00BB6277"/>
    <w:rsid w:val="00BD6BC5"/>
    <w:rsid w:val="00BE1126"/>
    <w:rsid w:val="00BE6091"/>
    <w:rsid w:val="00BE63CF"/>
    <w:rsid w:val="00BE78B4"/>
    <w:rsid w:val="00C05D0E"/>
    <w:rsid w:val="00C06254"/>
    <w:rsid w:val="00C150FE"/>
    <w:rsid w:val="00C23F3C"/>
    <w:rsid w:val="00C303F1"/>
    <w:rsid w:val="00C32AD7"/>
    <w:rsid w:val="00C33F75"/>
    <w:rsid w:val="00C41DC3"/>
    <w:rsid w:val="00C479B6"/>
    <w:rsid w:val="00C578AE"/>
    <w:rsid w:val="00C6166C"/>
    <w:rsid w:val="00C630F6"/>
    <w:rsid w:val="00C669F1"/>
    <w:rsid w:val="00C7644E"/>
    <w:rsid w:val="00C80508"/>
    <w:rsid w:val="00CC2D45"/>
    <w:rsid w:val="00CC5A41"/>
    <w:rsid w:val="00CE3B42"/>
    <w:rsid w:val="00CF0683"/>
    <w:rsid w:val="00CF7B93"/>
    <w:rsid w:val="00D019A4"/>
    <w:rsid w:val="00D04C18"/>
    <w:rsid w:val="00D07F64"/>
    <w:rsid w:val="00D13694"/>
    <w:rsid w:val="00D16252"/>
    <w:rsid w:val="00D16918"/>
    <w:rsid w:val="00D16A6D"/>
    <w:rsid w:val="00D21B85"/>
    <w:rsid w:val="00D30463"/>
    <w:rsid w:val="00D368D8"/>
    <w:rsid w:val="00D41C5A"/>
    <w:rsid w:val="00D608D0"/>
    <w:rsid w:val="00D66C97"/>
    <w:rsid w:val="00DE6679"/>
    <w:rsid w:val="00E04FDD"/>
    <w:rsid w:val="00E3353D"/>
    <w:rsid w:val="00E44822"/>
    <w:rsid w:val="00E53A08"/>
    <w:rsid w:val="00E70976"/>
    <w:rsid w:val="00E71C89"/>
    <w:rsid w:val="00E75949"/>
    <w:rsid w:val="00E82989"/>
    <w:rsid w:val="00E97E3A"/>
    <w:rsid w:val="00EA19B7"/>
    <w:rsid w:val="00EA5D83"/>
    <w:rsid w:val="00EC35D2"/>
    <w:rsid w:val="00EC6DDA"/>
    <w:rsid w:val="00EC7A4A"/>
    <w:rsid w:val="00ED1B66"/>
    <w:rsid w:val="00ED7498"/>
    <w:rsid w:val="00F07C11"/>
    <w:rsid w:val="00F24FAA"/>
    <w:rsid w:val="00F3459B"/>
    <w:rsid w:val="00F4022A"/>
    <w:rsid w:val="00F41B54"/>
    <w:rsid w:val="00F42D13"/>
    <w:rsid w:val="00F5483B"/>
    <w:rsid w:val="00F615B6"/>
    <w:rsid w:val="00F71984"/>
    <w:rsid w:val="00F92A45"/>
    <w:rsid w:val="00FA6385"/>
    <w:rsid w:val="00FA77F6"/>
    <w:rsid w:val="00FB3E3A"/>
    <w:rsid w:val="00FC16D6"/>
    <w:rsid w:val="00FC769A"/>
    <w:rsid w:val="00FE377C"/>
    <w:rsid w:val="00FF1E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70"/>
    <w:rPr>
      <w:rFonts w:ascii="Times New Roman" w:eastAsia="Times New Roman" w:hAnsi="Times New Roman"/>
      <w:sz w:val="24"/>
      <w:szCs w:val="24"/>
      <w:lang w:val="es-ES" w:eastAsia="es-ES"/>
    </w:rPr>
  </w:style>
  <w:style w:type="paragraph" w:styleId="Ttulo2">
    <w:name w:val="heading 2"/>
    <w:basedOn w:val="Normal"/>
    <w:next w:val="Normal"/>
    <w:link w:val="Ttulo2Car"/>
    <w:qFormat/>
    <w:locked/>
    <w:rsid w:val="00C41DC3"/>
    <w:pPr>
      <w:keepNext/>
      <w:jc w:val="center"/>
      <w:outlineLvl w:val="1"/>
    </w:pPr>
    <w:rPr>
      <w:rFonts w:ascii="Arial" w:hAnsi="Arial" w:cs="Arial"/>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E2993"/>
    <w:pPr>
      <w:ind w:left="720"/>
      <w:contextualSpacing/>
    </w:pPr>
  </w:style>
  <w:style w:type="paragraph" w:styleId="Textoindependiente">
    <w:name w:val="Body Text"/>
    <w:basedOn w:val="Normal"/>
    <w:link w:val="TextoindependienteCar"/>
    <w:uiPriority w:val="99"/>
    <w:rsid w:val="006A69D9"/>
    <w:pPr>
      <w:spacing w:line="360" w:lineRule="auto"/>
      <w:jc w:val="both"/>
    </w:pPr>
    <w:rPr>
      <w:rFonts w:ascii="Arial" w:hAnsi="Arial" w:cs="Arial"/>
      <w:bCs/>
      <w:color w:val="000000"/>
      <w:szCs w:val="20"/>
      <w:u w:val="single"/>
      <w:lang w:val="es-ES_tradnl"/>
    </w:rPr>
  </w:style>
  <w:style w:type="character" w:customStyle="1" w:styleId="TextoindependienteCar">
    <w:name w:val="Texto independiente Car"/>
    <w:link w:val="Textoindependiente"/>
    <w:uiPriority w:val="99"/>
    <w:locked/>
    <w:rsid w:val="006A69D9"/>
    <w:rPr>
      <w:rFonts w:ascii="Arial" w:hAnsi="Arial" w:cs="Arial"/>
      <w:bCs/>
      <w:color w:val="000000"/>
      <w:sz w:val="20"/>
      <w:szCs w:val="20"/>
      <w:u w:val="single"/>
      <w:lang w:val="es-ES_tradnl" w:eastAsia="es-ES"/>
    </w:rPr>
  </w:style>
  <w:style w:type="paragraph" w:styleId="Ttulo">
    <w:name w:val="Title"/>
    <w:basedOn w:val="Normal"/>
    <w:link w:val="TtuloCar"/>
    <w:qFormat/>
    <w:rsid w:val="00030D58"/>
    <w:pPr>
      <w:spacing w:line="360" w:lineRule="auto"/>
      <w:jc w:val="center"/>
    </w:pPr>
    <w:rPr>
      <w:rFonts w:ascii="Arial" w:hAnsi="Arial"/>
      <w:b/>
      <w:u w:val="single"/>
      <w:lang w:val="es-UY"/>
    </w:rPr>
  </w:style>
  <w:style w:type="character" w:customStyle="1" w:styleId="TtuloCar">
    <w:name w:val="Título Car"/>
    <w:link w:val="Ttulo"/>
    <w:uiPriority w:val="99"/>
    <w:locked/>
    <w:rsid w:val="00030D58"/>
    <w:rPr>
      <w:rFonts w:ascii="Arial" w:hAnsi="Arial" w:cs="Times New Roman"/>
      <w:b/>
      <w:sz w:val="24"/>
      <w:szCs w:val="24"/>
      <w:u w:val="single"/>
      <w:lang w:val="es-UY" w:eastAsia="es-ES"/>
    </w:rPr>
  </w:style>
  <w:style w:type="paragraph" w:styleId="Encabezado">
    <w:name w:val="header"/>
    <w:basedOn w:val="Normal"/>
    <w:link w:val="EncabezadoCar"/>
    <w:uiPriority w:val="99"/>
    <w:rsid w:val="008174EA"/>
    <w:pPr>
      <w:tabs>
        <w:tab w:val="center" w:pos="4252"/>
        <w:tab w:val="right" w:pos="8504"/>
      </w:tabs>
    </w:pPr>
  </w:style>
  <w:style w:type="character" w:customStyle="1" w:styleId="EncabezadoCar">
    <w:name w:val="Encabezado Car"/>
    <w:link w:val="Encabezado"/>
    <w:uiPriority w:val="99"/>
    <w:locked/>
    <w:rsid w:val="008174EA"/>
    <w:rPr>
      <w:rFonts w:ascii="Times New Roman" w:hAnsi="Times New Roman" w:cs="Times New Roman"/>
      <w:sz w:val="24"/>
      <w:szCs w:val="24"/>
      <w:lang w:eastAsia="es-ES"/>
    </w:rPr>
  </w:style>
  <w:style w:type="paragraph" w:styleId="Piedepgina">
    <w:name w:val="footer"/>
    <w:basedOn w:val="Normal"/>
    <w:link w:val="PiedepginaCar"/>
    <w:uiPriority w:val="99"/>
    <w:rsid w:val="008174EA"/>
    <w:pPr>
      <w:tabs>
        <w:tab w:val="center" w:pos="4252"/>
        <w:tab w:val="right" w:pos="8504"/>
      </w:tabs>
    </w:pPr>
  </w:style>
  <w:style w:type="character" w:customStyle="1" w:styleId="PiedepginaCar">
    <w:name w:val="Pie de página Car"/>
    <w:link w:val="Piedepgina"/>
    <w:uiPriority w:val="99"/>
    <w:locked/>
    <w:rsid w:val="008174EA"/>
    <w:rPr>
      <w:rFonts w:ascii="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D30463"/>
    <w:pPr>
      <w:spacing w:after="120" w:line="480" w:lineRule="auto"/>
      <w:ind w:left="283"/>
    </w:pPr>
  </w:style>
  <w:style w:type="character" w:customStyle="1" w:styleId="Sangra2detindependienteCar">
    <w:name w:val="Sangría 2 de t. independiente Car"/>
    <w:link w:val="Sangra2detindependiente"/>
    <w:uiPriority w:val="99"/>
    <w:semiHidden/>
    <w:rsid w:val="00D30463"/>
    <w:rPr>
      <w:rFonts w:ascii="Times New Roman" w:eastAsia="Times New Roman" w:hAnsi="Times New Roman"/>
      <w:sz w:val="24"/>
      <w:szCs w:val="24"/>
    </w:rPr>
  </w:style>
  <w:style w:type="character" w:customStyle="1" w:styleId="Ttulo2Car">
    <w:name w:val="Título 2 Car"/>
    <w:link w:val="Ttulo2"/>
    <w:rsid w:val="00C41DC3"/>
    <w:rPr>
      <w:rFonts w:ascii="Arial" w:eastAsia="Times New Roman" w:hAnsi="Arial" w:cs="Arial"/>
      <w:b/>
      <w:color w:val="000000"/>
      <w:sz w:val="24"/>
      <w:szCs w:val="20"/>
      <w:lang w:val="es-ES_tradnl"/>
    </w:rPr>
  </w:style>
  <w:style w:type="paragraph" w:styleId="Textodeglobo">
    <w:name w:val="Balloon Text"/>
    <w:basedOn w:val="Normal"/>
    <w:link w:val="TextodegloboCar"/>
    <w:uiPriority w:val="99"/>
    <w:semiHidden/>
    <w:unhideWhenUsed/>
    <w:rsid w:val="0047341C"/>
    <w:rPr>
      <w:rFonts w:ascii="Tahoma" w:hAnsi="Tahoma" w:cs="Tahoma"/>
      <w:sz w:val="16"/>
      <w:szCs w:val="16"/>
    </w:rPr>
  </w:style>
  <w:style w:type="character" w:customStyle="1" w:styleId="TextodegloboCar">
    <w:name w:val="Texto de globo Car"/>
    <w:link w:val="Textodeglobo"/>
    <w:uiPriority w:val="99"/>
    <w:semiHidden/>
    <w:rsid w:val="004734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70"/>
    <w:rPr>
      <w:rFonts w:ascii="Times New Roman" w:eastAsia="Times New Roman" w:hAnsi="Times New Roman"/>
      <w:sz w:val="24"/>
      <w:szCs w:val="24"/>
      <w:lang w:val="es-ES" w:eastAsia="es-ES"/>
    </w:rPr>
  </w:style>
  <w:style w:type="paragraph" w:styleId="Ttulo2">
    <w:name w:val="heading 2"/>
    <w:basedOn w:val="Normal"/>
    <w:next w:val="Normal"/>
    <w:link w:val="Ttulo2Car"/>
    <w:qFormat/>
    <w:locked/>
    <w:rsid w:val="00C41DC3"/>
    <w:pPr>
      <w:keepNext/>
      <w:jc w:val="center"/>
      <w:outlineLvl w:val="1"/>
    </w:pPr>
    <w:rPr>
      <w:rFonts w:ascii="Arial" w:hAnsi="Arial" w:cs="Arial"/>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E2993"/>
    <w:pPr>
      <w:ind w:left="720"/>
      <w:contextualSpacing/>
    </w:pPr>
  </w:style>
  <w:style w:type="paragraph" w:styleId="Textoindependiente">
    <w:name w:val="Body Text"/>
    <w:basedOn w:val="Normal"/>
    <w:link w:val="TextoindependienteCar"/>
    <w:uiPriority w:val="99"/>
    <w:rsid w:val="006A69D9"/>
    <w:pPr>
      <w:spacing w:line="360" w:lineRule="auto"/>
      <w:jc w:val="both"/>
    </w:pPr>
    <w:rPr>
      <w:rFonts w:ascii="Arial" w:hAnsi="Arial" w:cs="Arial"/>
      <w:bCs/>
      <w:color w:val="000000"/>
      <w:szCs w:val="20"/>
      <w:u w:val="single"/>
      <w:lang w:val="es-ES_tradnl"/>
    </w:rPr>
  </w:style>
  <w:style w:type="character" w:customStyle="1" w:styleId="TextoindependienteCar">
    <w:name w:val="Texto independiente Car"/>
    <w:link w:val="Textoindependiente"/>
    <w:uiPriority w:val="99"/>
    <w:locked/>
    <w:rsid w:val="006A69D9"/>
    <w:rPr>
      <w:rFonts w:ascii="Arial" w:hAnsi="Arial" w:cs="Arial"/>
      <w:bCs/>
      <w:color w:val="000000"/>
      <w:sz w:val="20"/>
      <w:szCs w:val="20"/>
      <w:u w:val="single"/>
      <w:lang w:val="es-ES_tradnl" w:eastAsia="es-ES"/>
    </w:rPr>
  </w:style>
  <w:style w:type="paragraph" w:styleId="Ttulo">
    <w:name w:val="Title"/>
    <w:basedOn w:val="Normal"/>
    <w:link w:val="TtuloCar"/>
    <w:qFormat/>
    <w:rsid w:val="00030D58"/>
    <w:pPr>
      <w:spacing w:line="360" w:lineRule="auto"/>
      <w:jc w:val="center"/>
    </w:pPr>
    <w:rPr>
      <w:rFonts w:ascii="Arial" w:hAnsi="Arial"/>
      <w:b/>
      <w:u w:val="single"/>
      <w:lang w:val="es-UY"/>
    </w:rPr>
  </w:style>
  <w:style w:type="character" w:customStyle="1" w:styleId="TtuloCar">
    <w:name w:val="Título Car"/>
    <w:link w:val="Ttulo"/>
    <w:uiPriority w:val="99"/>
    <w:locked/>
    <w:rsid w:val="00030D58"/>
    <w:rPr>
      <w:rFonts w:ascii="Arial" w:hAnsi="Arial" w:cs="Times New Roman"/>
      <w:b/>
      <w:sz w:val="24"/>
      <w:szCs w:val="24"/>
      <w:u w:val="single"/>
      <w:lang w:val="es-UY" w:eastAsia="es-ES"/>
    </w:rPr>
  </w:style>
  <w:style w:type="paragraph" w:styleId="Encabezado">
    <w:name w:val="header"/>
    <w:basedOn w:val="Normal"/>
    <w:link w:val="EncabezadoCar"/>
    <w:uiPriority w:val="99"/>
    <w:rsid w:val="008174EA"/>
    <w:pPr>
      <w:tabs>
        <w:tab w:val="center" w:pos="4252"/>
        <w:tab w:val="right" w:pos="8504"/>
      </w:tabs>
    </w:pPr>
  </w:style>
  <w:style w:type="character" w:customStyle="1" w:styleId="EncabezadoCar">
    <w:name w:val="Encabezado Car"/>
    <w:link w:val="Encabezado"/>
    <w:uiPriority w:val="99"/>
    <w:locked/>
    <w:rsid w:val="008174EA"/>
    <w:rPr>
      <w:rFonts w:ascii="Times New Roman" w:hAnsi="Times New Roman" w:cs="Times New Roman"/>
      <w:sz w:val="24"/>
      <w:szCs w:val="24"/>
      <w:lang w:eastAsia="es-ES"/>
    </w:rPr>
  </w:style>
  <w:style w:type="paragraph" w:styleId="Piedepgina">
    <w:name w:val="footer"/>
    <w:basedOn w:val="Normal"/>
    <w:link w:val="PiedepginaCar"/>
    <w:uiPriority w:val="99"/>
    <w:rsid w:val="008174EA"/>
    <w:pPr>
      <w:tabs>
        <w:tab w:val="center" w:pos="4252"/>
        <w:tab w:val="right" w:pos="8504"/>
      </w:tabs>
    </w:pPr>
  </w:style>
  <w:style w:type="character" w:customStyle="1" w:styleId="PiedepginaCar">
    <w:name w:val="Pie de página Car"/>
    <w:link w:val="Piedepgina"/>
    <w:uiPriority w:val="99"/>
    <w:locked/>
    <w:rsid w:val="008174EA"/>
    <w:rPr>
      <w:rFonts w:ascii="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D30463"/>
    <w:pPr>
      <w:spacing w:after="120" w:line="480" w:lineRule="auto"/>
      <w:ind w:left="283"/>
    </w:pPr>
  </w:style>
  <w:style w:type="character" w:customStyle="1" w:styleId="Sangra2detindependienteCar">
    <w:name w:val="Sangría 2 de t. independiente Car"/>
    <w:link w:val="Sangra2detindependiente"/>
    <w:uiPriority w:val="99"/>
    <w:semiHidden/>
    <w:rsid w:val="00D30463"/>
    <w:rPr>
      <w:rFonts w:ascii="Times New Roman" w:eastAsia="Times New Roman" w:hAnsi="Times New Roman"/>
      <w:sz w:val="24"/>
      <w:szCs w:val="24"/>
    </w:rPr>
  </w:style>
  <w:style w:type="character" w:customStyle="1" w:styleId="Ttulo2Car">
    <w:name w:val="Título 2 Car"/>
    <w:link w:val="Ttulo2"/>
    <w:rsid w:val="00C41DC3"/>
    <w:rPr>
      <w:rFonts w:ascii="Arial" w:eastAsia="Times New Roman" w:hAnsi="Arial" w:cs="Arial"/>
      <w:b/>
      <w:color w:val="000000"/>
      <w:sz w:val="24"/>
      <w:szCs w:val="20"/>
      <w:lang w:val="es-ES_tradnl"/>
    </w:rPr>
  </w:style>
  <w:style w:type="paragraph" w:styleId="Textodeglobo">
    <w:name w:val="Balloon Text"/>
    <w:basedOn w:val="Normal"/>
    <w:link w:val="TextodegloboCar"/>
    <w:uiPriority w:val="99"/>
    <w:semiHidden/>
    <w:unhideWhenUsed/>
    <w:rsid w:val="0047341C"/>
    <w:rPr>
      <w:rFonts w:ascii="Tahoma" w:hAnsi="Tahoma" w:cs="Tahoma"/>
      <w:sz w:val="16"/>
      <w:szCs w:val="16"/>
    </w:rPr>
  </w:style>
  <w:style w:type="character" w:customStyle="1" w:styleId="TextodegloboCar">
    <w:name w:val="Texto de globo Car"/>
    <w:link w:val="Textodeglobo"/>
    <w:uiPriority w:val="99"/>
    <w:semiHidden/>
    <w:rsid w:val="004734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1289</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CARPETA Nº: 2013-17-1-0004124</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2013-17-1-0004124</dc:title>
  <dc:creator>Tribunal1</dc:creator>
  <cp:lastModifiedBy>Adrian Acosta</cp:lastModifiedBy>
  <cp:revision>8</cp:revision>
  <cp:lastPrinted>2019-06-03T17:51:00Z</cp:lastPrinted>
  <dcterms:created xsi:type="dcterms:W3CDTF">2019-06-03T14:49:00Z</dcterms:created>
  <dcterms:modified xsi:type="dcterms:W3CDTF">2019-06-03T17:51:00Z</dcterms:modified>
</cp:coreProperties>
</file>