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789" w:rsidRPr="00786EEB" w:rsidRDefault="00341789"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1286</w:t>
      </w:r>
      <w:bookmarkStart w:id="0" w:name="_GoBack"/>
      <w:bookmarkEnd w:id="0"/>
      <w:r>
        <w:rPr>
          <w:rFonts w:ascii="Arial" w:hAnsi="Arial" w:cs="Arial"/>
          <w:b/>
          <w:sz w:val="28"/>
          <w:szCs w:val="28"/>
          <w:lang w:val="es-ES_tradnl"/>
        </w:rPr>
        <w:t>/19</w:t>
      </w:r>
    </w:p>
    <w:p w:rsidR="00341789" w:rsidRDefault="00341789" w:rsidP="00786EEB">
      <w:pPr>
        <w:tabs>
          <w:tab w:val="center" w:pos="4253"/>
        </w:tabs>
        <w:suppressAutoHyphens/>
        <w:jc w:val="right"/>
        <w:rPr>
          <w:rFonts w:ascii="Arial" w:hAnsi="Arial" w:cs="Arial"/>
          <w:b/>
          <w:lang w:val="es-ES_tradnl"/>
        </w:rPr>
      </w:pPr>
    </w:p>
    <w:p w:rsidR="00341789" w:rsidRPr="00762B34" w:rsidRDefault="00341789">
      <w:pPr>
        <w:tabs>
          <w:tab w:val="center" w:pos="4253"/>
        </w:tabs>
        <w:suppressAutoHyphens/>
        <w:jc w:val="center"/>
        <w:rPr>
          <w:rFonts w:ascii="Arial" w:hAnsi="Arial" w:cs="Arial"/>
          <w:b/>
          <w:lang w:val="es-ES_tradnl"/>
        </w:rPr>
      </w:pPr>
      <w:r w:rsidRPr="00762B34">
        <w:rPr>
          <w:rFonts w:ascii="Arial" w:hAnsi="Arial" w:cs="Arial"/>
          <w:b/>
          <w:lang w:val="es-ES_tradnl"/>
        </w:rPr>
        <w:t>RESOLUCION ADOPTADA POR EL</w:t>
      </w:r>
    </w:p>
    <w:p w:rsidR="00341789" w:rsidRPr="00762B34" w:rsidRDefault="00341789">
      <w:pPr>
        <w:tabs>
          <w:tab w:val="left" w:pos="-720"/>
        </w:tabs>
        <w:suppressAutoHyphens/>
        <w:jc w:val="center"/>
        <w:rPr>
          <w:rFonts w:ascii="Arial" w:hAnsi="Arial" w:cs="Arial"/>
          <w:b/>
          <w:lang w:val="es-ES_tradnl"/>
        </w:rPr>
      </w:pPr>
    </w:p>
    <w:p w:rsidR="00341789" w:rsidRPr="00762B34" w:rsidRDefault="00341789">
      <w:pPr>
        <w:tabs>
          <w:tab w:val="center" w:pos="4253"/>
        </w:tabs>
        <w:suppressAutoHyphens/>
        <w:jc w:val="center"/>
        <w:rPr>
          <w:rFonts w:ascii="Arial" w:hAnsi="Arial" w:cs="Arial"/>
          <w:b/>
          <w:lang w:val="es-ES_tradnl"/>
        </w:rPr>
      </w:pPr>
      <w:r w:rsidRPr="00762B34">
        <w:rPr>
          <w:rFonts w:ascii="Arial" w:hAnsi="Arial" w:cs="Arial"/>
          <w:b/>
          <w:lang w:val="es-ES_tradnl"/>
        </w:rPr>
        <w:t>TRIBUNAL DE CUENTAS</w:t>
      </w:r>
    </w:p>
    <w:p w:rsidR="00341789" w:rsidRPr="00762B34" w:rsidRDefault="00341789">
      <w:pPr>
        <w:tabs>
          <w:tab w:val="left" w:pos="-720"/>
        </w:tabs>
        <w:suppressAutoHyphens/>
        <w:jc w:val="center"/>
        <w:rPr>
          <w:rFonts w:ascii="Arial" w:hAnsi="Arial" w:cs="Arial"/>
          <w:b/>
          <w:lang w:val="es-ES_tradnl"/>
        </w:rPr>
      </w:pPr>
    </w:p>
    <w:p w:rsidR="00341789" w:rsidRPr="00762B34" w:rsidRDefault="00341789">
      <w:pPr>
        <w:tabs>
          <w:tab w:val="center" w:pos="4253"/>
        </w:tabs>
        <w:suppressAutoHyphens/>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2</w:t>
      </w:r>
      <w:r>
        <w:rPr>
          <w:rFonts w:ascii="Helvetica" w:hAnsi="Helvetica"/>
          <w:b/>
          <w:lang w:val="es-ES_tradnl"/>
        </w:rPr>
        <w:t>2 DE MAYO DE 2019</w:t>
      </w:r>
    </w:p>
    <w:p w:rsidR="00341789" w:rsidRPr="00762B34" w:rsidRDefault="00341789">
      <w:pPr>
        <w:tabs>
          <w:tab w:val="center" w:pos="4253"/>
        </w:tabs>
        <w:suppressAutoHyphens/>
        <w:jc w:val="center"/>
        <w:rPr>
          <w:rFonts w:ascii="Arial" w:hAnsi="Arial" w:cs="Arial"/>
          <w:b/>
          <w:lang w:val="es-ES_tradnl"/>
        </w:rPr>
      </w:pPr>
    </w:p>
    <w:p w:rsidR="00341789" w:rsidRPr="00341789" w:rsidRDefault="00341789">
      <w:pPr>
        <w:tabs>
          <w:tab w:val="center" w:pos="4253"/>
        </w:tabs>
        <w:suppressAutoHyphens/>
        <w:jc w:val="center"/>
        <w:rPr>
          <w:rFonts w:ascii="Arial" w:hAnsi="Arial" w:cs="Arial"/>
          <w:b/>
          <w:lang w:val="en-US"/>
        </w:rPr>
      </w:pPr>
      <w:r w:rsidRPr="00341789">
        <w:rPr>
          <w:rFonts w:ascii="Arial" w:hAnsi="Arial" w:cs="Arial"/>
          <w:b/>
          <w:lang w:val="en-US"/>
        </w:rPr>
        <w:t xml:space="preserve">(E. E. Nº </w:t>
      </w:r>
      <w:r w:rsidRPr="00341789">
        <w:rPr>
          <w:rFonts w:ascii="Arial" w:hAnsi="Arial" w:cs="Arial"/>
          <w:b/>
        </w:rPr>
        <w:t>2017-17-1-0002398</w:t>
      </w:r>
      <w:r w:rsidRPr="00341789">
        <w:rPr>
          <w:rFonts w:ascii="Arial" w:hAnsi="Arial" w:cs="Arial"/>
          <w:b/>
          <w:lang w:val="en-US"/>
        </w:rPr>
        <w:t xml:space="preserve">, </w:t>
      </w:r>
      <w:proofErr w:type="gramStart"/>
      <w:r w:rsidRPr="00341789">
        <w:rPr>
          <w:rFonts w:ascii="Arial" w:hAnsi="Arial" w:cs="Arial"/>
          <w:b/>
          <w:lang w:val="en-US"/>
        </w:rPr>
        <w:t>Ent</w:t>
      </w:r>
      <w:proofErr w:type="gramEnd"/>
      <w:r w:rsidRPr="00341789">
        <w:rPr>
          <w:rFonts w:ascii="Arial" w:hAnsi="Arial" w:cs="Arial"/>
          <w:b/>
          <w:lang w:val="en-US"/>
        </w:rPr>
        <w:t>. N°</w:t>
      </w:r>
      <w:r w:rsidRPr="00341789">
        <w:rPr>
          <w:rFonts w:ascii="Arial" w:hAnsi="Arial" w:cs="Arial"/>
          <w:b/>
        </w:rPr>
        <w:t>1688/19</w:t>
      </w:r>
      <w:r w:rsidRPr="00341789">
        <w:rPr>
          <w:rFonts w:ascii="Arial" w:hAnsi="Arial" w:cs="Arial"/>
          <w:b/>
          <w:lang w:val="en-US"/>
        </w:rPr>
        <w:t>)</w:t>
      </w:r>
    </w:p>
    <w:p w:rsidR="00341789" w:rsidRDefault="00341789">
      <w:pPr>
        <w:rPr>
          <w:lang w:val="en-US"/>
        </w:rPr>
      </w:pPr>
    </w:p>
    <w:p w:rsidR="00F7004E" w:rsidRDefault="00F7004E" w:rsidP="00341789">
      <w:pPr>
        <w:spacing w:before="120" w:after="120" w:line="360" w:lineRule="auto"/>
        <w:ind w:firstLine="851"/>
        <w:jc w:val="both"/>
        <w:rPr>
          <w:rFonts w:ascii="Arial" w:hAnsi="Arial" w:cs="Arial"/>
        </w:rPr>
      </w:pPr>
      <w:r>
        <w:rPr>
          <w:rFonts w:ascii="Arial" w:hAnsi="Arial" w:cs="Arial"/>
          <w:b/>
        </w:rPr>
        <w:t>VISTO:</w:t>
      </w:r>
      <w:r w:rsidR="00FD138E">
        <w:rPr>
          <w:rFonts w:ascii="Arial" w:hAnsi="Arial" w:cs="Arial"/>
        </w:rPr>
        <w:t xml:space="preserve"> las actuaciones remitidas por el Banco de la República Oriental del Uruguay</w:t>
      </w:r>
      <w:r>
        <w:rPr>
          <w:rFonts w:ascii="Arial" w:hAnsi="Arial" w:cs="Arial"/>
        </w:rPr>
        <w:t xml:space="preserve">, relacionadas con la </w:t>
      </w:r>
      <w:r w:rsidR="00FD138E">
        <w:rPr>
          <w:rFonts w:ascii="Arial" w:hAnsi="Arial" w:cs="Arial"/>
        </w:rPr>
        <w:t xml:space="preserve">ampliación de la Contratación Directa con la empresa UNISYS Sudamericana Ltda., para el suministro de servicios técnicos de mantenimiento de aplicativos y diferentes componentes de software; </w:t>
      </w:r>
    </w:p>
    <w:p w:rsidR="00FD138E" w:rsidRDefault="00F7004E" w:rsidP="00341789">
      <w:pPr>
        <w:spacing w:line="360" w:lineRule="auto"/>
        <w:ind w:firstLine="851"/>
        <w:jc w:val="both"/>
        <w:rPr>
          <w:rFonts w:ascii="Arial" w:eastAsiaTheme="minorHAnsi" w:hAnsi="Arial" w:cs="Arial"/>
          <w:lang w:val="es-UY" w:eastAsia="en-US"/>
        </w:rPr>
      </w:pPr>
      <w:r>
        <w:rPr>
          <w:rFonts w:ascii="Arial" w:hAnsi="Arial" w:cs="Arial"/>
          <w:b/>
        </w:rPr>
        <w:t>RESULTANDO: 1)</w:t>
      </w:r>
      <w:r>
        <w:rPr>
          <w:rFonts w:ascii="Arial" w:hAnsi="Arial" w:cs="Arial"/>
        </w:rPr>
        <w:t xml:space="preserve"> que </w:t>
      </w:r>
      <w:r w:rsidR="00844875" w:rsidRPr="005541C3">
        <w:rPr>
          <w:rFonts w:ascii="Arial" w:eastAsiaTheme="minorHAnsi" w:hAnsi="Arial" w:cs="Arial"/>
          <w:lang w:val="es-UY" w:eastAsia="en-US"/>
        </w:rPr>
        <w:t>el Directorio</w:t>
      </w:r>
      <w:r w:rsidR="00844875">
        <w:rPr>
          <w:rFonts w:ascii="Arial" w:eastAsiaTheme="minorHAnsi" w:hAnsi="Arial" w:cs="Arial"/>
          <w:lang w:val="es-UY" w:eastAsia="en-US"/>
        </w:rPr>
        <w:t xml:space="preserve"> </w:t>
      </w:r>
      <w:r w:rsidR="0089401F">
        <w:rPr>
          <w:rFonts w:ascii="Arial" w:hAnsi="Arial" w:cs="Arial"/>
        </w:rPr>
        <w:t xml:space="preserve">por Resolución </w:t>
      </w:r>
      <w:r w:rsidR="00FD138E" w:rsidRPr="005541C3">
        <w:rPr>
          <w:rFonts w:ascii="Arial" w:eastAsiaTheme="minorHAnsi" w:hAnsi="Arial" w:cs="Arial"/>
          <w:lang w:val="es-UY" w:eastAsia="en-US"/>
        </w:rPr>
        <w:t xml:space="preserve"> de fecha 29.</w:t>
      </w:r>
      <w:r w:rsidR="00FD138E">
        <w:rPr>
          <w:rFonts w:ascii="Arial" w:eastAsiaTheme="minorHAnsi" w:hAnsi="Arial" w:cs="Arial"/>
          <w:lang w:val="es-UY" w:eastAsia="en-US"/>
        </w:rPr>
        <w:t>0</w:t>
      </w:r>
      <w:r w:rsidR="00FD138E" w:rsidRPr="005541C3">
        <w:rPr>
          <w:rFonts w:ascii="Arial" w:eastAsiaTheme="minorHAnsi" w:hAnsi="Arial" w:cs="Arial"/>
          <w:lang w:val="es-UY" w:eastAsia="en-US"/>
        </w:rPr>
        <w:t>3.</w:t>
      </w:r>
      <w:r w:rsidR="00FD138E">
        <w:rPr>
          <w:rFonts w:ascii="Arial" w:eastAsiaTheme="minorHAnsi" w:hAnsi="Arial" w:cs="Arial"/>
          <w:lang w:val="es-UY" w:eastAsia="en-US"/>
        </w:rPr>
        <w:t>20</w:t>
      </w:r>
      <w:r w:rsidR="00FD138E" w:rsidRPr="005541C3">
        <w:rPr>
          <w:rFonts w:ascii="Arial" w:eastAsiaTheme="minorHAnsi" w:hAnsi="Arial" w:cs="Arial"/>
          <w:lang w:val="es-UY" w:eastAsia="en-US"/>
        </w:rPr>
        <w:t xml:space="preserve">17, </w:t>
      </w:r>
      <w:r w:rsidR="00844875">
        <w:rPr>
          <w:rFonts w:ascii="Arial" w:eastAsiaTheme="minorHAnsi" w:hAnsi="Arial" w:cs="Arial"/>
          <w:lang w:val="es-UY" w:eastAsia="en-US"/>
        </w:rPr>
        <w:t>d</w:t>
      </w:r>
      <w:r w:rsidR="00FD138E">
        <w:rPr>
          <w:rFonts w:ascii="Arial" w:eastAsiaTheme="minorHAnsi" w:hAnsi="Arial" w:cs="Arial"/>
          <w:lang w:val="es-UY" w:eastAsia="en-US"/>
        </w:rPr>
        <w:t>ispuso la contratación</w:t>
      </w:r>
      <w:r w:rsidR="00FD138E" w:rsidRPr="005541C3">
        <w:rPr>
          <w:rFonts w:ascii="Arial" w:eastAsiaTheme="minorHAnsi" w:hAnsi="Arial" w:cs="Arial"/>
          <w:lang w:val="es-UY" w:eastAsia="en-US"/>
        </w:rPr>
        <w:t>, al amparo de</w:t>
      </w:r>
      <w:r w:rsidR="00FD138E">
        <w:rPr>
          <w:rFonts w:ascii="Arial" w:eastAsiaTheme="minorHAnsi" w:hAnsi="Arial" w:cs="Arial"/>
          <w:lang w:val="es-UY" w:eastAsia="en-US"/>
        </w:rPr>
        <w:t xml:space="preserve"> lo dispuesto por el artículo 33, literal C), numeral </w:t>
      </w:r>
      <w:r w:rsidR="00FD138E" w:rsidRPr="005541C3">
        <w:rPr>
          <w:rFonts w:ascii="Arial" w:eastAsiaTheme="minorHAnsi" w:hAnsi="Arial" w:cs="Arial"/>
          <w:lang w:val="es-UY" w:eastAsia="en-US"/>
        </w:rPr>
        <w:t xml:space="preserve">8) del TOCAF, </w:t>
      </w:r>
      <w:r w:rsidR="00FD138E">
        <w:rPr>
          <w:rFonts w:ascii="Arial" w:eastAsiaTheme="minorHAnsi" w:hAnsi="Arial" w:cs="Arial"/>
          <w:lang w:val="es-UY" w:eastAsia="en-US"/>
        </w:rPr>
        <w:t xml:space="preserve">de la empresa UNISYS Sudamericana Ltda., para brindar servicios de soporte </w:t>
      </w:r>
      <w:proofErr w:type="spellStart"/>
      <w:r w:rsidR="00FD138E">
        <w:rPr>
          <w:rFonts w:ascii="Arial" w:eastAsiaTheme="minorHAnsi" w:hAnsi="Arial" w:cs="Arial"/>
          <w:lang w:val="es-UY" w:eastAsia="en-US"/>
        </w:rPr>
        <w:t>On</w:t>
      </w:r>
      <w:proofErr w:type="spellEnd"/>
      <w:r w:rsidR="00FD138E">
        <w:rPr>
          <w:rFonts w:ascii="Arial" w:eastAsiaTheme="minorHAnsi" w:hAnsi="Arial" w:cs="Arial"/>
          <w:lang w:val="es-UY" w:eastAsia="en-US"/>
        </w:rPr>
        <w:t xml:space="preserve"> </w:t>
      </w:r>
      <w:proofErr w:type="spellStart"/>
      <w:r w:rsidR="00FD138E">
        <w:rPr>
          <w:rFonts w:ascii="Arial" w:eastAsiaTheme="minorHAnsi" w:hAnsi="Arial" w:cs="Arial"/>
          <w:lang w:val="es-UY" w:eastAsia="en-US"/>
        </w:rPr>
        <w:t>Site</w:t>
      </w:r>
      <w:proofErr w:type="spellEnd"/>
      <w:r w:rsidR="00FD138E">
        <w:rPr>
          <w:rFonts w:ascii="Arial" w:eastAsiaTheme="minorHAnsi" w:hAnsi="Arial" w:cs="Arial"/>
          <w:lang w:val="es-UY" w:eastAsia="en-US"/>
        </w:rPr>
        <w:t xml:space="preserve"> y tareas de mantenimiento por el</w:t>
      </w:r>
      <w:r w:rsidR="00844875">
        <w:rPr>
          <w:rFonts w:ascii="Arial" w:eastAsiaTheme="minorHAnsi" w:hAnsi="Arial" w:cs="Arial"/>
          <w:lang w:val="es-UY" w:eastAsia="en-US"/>
        </w:rPr>
        <w:t xml:space="preserve"> período 1.1.2018 al 31.12.2019, conforme al siguiente detalle: h</w:t>
      </w:r>
      <w:r w:rsidR="00FD138E">
        <w:rPr>
          <w:rFonts w:ascii="Arial" w:eastAsiaTheme="minorHAnsi" w:hAnsi="Arial" w:cs="Arial"/>
          <w:lang w:val="es-UY" w:eastAsia="en-US"/>
        </w:rPr>
        <w:t xml:space="preserve">asta 19.000 horas de Consultor Senior a un valor-hora de $ 2.795,43 (más IVA); hasta 7.600 horas de Consultor Semi Senior a un valor-hora de $ 2.049,99 (más IVA), y hasta 8.500 horas de Consultor Junior a un valor-hora de $ 1.553,03 (más IVA), lo que supone </w:t>
      </w:r>
      <w:r w:rsidR="00FD138E" w:rsidRPr="00FD138E">
        <w:rPr>
          <w:rFonts w:ascii="Arial" w:eastAsiaTheme="minorHAnsi" w:hAnsi="Arial" w:cs="Arial"/>
          <w:lang w:val="es-UY" w:eastAsia="en-US"/>
        </w:rPr>
        <w:t>un monto total autorizado por éste rubro y por el período mencionado de $ 81.893.849 (más IVA)</w:t>
      </w:r>
      <w:r w:rsidR="00FD138E">
        <w:rPr>
          <w:rFonts w:ascii="Arial" w:eastAsiaTheme="minorHAnsi" w:hAnsi="Arial" w:cs="Arial"/>
          <w:lang w:val="es-UY" w:eastAsia="en-US"/>
        </w:rPr>
        <w:t>. Además, se contrató s</w:t>
      </w:r>
      <w:r w:rsidR="00FD138E" w:rsidRPr="005541C3">
        <w:rPr>
          <w:rFonts w:ascii="Arial" w:eastAsiaTheme="minorHAnsi" w:hAnsi="Arial" w:cs="Arial"/>
          <w:lang w:val="es-UY" w:eastAsia="en-US"/>
        </w:rPr>
        <w:t>ervicios</w:t>
      </w:r>
      <w:r w:rsidR="00FD138E">
        <w:rPr>
          <w:rFonts w:ascii="Arial" w:eastAsiaTheme="minorHAnsi" w:hAnsi="Arial" w:cs="Arial"/>
          <w:lang w:val="es-UY" w:eastAsia="en-US"/>
        </w:rPr>
        <w:t xml:space="preserve"> de guardias por el período 1.1.2018 al 30.6.2018 (guardias telefónicas 7x24 y realización de generaciones y servicio de guardia telefónica soporte a corridas </w:t>
      </w:r>
      <w:proofErr w:type="spellStart"/>
      <w:r w:rsidR="00FD138E">
        <w:rPr>
          <w:rFonts w:ascii="Arial" w:eastAsiaTheme="minorHAnsi" w:hAnsi="Arial" w:cs="Arial"/>
          <w:lang w:val="es-UY" w:eastAsia="en-US"/>
        </w:rPr>
        <w:t>batch</w:t>
      </w:r>
      <w:proofErr w:type="spellEnd"/>
      <w:r w:rsidR="00FD138E">
        <w:rPr>
          <w:rFonts w:ascii="Arial" w:eastAsiaTheme="minorHAnsi" w:hAnsi="Arial" w:cs="Arial"/>
          <w:lang w:val="es-UY" w:eastAsia="en-US"/>
        </w:rPr>
        <w:t xml:space="preserve">), por un monto total de $ 3.540.000 (más IVA). El </w:t>
      </w:r>
      <w:r w:rsidR="00FD138E">
        <w:rPr>
          <w:rFonts w:ascii="Arial" w:eastAsiaTheme="minorHAnsi" w:hAnsi="Arial" w:cs="Arial"/>
          <w:lang w:val="es-MX" w:eastAsia="en-US"/>
        </w:rPr>
        <w:t>monto total de la contratación ascendió $ 104.229.295, 78 (IVA incluido);</w:t>
      </w:r>
    </w:p>
    <w:p w:rsidR="00341789" w:rsidRDefault="0089401F" w:rsidP="00341789">
      <w:pPr>
        <w:spacing w:line="360" w:lineRule="auto"/>
        <w:ind w:firstLine="2694"/>
        <w:jc w:val="both"/>
        <w:rPr>
          <w:rFonts w:ascii="Arial" w:eastAsiaTheme="minorHAnsi" w:hAnsi="Arial" w:cs="Arial"/>
          <w:lang w:val="es-UY" w:eastAsia="en-US"/>
        </w:rPr>
      </w:pPr>
      <w:r>
        <w:rPr>
          <w:rFonts w:ascii="Arial" w:hAnsi="Arial" w:cs="Arial"/>
          <w:b/>
        </w:rPr>
        <w:t>2)</w:t>
      </w:r>
      <w:r>
        <w:rPr>
          <w:rFonts w:ascii="Arial" w:hAnsi="Arial" w:cs="Arial"/>
        </w:rPr>
        <w:t xml:space="preserve"> que este Tri</w:t>
      </w:r>
      <w:r w:rsidR="00FD138E">
        <w:rPr>
          <w:rFonts w:ascii="Arial" w:hAnsi="Arial" w:cs="Arial"/>
        </w:rPr>
        <w:t>bunal, en Sesión de fecha 30.08.2017</w:t>
      </w:r>
      <w:r>
        <w:rPr>
          <w:rFonts w:ascii="Arial" w:hAnsi="Arial" w:cs="Arial"/>
        </w:rPr>
        <w:t>,</w:t>
      </w:r>
      <w:r w:rsidR="00FD138E">
        <w:rPr>
          <w:rFonts w:ascii="Arial" w:hAnsi="Arial" w:cs="Arial"/>
        </w:rPr>
        <w:t xml:space="preserve"> cometió al Contador Delegado la intervención del gasto de $ 104.229.295,78, IVA incluido (Ejercicios 2</w:t>
      </w:r>
      <w:r w:rsidR="00844875">
        <w:rPr>
          <w:rFonts w:ascii="Arial" w:hAnsi="Arial" w:cs="Arial"/>
        </w:rPr>
        <w:t>018 y 2019), una vez imputado a</w:t>
      </w:r>
      <w:r w:rsidR="00FD138E">
        <w:rPr>
          <w:rFonts w:ascii="Arial" w:hAnsi="Arial" w:cs="Arial"/>
        </w:rPr>
        <w:t xml:space="preserve"> rubro adecuado, con </w:t>
      </w:r>
      <w:r w:rsidR="00FD138E">
        <w:rPr>
          <w:rFonts w:ascii="Arial" w:hAnsi="Arial" w:cs="Arial"/>
        </w:rPr>
        <w:lastRenderedPageBreak/>
        <w:t>disponibilidad suficiente y el control del cumplimiento del artículo 3 de la Ley 18.244;</w:t>
      </w:r>
    </w:p>
    <w:p w:rsidR="00341789" w:rsidRDefault="0089401F" w:rsidP="00341789">
      <w:pPr>
        <w:spacing w:line="360" w:lineRule="auto"/>
        <w:ind w:firstLine="2694"/>
        <w:jc w:val="both"/>
        <w:rPr>
          <w:rFonts w:ascii="Arial" w:eastAsiaTheme="minorHAnsi" w:hAnsi="Arial" w:cs="Arial"/>
          <w:lang w:val="es-UY" w:eastAsia="en-US"/>
        </w:rPr>
      </w:pPr>
      <w:r>
        <w:rPr>
          <w:rFonts w:ascii="Arial" w:hAnsi="Arial" w:cs="Arial"/>
          <w:b/>
        </w:rPr>
        <w:t>3)</w:t>
      </w:r>
      <w:r w:rsidR="00FD138E">
        <w:rPr>
          <w:rFonts w:ascii="Arial" w:hAnsi="Arial" w:cs="Arial"/>
        </w:rPr>
        <w:t xml:space="preserve"> que </w:t>
      </w:r>
      <w:r w:rsidR="00844875">
        <w:rPr>
          <w:rFonts w:ascii="Arial" w:hAnsi="Arial" w:cs="Arial"/>
        </w:rPr>
        <w:t>c</w:t>
      </w:r>
      <w:r w:rsidR="00FD138E">
        <w:rPr>
          <w:rFonts w:ascii="Arial" w:hAnsi="Arial" w:cs="Arial"/>
        </w:rPr>
        <w:t xml:space="preserve">on fecha 14.02.2019, el Área de Transformación Operativa informó que </w:t>
      </w:r>
      <w:r w:rsidR="00FD138E">
        <w:rPr>
          <w:rFonts w:ascii="Arial" w:eastAsiaTheme="minorHAnsi" w:hAnsi="Arial" w:cs="Arial"/>
          <w:lang w:val="es-UY" w:eastAsia="en-US"/>
        </w:rPr>
        <w:t xml:space="preserve">la estimación de horas contratadas originalmente a la empresa UNISYS Sudamericana Ltda. </w:t>
      </w:r>
      <w:proofErr w:type="gramStart"/>
      <w:r w:rsidR="00FD138E">
        <w:rPr>
          <w:rFonts w:ascii="Arial" w:eastAsiaTheme="minorHAnsi" w:hAnsi="Arial" w:cs="Arial"/>
          <w:lang w:val="es-UY" w:eastAsia="en-US"/>
        </w:rPr>
        <w:t>se</w:t>
      </w:r>
      <w:proofErr w:type="gramEnd"/>
      <w:r w:rsidR="00FD138E">
        <w:rPr>
          <w:rFonts w:ascii="Arial" w:eastAsiaTheme="minorHAnsi" w:hAnsi="Arial" w:cs="Arial"/>
          <w:lang w:val="es-UY" w:eastAsia="en-US"/>
        </w:rPr>
        <w:t xml:space="preserve"> vio superada por el nivel de impacto de la simulación, finalización, implantación, estabilización y posterior mantenimiento de </w:t>
      </w:r>
      <w:proofErr w:type="spellStart"/>
      <w:r w:rsidR="00FD138E">
        <w:rPr>
          <w:rFonts w:ascii="Arial" w:eastAsiaTheme="minorHAnsi" w:hAnsi="Arial" w:cs="Arial"/>
          <w:lang w:val="es-UY" w:eastAsia="en-US"/>
        </w:rPr>
        <w:t>Bantotal</w:t>
      </w:r>
      <w:proofErr w:type="spellEnd"/>
      <w:r w:rsidR="00FD138E">
        <w:rPr>
          <w:rFonts w:ascii="Arial" w:eastAsiaTheme="minorHAnsi" w:hAnsi="Arial" w:cs="Arial"/>
          <w:lang w:val="es-UY" w:eastAsia="en-US"/>
        </w:rPr>
        <w:t xml:space="preserve"> y de los sistemas legados para la fase 2 del Proyecto de Cambio de Core.</w:t>
      </w:r>
      <w:r w:rsidR="00844875">
        <w:rPr>
          <w:rFonts w:ascii="Arial" w:eastAsiaTheme="minorHAnsi" w:hAnsi="Arial" w:cs="Arial"/>
          <w:lang w:val="es-UY" w:eastAsia="en-US"/>
        </w:rPr>
        <w:t xml:space="preserve"> </w:t>
      </w:r>
      <w:proofErr w:type="gramStart"/>
      <w:r w:rsidR="00844875">
        <w:rPr>
          <w:rFonts w:ascii="Arial" w:eastAsiaTheme="minorHAnsi" w:hAnsi="Arial" w:cs="Arial"/>
          <w:lang w:val="es-UY" w:eastAsia="en-US"/>
        </w:rPr>
        <w:t>por</w:t>
      </w:r>
      <w:proofErr w:type="gramEnd"/>
      <w:r w:rsidR="00844875">
        <w:rPr>
          <w:rFonts w:ascii="Arial" w:eastAsiaTheme="minorHAnsi" w:hAnsi="Arial" w:cs="Arial"/>
          <w:lang w:val="es-UY" w:eastAsia="en-US"/>
        </w:rPr>
        <w:t xml:space="preserve"> lo que las </w:t>
      </w:r>
      <w:r w:rsidR="00FD138E">
        <w:rPr>
          <w:rFonts w:ascii="Arial" w:eastAsiaTheme="minorHAnsi" w:hAnsi="Arial" w:cs="Arial"/>
          <w:lang w:val="es-UY" w:eastAsia="en-US"/>
        </w:rPr>
        <w:t xml:space="preserve"> horas remanentes de la adquisición original solamente </w:t>
      </w:r>
      <w:r w:rsidR="00844875">
        <w:rPr>
          <w:rFonts w:ascii="Arial" w:eastAsiaTheme="minorHAnsi" w:hAnsi="Arial" w:cs="Arial"/>
          <w:lang w:val="es-UY" w:eastAsia="en-US"/>
        </w:rPr>
        <w:t>alcanzarían hasta abril de 2019;</w:t>
      </w:r>
    </w:p>
    <w:p w:rsidR="00341789" w:rsidRDefault="00844875" w:rsidP="00341789">
      <w:pPr>
        <w:spacing w:line="360" w:lineRule="auto"/>
        <w:ind w:firstLine="2694"/>
        <w:jc w:val="both"/>
        <w:rPr>
          <w:rFonts w:ascii="Arial" w:eastAsiaTheme="minorHAnsi" w:hAnsi="Arial" w:cs="Arial"/>
          <w:lang w:val="es-UY" w:eastAsia="en-US"/>
        </w:rPr>
      </w:pPr>
      <w:r>
        <w:rPr>
          <w:rFonts w:ascii="Arial" w:eastAsiaTheme="minorHAnsi" w:hAnsi="Arial" w:cs="Arial"/>
          <w:b/>
          <w:lang w:val="es-UY" w:eastAsia="en-US"/>
        </w:rPr>
        <w:t xml:space="preserve">4) </w:t>
      </w:r>
      <w:r>
        <w:rPr>
          <w:rFonts w:ascii="Arial" w:eastAsiaTheme="minorHAnsi" w:hAnsi="Arial" w:cs="Arial"/>
          <w:lang w:val="es-UY" w:eastAsia="en-US"/>
        </w:rPr>
        <w:t xml:space="preserve">que </w:t>
      </w:r>
      <w:r w:rsidR="00FD138E">
        <w:rPr>
          <w:rFonts w:ascii="Arial" w:eastAsiaTheme="minorHAnsi" w:hAnsi="Arial" w:cs="Arial"/>
          <w:lang w:val="es-UY" w:eastAsia="en-US"/>
        </w:rPr>
        <w:t xml:space="preserve"> </w:t>
      </w:r>
      <w:r>
        <w:rPr>
          <w:rFonts w:ascii="Arial" w:eastAsiaTheme="minorHAnsi" w:hAnsi="Arial" w:cs="Arial"/>
          <w:lang w:val="es-UY" w:eastAsia="en-US"/>
        </w:rPr>
        <w:t>p</w:t>
      </w:r>
      <w:r w:rsidR="00FD138E">
        <w:rPr>
          <w:rFonts w:ascii="Arial" w:eastAsiaTheme="minorHAnsi" w:hAnsi="Arial" w:cs="Arial"/>
          <w:lang w:val="es-UY" w:eastAsia="en-US"/>
        </w:rPr>
        <w:t xml:space="preserve">ara dar </w:t>
      </w:r>
      <w:r>
        <w:rPr>
          <w:rFonts w:ascii="Arial" w:eastAsiaTheme="minorHAnsi" w:hAnsi="Arial" w:cs="Arial"/>
          <w:lang w:val="es-UY" w:eastAsia="en-US"/>
        </w:rPr>
        <w:t>cobertura a tales necesidades, el Á</w:t>
      </w:r>
      <w:r w:rsidR="00FD138E">
        <w:rPr>
          <w:rFonts w:ascii="Arial" w:eastAsiaTheme="minorHAnsi" w:hAnsi="Arial" w:cs="Arial"/>
          <w:lang w:val="es-UY" w:eastAsia="en-US"/>
        </w:rPr>
        <w:t xml:space="preserve">rea informante aconseja ampliar el contrato con UNISYS Sudamericana Ltda., mecanismo que estima adecuado, dado los plazos que insumiría realizar un procedimiento licitatorio, así como de transferencia de conocimientos (en caso de que resulte adjudicataria otra empresa), lo que no permitiría satisfacer necesidades actuales de la Administración, </w:t>
      </w:r>
      <w:r w:rsidR="00477BBE">
        <w:rPr>
          <w:rFonts w:ascii="Arial" w:eastAsiaTheme="minorHAnsi" w:hAnsi="Arial" w:cs="Arial"/>
          <w:lang w:val="es-UY" w:eastAsia="en-US"/>
        </w:rPr>
        <w:t xml:space="preserve">y se </w:t>
      </w:r>
      <w:r w:rsidR="00FD138E">
        <w:rPr>
          <w:rFonts w:ascii="Arial" w:eastAsiaTheme="minorHAnsi" w:hAnsi="Arial" w:cs="Arial"/>
          <w:lang w:val="es-UY" w:eastAsia="en-US"/>
        </w:rPr>
        <w:t xml:space="preserve"> suma a que el actual proveedor es exclusivo, no existiendo sust</w:t>
      </w:r>
      <w:r>
        <w:rPr>
          <w:rFonts w:ascii="Arial" w:eastAsiaTheme="minorHAnsi" w:hAnsi="Arial" w:cs="Arial"/>
          <w:lang w:val="es-UY" w:eastAsia="en-US"/>
        </w:rPr>
        <w:t xml:space="preserve">ituto técnicamente conveniente, por lo que se consideró </w:t>
      </w:r>
      <w:r w:rsidR="00FD138E">
        <w:rPr>
          <w:rFonts w:ascii="Arial" w:eastAsiaTheme="minorHAnsi" w:hAnsi="Arial" w:cs="Arial"/>
          <w:lang w:val="es-UY" w:eastAsia="en-US"/>
        </w:rPr>
        <w:t xml:space="preserve"> ampliar el contrato con UNISYS Sudamericana Ltda., por hasta 24.000 horas, por un importe total de $ 68.404.106,40 más impuestos correspondientes, según valores actualizados, conf</w:t>
      </w:r>
      <w:r>
        <w:rPr>
          <w:rFonts w:ascii="Arial" w:eastAsiaTheme="minorHAnsi" w:hAnsi="Arial" w:cs="Arial"/>
          <w:lang w:val="es-UY" w:eastAsia="en-US"/>
        </w:rPr>
        <w:t>orme el siguiente detalle: h</w:t>
      </w:r>
      <w:r w:rsidR="00FD138E">
        <w:rPr>
          <w:rFonts w:ascii="Arial" w:eastAsiaTheme="minorHAnsi" w:hAnsi="Arial" w:cs="Arial"/>
          <w:lang w:val="es-UY" w:eastAsia="en-US"/>
        </w:rPr>
        <w:t>asta 11.280 horas de Consultor Senior por un valor-hora de $3.319,29 (más IVA), y 12.720 horas de Consultor Semi Senior por un valor-hora de $2.434,16;</w:t>
      </w:r>
    </w:p>
    <w:p w:rsidR="00341789" w:rsidRDefault="003F5F5D" w:rsidP="00341789">
      <w:pPr>
        <w:spacing w:line="360" w:lineRule="auto"/>
        <w:ind w:firstLine="2694"/>
        <w:jc w:val="both"/>
        <w:rPr>
          <w:rFonts w:ascii="Arial" w:eastAsiaTheme="minorHAnsi" w:hAnsi="Arial" w:cs="Arial"/>
          <w:lang w:val="es-UY" w:eastAsia="en-US"/>
        </w:rPr>
      </w:pPr>
      <w:r>
        <w:rPr>
          <w:rFonts w:ascii="Arial" w:hAnsi="Arial" w:cs="Arial"/>
          <w:b/>
        </w:rPr>
        <w:t>5</w:t>
      </w:r>
      <w:r w:rsidR="00065CE9">
        <w:rPr>
          <w:rFonts w:ascii="Arial" w:hAnsi="Arial" w:cs="Arial"/>
          <w:b/>
        </w:rPr>
        <w:t>)</w:t>
      </w:r>
      <w:r w:rsidR="00065CE9">
        <w:rPr>
          <w:rFonts w:ascii="Arial" w:hAnsi="Arial" w:cs="Arial"/>
        </w:rPr>
        <w:t xml:space="preserve"> que</w:t>
      </w:r>
      <w:r w:rsidR="00FD138E">
        <w:rPr>
          <w:rFonts w:ascii="Arial" w:hAnsi="Arial" w:cs="Arial"/>
        </w:rPr>
        <w:t xml:space="preserve"> p</w:t>
      </w:r>
      <w:r w:rsidR="00FD138E" w:rsidRPr="00D27EEA">
        <w:rPr>
          <w:rFonts w:ascii="Arial" w:hAnsi="Arial" w:cs="Arial"/>
        </w:rPr>
        <w:t>ara</w:t>
      </w:r>
      <w:r w:rsidR="00FD138E">
        <w:rPr>
          <w:rFonts w:ascii="Arial" w:hAnsi="Arial" w:cs="Arial"/>
        </w:rPr>
        <w:t xml:space="preserve"> proceder a</w:t>
      </w:r>
      <w:r w:rsidR="00FD138E" w:rsidRPr="00D27EEA">
        <w:rPr>
          <w:rFonts w:ascii="Arial" w:hAnsi="Arial" w:cs="Arial"/>
        </w:rPr>
        <w:t xml:space="preserve"> dicha ampliación, se  recabo </w:t>
      </w:r>
      <w:r w:rsidR="00D53CDE">
        <w:rPr>
          <w:rFonts w:ascii="Arial" w:hAnsi="Arial" w:cs="Arial"/>
        </w:rPr>
        <w:t xml:space="preserve">el </w:t>
      </w:r>
      <w:r w:rsidR="00FD138E" w:rsidRPr="00D27EEA">
        <w:rPr>
          <w:rFonts w:ascii="Arial" w:hAnsi="Arial" w:cs="Arial"/>
        </w:rPr>
        <w:t>consentimiento de la e</w:t>
      </w:r>
      <w:r w:rsidR="00FD138E">
        <w:rPr>
          <w:rFonts w:ascii="Arial" w:hAnsi="Arial" w:cs="Arial"/>
        </w:rPr>
        <w:t>mpresa</w:t>
      </w:r>
      <w:r w:rsidR="00D53CDE">
        <w:rPr>
          <w:rFonts w:ascii="Arial" w:hAnsi="Arial" w:cs="Arial"/>
        </w:rPr>
        <w:t xml:space="preserve">, con </w:t>
      </w:r>
      <w:r w:rsidR="00FD138E">
        <w:rPr>
          <w:rFonts w:ascii="Arial" w:hAnsi="Arial" w:cs="Arial"/>
        </w:rPr>
        <w:t xml:space="preserve"> fecha 15.02.2019;  </w:t>
      </w:r>
    </w:p>
    <w:p w:rsidR="00341789" w:rsidRDefault="00341789" w:rsidP="00341789">
      <w:pPr>
        <w:spacing w:line="360" w:lineRule="auto"/>
        <w:ind w:firstLine="2694"/>
        <w:jc w:val="both"/>
        <w:rPr>
          <w:rFonts w:ascii="Arial" w:eastAsiaTheme="minorHAnsi" w:hAnsi="Arial" w:cs="Arial"/>
          <w:lang w:val="es-UY" w:eastAsia="en-US"/>
        </w:rPr>
      </w:pPr>
      <w:r>
        <w:rPr>
          <w:rFonts w:ascii="Arial" w:hAnsi="Arial" w:cs="Arial"/>
          <w:b/>
        </w:rPr>
        <w:t>6</w:t>
      </w:r>
      <w:r w:rsidR="00FD138E" w:rsidRPr="00FD138E">
        <w:rPr>
          <w:rFonts w:ascii="Arial" w:hAnsi="Arial" w:cs="Arial"/>
          <w:b/>
        </w:rPr>
        <w:t>)</w:t>
      </w:r>
      <w:r w:rsidR="00FD138E">
        <w:rPr>
          <w:rFonts w:ascii="Arial" w:hAnsi="Arial" w:cs="Arial"/>
        </w:rPr>
        <w:t xml:space="preserve"> que la Asesoría Letrada del Área de Infraestructura, </w:t>
      </w:r>
      <w:r w:rsidR="00D53CDE">
        <w:rPr>
          <w:rFonts w:ascii="Arial" w:hAnsi="Arial" w:cs="Arial"/>
        </w:rPr>
        <w:t xml:space="preserve">con </w:t>
      </w:r>
      <w:r w:rsidR="00FD138E">
        <w:rPr>
          <w:rFonts w:ascii="Arial" w:hAnsi="Arial" w:cs="Arial"/>
        </w:rPr>
        <w:t xml:space="preserve"> fecha 12.03.2019, no formuló  objeciones a la ampliación sugerida, siempre y cuando ésta no exceda el 100%</w:t>
      </w:r>
      <w:r w:rsidR="00D53CDE">
        <w:rPr>
          <w:rFonts w:ascii="Arial" w:hAnsi="Arial" w:cs="Arial"/>
        </w:rPr>
        <w:t xml:space="preserve">, de conformidad al </w:t>
      </w:r>
      <w:r w:rsidR="00FD138E">
        <w:rPr>
          <w:rFonts w:ascii="Arial" w:hAnsi="Arial" w:cs="Arial"/>
        </w:rPr>
        <w:t xml:space="preserve"> artículo 74 del TOCAF;</w:t>
      </w:r>
    </w:p>
    <w:p w:rsidR="00341789" w:rsidRDefault="00FD138E" w:rsidP="00341789">
      <w:pPr>
        <w:spacing w:line="360" w:lineRule="auto"/>
        <w:ind w:firstLine="2694"/>
        <w:jc w:val="both"/>
        <w:rPr>
          <w:rFonts w:ascii="Arial" w:eastAsiaTheme="minorHAnsi" w:hAnsi="Arial" w:cs="Arial"/>
          <w:lang w:val="es-UY" w:eastAsia="en-US"/>
        </w:rPr>
      </w:pPr>
      <w:r>
        <w:rPr>
          <w:rFonts w:ascii="Arial" w:hAnsi="Arial" w:cs="Arial"/>
          <w:b/>
        </w:rPr>
        <w:tab/>
      </w:r>
      <w:r w:rsidR="00341789">
        <w:rPr>
          <w:rFonts w:ascii="Arial" w:hAnsi="Arial" w:cs="Arial"/>
          <w:b/>
        </w:rPr>
        <w:t>7</w:t>
      </w:r>
      <w:r w:rsidRPr="00FD138E">
        <w:rPr>
          <w:rFonts w:ascii="Arial" w:hAnsi="Arial" w:cs="Arial"/>
          <w:b/>
        </w:rPr>
        <w:t>)</w:t>
      </w:r>
      <w:r>
        <w:rPr>
          <w:rFonts w:ascii="Arial" w:hAnsi="Arial" w:cs="Arial"/>
          <w:b/>
        </w:rPr>
        <w:t xml:space="preserve"> </w:t>
      </w:r>
      <w:r w:rsidRPr="00FD138E">
        <w:rPr>
          <w:rFonts w:ascii="Arial" w:hAnsi="Arial" w:cs="Arial"/>
        </w:rPr>
        <w:t xml:space="preserve">que con fecha 26.03.2019, se efectuó la afectación presupuestal el gasto </w:t>
      </w:r>
      <w:r>
        <w:rPr>
          <w:rFonts w:ascii="Arial" w:hAnsi="Arial" w:cs="Arial"/>
        </w:rPr>
        <w:t>a ejecutar en el ejercicio 2019;</w:t>
      </w:r>
    </w:p>
    <w:p w:rsidR="00FD138E" w:rsidRPr="00341789" w:rsidRDefault="00341789" w:rsidP="00341789">
      <w:pPr>
        <w:spacing w:line="360" w:lineRule="auto"/>
        <w:ind w:firstLine="2694"/>
        <w:jc w:val="both"/>
        <w:rPr>
          <w:rFonts w:ascii="Arial" w:eastAsiaTheme="minorHAnsi" w:hAnsi="Arial" w:cs="Arial"/>
          <w:lang w:val="es-UY" w:eastAsia="en-US"/>
        </w:rPr>
      </w:pPr>
      <w:r>
        <w:rPr>
          <w:rFonts w:ascii="Arial" w:hAnsi="Arial" w:cs="Arial"/>
          <w:b/>
        </w:rPr>
        <w:t>8</w:t>
      </w:r>
      <w:r w:rsidR="00065CE9">
        <w:rPr>
          <w:rFonts w:ascii="Arial" w:hAnsi="Arial" w:cs="Arial"/>
          <w:b/>
        </w:rPr>
        <w:t xml:space="preserve">) </w:t>
      </w:r>
      <w:r w:rsidR="00FD138E">
        <w:rPr>
          <w:rFonts w:ascii="Arial" w:hAnsi="Arial" w:cs="Arial"/>
        </w:rPr>
        <w:t xml:space="preserve">que el Directorio, compartiendo el informe y sugerencia del Área de Transformación Operativa, dispuso, por </w:t>
      </w:r>
      <w:r w:rsidR="00A44678">
        <w:rPr>
          <w:rFonts w:ascii="Arial" w:hAnsi="Arial" w:cs="Arial"/>
        </w:rPr>
        <w:t>Resolución de fecha 11.04.2019,</w:t>
      </w:r>
      <w:r w:rsidR="00FD138E">
        <w:rPr>
          <w:rFonts w:ascii="Arial" w:hAnsi="Arial" w:cs="Arial"/>
        </w:rPr>
        <w:t xml:space="preserve"> ampliar el contrato con UNISYS Sudamericana Ltda., </w:t>
      </w:r>
      <w:r w:rsidR="00FD138E">
        <w:rPr>
          <w:rFonts w:ascii="Arial" w:hAnsi="Arial" w:cs="Arial"/>
        </w:rPr>
        <w:lastRenderedPageBreak/>
        <w:t>contratándose hasta 24.000 horas, por un importe total de $ 83.453.010</w:t>
      </w:r>
      <w:r w:rsidR="00D53CDE">
        <w:rPr>
          <w:rFonts w:ascii="Arial" w:hAnsi="Arial" w:cs="Arial"/>
        </w:rPr>
        <w:t>,</w:t>
      </w:r>
      <w:r w:rsidR="00FD138E">
        <w:rPr>
          <w:rFonts w:ascii="Arial" w:hAnsi="Arial" w:cs="Arial"/>
        </w:rPr>
        <w:t xml:space="preserve"> impuestos incluidos, desglosado según el detalle señalado en el Resultando 3</w:t>
      </w:r>
      <w:r>
        <w:rPr>
          <w:rFonts w:ascii="Arial" w:hAnsi="Arial" w:cs="Arial"/>
        </w:rPr>
        <w:t>);</w:t>
      </w:r>
    </w:p>
    <w:p w:rsidR="0089401F" w:rsidRDefault="0089401F" w:rsidP="00341789">
      <w:pPr>
        <w:spacing w:before="120" w:after="120" w:line="360" w:lineRule="auto"/>
        <w:ind w:firstLine="851"/>
        <w:jc w:val="both"/>
        <w:rPr>
          <w:rFonts w:ascii="Arial" w:hAnsi="Arial" w:cs="Arial"/>
        </w:rPr>
      </w:pPr>
      <w:r w:rsidRPr="0089401F">
        <w:rPr>
          <w:rFonts w:ascii="Arial" w:hAnsi="Arial" w:cs="Arial"/>
          <w:b/>
        </w:rPr>
        <w:t xml:space="preserve">CONSIDERANDO: </w:t>
      </w:r>
      <w:r w:rsidR="00FD138E">
        <w:rPr>
          <w:rFonts w:ascii="Arial" w:hAnsi="Arial" w:cs="Arial"/>
          <w:b/>
        </w:rPr>
        <w:t xml:space="preserve"> 1) </w:t>
      </w:r>
      <w:r w:rsidRPr="0089401F">
        <w:rPr>
          <w:rFonts w:ascii="Arial" w:hAnsi="Arial" w:cs="Arial"/>
        </w:rPr>
        <w:t>que la ampliación dispuesta encuadra en lo establecido por el artículo 74 del TOCAF, siendo que las prestaciones se</w:t>
      </w:r>
      <w:r w:rsidR="00065CE9">
        <w:rPr>
          <w:rFonts w:ascii="Arial" w:hAnsi="Arial" w:cs="Arial"/>
        </w:rPr>
        <w:t xml:space="preserve"> encuentran vigentes y se recabó</w:t>
      </w:r>
      <w:r w:rsidRPr="0089401F">
        <w:rPr>
          <w:rFonts w:ascii="Arial" w:hAnsi="Arial" w:cs="Arial"/>
        </w:rPr>
        <w:t xml:space="preserve"> la conformidad de la </w:t>
      </w:r>
      <w:proofErr w:type="spellStart"/>
      <w:r w:rsidR="00477BBE">
        <w:rPr>
          <w:rFonts w:ascii="Arial" w:hAnsi="Arial" w:cs="Arial"/>
        </w:rPr>
        <w:t>co</w:t>
      </w:r>
      <w:proofErr w:type="spellEnd"/>
      <w:r w:rsidR="00477BBE">
        <w:rPr>
          <w:rFonts w:ascii="Arial" w:hAnsi="Arial" w:cs="Arial"/>
        </w:rPr>
        <w:t>-contr</w:t>
      </w:r>
      <w:r w:rsidR="00D53CDE">
        <w:rPr>
          <w:rFonts w:ascii="Arial" w:hAnsi="Arial" w:cs="Arial"/>
        </w:rPr>
        <w:t>a</w:t>
      </w:r>
      <w:r w:rsidR="00477BBE">
        <w:rPr>
          <w:rFonts w:ascii="Arial" w:hAnsi="Arial" w:cs="Arial"/>
        </w:rPr>
        <w:t>tante</w:t>
      </w:r>
      <w:r w:rsidRPr="0089401F">
        <w:rPr>
          <w:rFonts w:ascii="Arial" w:hAnsi="Arial" w:cs="Arial"/>
        </w:rPr>
        <w:t>, no superándose el tope del 100 % previsto por la norma;</w:t>
      </w:r>
    </w:p>
    <w:p w:rsidR="00FD138E" w:rsidRPr="00FD138E" w:rsidRDefault="00FD138E" w:rsidP="00341789">
      <w:pPr>
        <w:spacing w:before="120" w:after="120" w:line="360" w:lineRule="auto"/>
        <w:ind w:firstLine="3119"/>
        <w:jc w:val="both"/>
        <w:rPr>
          <w:rFonts w:ascii="Arial" w:hAnsi="Arial" w:cs="Arial"/>
        </w:rPr>
      </w:pPr>
      <w:r w:rsidRPr="00FD138E">
        <w:rPr>
          <w:rFonts w:ascii="Arial" w:hAnsi="Arial" w:cs="Arial"/>
          <w:b/>
        </w:rPr>
        <w:t>2)</w:t>
      </w:r>
      <w:r>
        <w:rPr>
          <w:rFonts w:ascii="Arial" w:hAnsi="Arial" w:cs="Arial"/>
          <w:b/>
        </w:rPr>
        <w:t xml:space="preserve"> </w:t>
      </w:r>
      <w:r w:rsidRPr="00FD138E">
        <w:rPr>
          <w:rFonts w:ascii="Arial" w:hAnsi="Arial" w:cs="Arial"/>
        </w:rPr>
        <w:t>que</w:t>
      </w:r>
      <w:r>
        <w:rPr>
          <w:rFonts w:ascii="Arial" w:hAnsi="Arial" w:cs="Arial"/>
          <w:b/>
        </w:rPr>
        <w:t xml:space="preserve"> </w:t>
      </w:r>
      <w:r>
        <w:rPr>
          <w:rFonts w:ascii="Arial" w:hAnsi="Arial" w:cs="Arial"/>
        </w:rPr>
        <w:t>si bien</w:t>
      </w:r>
      <w:r w:rsidR="00D53CDE">
        <w:rPr>
          <w:rFonts w:ascii="Arial" w:hAnsi="Arial" w:cs="Arial"/>
        </w:rPr>
        <w:t xml:space="preserve"> se efectuó </w:t>
      </w:r>
      <w:r>
        <w:rPr>
          <w:rFonts w:ascii="Arial" w:hAnsi="Arial" w:cs="Arial"/>
        </w:rPr>
        <w:t>la afectación presupuestal,</w:t>
      </w:r>
      <w:r w:rsidR="00D53CDE">
        <w:rPr>
          <w:rFonts w:ascii="Arial" w:hAnsi="Arial" w:cs="Arial"/>
        </w:rPr>
        <w:t xml:space="preserve"> para el presente ejercicio no consta la </w:t>
      </w:r>
      <w:r>
        <w:rPr>
          <w:rFonts w:ascii="Arial" w:hAnsi="Arial" w:cs="Arial"/>
        </w:rPr>
        <w:t xml:space="preserve"> disponibilidad presupuestal,</w:t>
      </w:r>
      <w:r w:rsidR="00D53CDE">
        <w:rPr>
          <w:rFonts w:ascii="Arial" w:hAnsi="Arial" w:cs="Arial"/>
        </w:rPr>
        <w:t xml:space="preserve"> del rubro de imputación,</w:t>
      </w:r>
      <w:r>
        <w:rPr>
          <w:rFonts w:ascii="Arial" w:hAnsi="Arial" w:cs="Arial"/>
        </w:rPr>
        <w:t xml:space="preserve"> tal como </w:t>
      </w:r>
      <w:r w:rsidR="00D53CDE">
        <w:rPr>
          <w:rFonts w:ascii="Arial" w:hAnsi="Arial" w:cs="Arial"/>
        </w:rPr>
        <w:t xml:space="preserve">lo requiere </w:t>
      </w:r>
      <w:r>
        <w:rPr>
          <w:rFonts w:ascii="Arial" w:hAnsi="Arial" w:cs="Arial"/>
        </w:rPr>
        <w:t>el artículo 13 literal D) de la Orden</w:t>
      </w:r>
      <w:r w:rsidR="00341789">
        <w:rPr>
          <w:rFonts w:ascii="Arial" w:hAnsi="Arial" w:cs="Arial"/>
        </w:rPr>
        <w:t>anza N° 27 de fecha 22.05.1958;</w:t>
      </w:r>
    </w:p>
    <w:p w:rsidR="0089401F" w:rsidRPr="0089401F" w:rsidRDefault="0089401F" w:rsidP="00341789">
      <w:pPr>
        <w:spacing w:before="120" w:after="120" w:line="360" w:lineRule="auto"/>
        <w:ind w:firstLine="851"/>
        <w:jc w:val="both"/>
        <w:rPr>
          <w:rFonts w:ascii="Arial" w:hAnsi="Arial" w:cs="Arial"/>
        </w:rPr>
      </w:pPr>
      <w:r w:rsidRPr="0089401F">
        <w:rPr>
          <w:rFonts w:ascii="Arial" w:hAnsi="Arial" w:cs="Arial"/>
          <w:b/>
        </w:rPr>
        <w:t>ATENTO:</w:t>
      </w:r>
      <w:r w:rsidRPr="0089401F">
        <w:rPr>
          <w:rFonts w:ascii="Arial" w:hAnsi="Arial" w:cs="Arial"/>
        </w:rPr>
        <w:t xml:space="preserve"> a lo expuesto y a lo dispuesto por el artículo 211 literal B) de la Constitución de la República; </w:t>
      </w:r>
    </w:p>
    <w:p w:rsidR="0089401F" w:rsidRPr="0089401F" w:rsidRDefault="0089401F" w:rsidP="0089401F">
      <w:pPr>
        <w:spacing w:before="120" w:after="120" w:line="360" w:lineRule="auto"/>
        <w:jc w:val="center"/>
        <w:rPr>
          <w:rFonts w:ascii="Arial" w:hAnsi="Arial" w:cs="Arial"/>
          <w:b/>
        </w:rPr>
      </w:pPr>
      <w:r w:rsidRPr="0089401F">
        <w:rPr>
          <w:rFonts w:ascii="Arial" w:hAnsi="Arial" w:cs="Arial"/>
          <w:b/>
        </w:rPr>
        <w:t>EL TRIBUNAL ACUERDA</w:t>
      </w:r>
    </w:p>
    <w:p w:rsidR="0089401F" w:rsidRDefault="0089401F" w:rsidP="001067E7">
      <w:pPr>
        <w:pStyle w:val="Prrafodelista"/>
        <w:numPr>
          <w:ilvl w:val="0"/>
          <w:numId w:val="1"/>
        </w:numPr>
        <w:spacing w:before="120" w:after="120" w:line="360" w:lineRule="auto"/>
        <w:ind w:left="284" w:hanging="284"/>
        <w:jc w:val="both"/>
        <w:rPr>
          <w:rFonts w:ascii="Arial" w:hAnsi="Arial" w:cs="Arial"/>
        </w:rPr>
      </w:pPr>
      <w:r w:rsidRPr="0089401F">
        <w:rPr>
          <w:rFonts w:ascii="Arial" w:hAnsi="Arial" w:cs="Arial"/>
        </w:rPr>
        <w:t>Cometer al Cont</w:t>
      </w:r>
      <w:r w:rsidR="00065CE9">
        <w:rPr>
          <w:rFonts w:ascii="Arial" w:hAnsi="Arial" w:cs="Arial"/>
        </w:rPr>
        <w:t>ador Delegado la intervención del gasto derivado de la ampliación dispuesta</w:t>
      </w:r>
      <w:r w:rsidRPr="0089401F">
        <w:rPr>
          <w:rFonts w:ascii="Arial" w:hAnsi="Arial" w:cs="Arial"/>
        </w:rPr>
        <w:t>, previo control de su imputación a rubro adecuado con disponibilidad presupu</w:t>
      </w:r>
      <w:r w:rsidR="00477BBE">
        <w:rPr>
          <w:rFonts w:ascii="Arial" w:hAnsi="Arial" w:cs="Arial"/>
        </w:rPr>
        <w:t xml:space="preserve">estal suficiente; </w:t>
      </w:r>
    </w:p>
    <w:p w:rsidR="00FD138E" w:rsidRPr="0089401F" w:rsidRDefault="00FD138E" w:rsidP="001067E7">
      <w:pPr>
        <w:pStyle w:val="Prrafodelista"/>
        <w:numPr>
          <w:ilvl w:val="0"/>
          <w:numId w:val="1"/>
        </w:numPr>
        <w:spacing w:before="120" w:after="120" w:line="360" w:lineRule="auto"/>
        <w:ind w:left="284" w:hanging="284"/>
        <w:jc w:val="both"/>
        <w:rPr>
          <w:rFonts w:ascii="Arial" w:hAnsi="Arial" w:cs="Arial"/>
        </w:rPr>
      </w:pPr>
      <w:r>
        <w:rPr>
          <w:rFonts w:ascii="Arial" w:hAnsi="Arial" w:cs="Arial"/>
        </w:rPr>
        <w:t xml:space="preserve">Téngase presente el señalamiento </w:t>
      </w:r>
      <w:r w:rsidR="00477BBE">
        <w:rPr>
          <w:rFonts w:ascii="Arial" w:hAnsi="Arial" w:cs="Arial"/>
        </w:rPr>
        <w:t>efectuado en el Considerando 2);</w:t>
      </w:r>
    </w:p>
    <w:p w:rsidR="0089401F" w:rsidRDefault="00477BBE" w:rsidP="001067E7">
      <w:pPr>
        <w:pStyle w:val="Prrafodelista"/>
        <w:numPr>
          <w:ilvl w:val="0"/>
          <w:numId w:val="1"/>
        </w:numPr>
        <w:spacing w:before="120" w:after="120" w:line="360" w:lineRule="auto"/>
        <w:ind w:left="284" w:hanging="284"/>
        <w:jc w:val="both"/>
        <w:rPr>
          <w:rFonts w:ascii="Arial" w:hAnsi="Arial" w:cs="Arial"/>
        </w:rPr>
      </w:pPr>
      <w:r>
        <w:rPr>
          <w:rFonts w:ascii="Arial" w:hAnsi="Arial" w:cs="Arial"/>
        </w:rPr>
        <w:t xml:space="preserve">Comunicar al Contador Delegado;  y </w:t>
      </w:r>
    </w:p>
    <w:p w:rsidR="0089401F" w:rsidRDefault="0089401F" w:rsidP="001067E7">
      <w:pPr>
        <w:pStyle w:val="Prrafodelista"/>
        <w:numPr>
          <w:ilvl w:val="0"/>
          <w:numId w:val="1"/>
        </w:numPr>
        <w:spacing w:before="120" w:after="120" w:line="360" w:lineRule="auto"/>
        <w:ind w:left="284" w:hanging="284"/>
        <w:jc w:val="both"/>
        <w:rPr>
          <w:rFonts w:ascii="Arial" w:hAnsi="Arial" w:cs="Arial"/>
        </w:rPr>
      </w:pPr>
      <w:r w:rsidRPr="0089401F">
        <w:rPr>
          <w:rFonts w:ascii="Arial" w:hAnsi="Arial" w:cs="Arial"/>
        </w:rPr>
        <w:t xml:space="preserve">Devolver las actuaciones.  </w:t>
      </w:r>
    </w:p>
    <w:p w:rsidR="0089401F" w:rsidRPr="0089401F" w:rsidRDefault="001067E7" w:rsidP="001067E7">
      <w:pPr>
        <w:pStyle w:val="Prrafodelista"/>
        <w:spacing w:before="120" w:after="120" w:line="360" w:lineRule="auto"/>
        <w:ind w:left="284" w:hanging="284"/>
        <w:jc w:val="both"/>
        <w:rPr>
          <w:rFonts w:ascii="Arial" w:hAnsi="Arial" w:cs="Arial"/>
        </w:rPr>
      </w:pPr>
      <w:r>
        <w:rPr>
          <w:rFonts w:ascii="Arial" w:hAnsi="Arial" w:cs="Arial"/>
          <w:sz w:val="20"/>
          <w:szCs w:val="20"/>
        </w:rPr>
        <w:t>CLC</w:t>
      </w:r>
    </w:p>
    <w:sectPr w:rsidR="0089401F" w:rsidRPr="0089401F" w:rsidSect="00341789">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C7DDD"/>
    <w:multiLevelType w:val="hybridMultilevel"/>
    <w:tmpl w:val="71C64238"/>
    <w:lvl w:ilvl="0" w:tplc="DEC0FB76">
      <w:start w:val="1"/>
      <w:numFmt w:val="decimal"/>
      <w:lvlText w:val="%1)"/>
      <w:lvlJc w:val="left"/>
      <w:pPr>
        <w:ind w:left="1065" w:hanging="705"/>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04E"/>
    <w:rsid w:val="0005507B"/>
    <w:rsid w:val="00057AFC"/>
    <w:rsid w:val="00065CE9"/>
    <w:rsid w:val="000767B0"/>
    <w:rsid w:val="00095A71"/>
    <w:rsid w:val="000A07D4"/>
    <w:rsid w:val="001067E7"/>
    <w:rsid w:val="00130655"/>
    <w:rsid w:val="001348C5"/>
    <w:rsid w:val="00181C25"/>
    <w:rsid w:val="001E4FA4"/>
    <w:rsid w:val="0022562A"/>
    <w:rsid w:val="00262A1A"/>
    <w:rsid w:val="00294ABD"/>
    <w:rsid w:val="002C7DD9"/>
    <w:rsid w:val="002D7D7B"/>
    <w:rsid w:val="00341789"/>
    <w:rsid w:val="00385102"/>
    <w:rsid w:val="00387B21"/>
    <w:rsid w:val="003F5F5D"/>
    <w:rsid w:val="003F68B0"/>
    <w:rsid w:val="00477BBE"/>
    <w:rsid w:val="004E0354"/>
    <w:rsid w:val="00503DC6"/>
    <w:rsid w:val="005541C3"/>
    <w:rsid w:val="005C44DE"/>
    <w:rsid w:val="005D02FC"/>
    <w:rsid w:val="006C4AA6"/>
    <w:rsid w:val="0072658A"/>
    <w:rsid w:val="00844875"/>
    <w:rsid w:val="0089401F"/>
    <w:rsid w:val="009B0AEB"/>
    <w:rsid w:val="009C0690"/>
    <w:rsid w:val="00A0701A"/>
    <w:rsid w:val="00A33419"/>
    <w:rsid w:val="00A44678"/>
    <w:rsid w:val="00A85AC5"/>
    <w:rsid w:val="00A94BCC"/>
    <w:rsid w:val="00B017F8"/>
    <w:rsid w:val="00B32D7F"/>
    <w:rsid w:val="00C375E4"/>
    <w:rsid w:val="00C84085"/>
    <w:rsid w:val="00CB4502"/>
    <w:rsid w:val="00CC4B3B"/>
    <w:rsid w:val="00D2183D"/>
    <w:rsid w:val="00D27EEA"/>
    <w:rsid w:val="00D50792"/>
    <w:rsid w:val="00D53CDE"/>
    <w:rsid w:val="00DB49E7"/>
    <w:rsid w:val="00EB0574"/>
    <w:rsid w:val="00EF27A0"/>
    <w:rsid w:val="00F7004E"/>
    <w:rsid w:val="00F9310B"/>
    <w:rsid w:val="00FD138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04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9401F"/>
    <w:pPr>
      <w:ind w:left="720"/>
      <w:contextualSpacing/>
    </w:pPr>
  </w:style>
  <w:style w:type="table" w:styleId="Tablaconcuadrcula">
    <w:name w:val="Table Grid"/>
    <w:basedOn w:val="Tablanormal"/>
    <w:uiPriority w:val="59"/>
    <w:rsid w:val="00554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04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9401F"/>
    <w:pPr>
      <w:ind w:left="720"/>
      <w:contextualSpacing/>
    </w:pPr>
  </w:style>
  <w:style w:type="table" w:styleId="Tablaconcuadrcula">
    <w:name w:val="Table Grid"/>
    <w:basedOn w:val="Tablanormal"/>
    <w:uiPriority w:val="59"/>
    <w:rsid w:val="00554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746</Words>
  <Characters>4104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ALEJANDRA ALVAREZ LOPEZ</dc:creator>
  <cp:lastModifiedBy>tribunal1</cp:lastModifiedBy>
  <cp:revision>3</cp:revision>
  <cp:lastPrinted>2019-05-14T18:32:00Z</cp:lastPrinted>
  <dcterms:created xsi:type="dcterms:W3CDTF">2019-05-27T13:36:00Z</dcterms:created>
  <dcterms:modified xsi:type="dcterms:W3CDTF">2019-05-27T13:42:00Z</dcterms:modified>
</cp:coreProperties>
</file>