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F62" w:rsidRPr="00786EEB" w:rsidRDefault="00252F62" w:rsidP="00786EEB">
      <w:pPr>
        <w:tabs>
          <w:tab w:val="center" w:pos="4253"/>
        </w:tabs>
        <w:suppressAutoHyphens/>
        <w:jc w:val="right"/>
        <w:rPr>
          <w:rFonts w:cs="Arial"/>
          <w:b/>
          <w:sz w:val="28"/>
          <w:szCs w:val="28"/>
          <w:lang w:val="es-ES_tradnl"/>
        </w:rPr>
      </w:pPr>
      <w:bookmarkStart w:id="0" w:name="_GoBack"/>
      <w:bookmarkEnd w:id="0"/>
      <w:r>
        <w:rPr>
          <w:rFonts w:cs="Arial"/>
          <w:b/>
          <w:sz w:val="28"/>
          <w:szCs w:val="28"/>
          <w:lang w:val="es-ES_tradnl"/>
        </w:rPr>
        <w:t xml:space="preserve">RES. </w:t>
      </w:r>
      <w:r w:rsidR="007B6BAD">
        <w:rPr>
          <w:rFonts w:cs="Arial"/>
          <w:b/>
          <w:sz w:val="28"/>
          <w:szCs w:val="28"/>
          <w:lang w:val="es-ES_tradnl"/>
        </w:rPr>
        <w:t>1318</w:t>
      </w:r>
      <w:r>
        <w:rPr>
          <w:rFonts w:cs="Arial"/>
          <w:b/>
          <w:sz w:val="28"/>
          <w:szCs w:val="28"/>
          <w:lang w:val="es-ES_tradnl"/>
        </w:rPr>
        <w:t>/19</w:t>
      </w:r>
    </w:p>
    <w:p w:rsidR="00252F62" w:rsidRDefault="00252F62" w:rsidP="00786EEB">
      <w:pPr>
        <w:tabs>
          <w:tab w:val="center" w:pos="4253"/>
        </w:tabs>
        <w:suppressAutoHyphens/>
        <w:jc w:val="right"/>
        <w:rPr>
          <w:rFonts w:cs="Arial"/>
          <w:b/>
          <w:lang w:val="es-ES_tradnl"/>
        </w:rPr>
      </w:pPr>
    </w:p>
    <w:p w:rsidR="00252F62" w:rsidRPr="00762B34" w:rsidRDefault="00252F62">
      <w:pPr>
        <w:tabs>
          <w:tab w:val="center" w:pos="4253"/>
        </w:tabs>
        <w:suppressAutoHyphens/>
        <w:jc w:val="center"/>
        <w:rPr>
          <w:rFonts w:cs="Arial"/>
          <w:b/>
          <w:lang w:val="es-ES_tradnl"/>
        </w:rPr>
      </w:pPr>
      <w:r w:rsidRPr="00762B34">
        <w:rPr>
          <w:rFonts w:cs="Arial"/>
          <w:b/>
          <w:lang w:val="es-ES_tradnl"/>
        </w:rPr>
        <w:t>RESOLUCION ADOPTADA POR EL</w:t>
      </w:r>
    </w:p>
    <w:p w:rsidR="00252F62" w:rsidRPr="00762B34" w:rsidRDefault="00252F62">
      <w:pPr>
        <w:tabs>
          <w:tab w:val="left" w:pos="-720"/>
        </w:tabs>
        <w:suppressAutoHyphens/>
        <w:jc w:val="center"/>
        <w:rPr>
          <w:rFonts w:cs="Arial"/>
          <w:b/>
          <w:lang w:val="es-ES_tradnl"/>
        </w:rPr>
      </w:pPr>
    </w:p>
    <w:p w:rsidR="00252F62" w:rsidRPr="00762B34" w:rsidRDefault="00252F62">
      <w:pPr>
        <w:tabs>
          <w:tab w:val="center" w:pos="4253"/>
        </w:tabs>
        <w:suppressAutoHyphens/>
        <w:jc w:val="center"/>
        <w:rPr>
          <w:rFonts w:cs="Arial"/>
          <w:b/>
          <w:lang w:val="es-ES_tradnl"/>
        </w:rPr>
      </w:pPr>
      <w:r w:rsidRPr="00762B34">
        <w:rPr>
          <w:rFonts w:cs="Arial"/>
          <w:b/>
          <w:lang w:val="es-ES_tradnl"/>
        </w:rPr>
        <w:t>TRIBUNAL DE CUENTAS</w:t>
      </w:r>
    </w:p>
    <w:p w:rsidR="00252F62" w:rsidRPr="00762B34" w:rsidRDefault="00252F62">
      <w:pPr>
        <w:tabs>
          <w:tab w:val="left" w:pos="-720"/>
        </w:tabs>
        <w:suppressAutoHyphens/>
        <w:jc w:val="center"/>
        <w:rPr>
          <w:rFonts w:cs="Arial"/>
          <w:b/>
          <w:lang w:val="es-ES_tradnl"/>
        </w:rPr>
      </w:pPr>
    </w:p>
    <w:p w:rsidR="00252F62" w:rsidRPr="00762B34" w:rsidRDefault="00252F62">
      <w:pPr>
        <w:tabs>
          <w:tab w:val="center" w:pos="4253"/>
        </w:tabs>
        <w:suppressAutoHyphens/>
        <w:jc w:val="center"/>
        <w:rPr>
          <w:rFonts w:cs="Arial"/>
          <w:b/>
          <w:lang w:val="es-ES_tradnl"/>
        </w:rPr>
      </w:pPr>
      <w:r w:rsidRPr="00762B34">
        <w:rPr>
          <w:rFonts w:cs="Arial"/>
          <w:b/>
          <w:lang w:val="es-ES_tradnl"/>
        </w:rPr>
        <w:t xml:space="preserve">EN SESION DE FECHA </w:t>
      </w:r>
      <w:r>
        <w:rPr>
          <w:rFonts w:ascii="Helvetica" w:hAnsi="Helvetica"/>
          <w:b/>
          <w:lang w:val="es-ES_tradnl"/>
        </w:rPr>
        <w:t>29 DE MAYO DE 2019</w:t>
      </w:r>
    </w:p>
    <w:p w:rsidR="00252F62" w:rsidRPr="00252F62" w:rsidRDefault="00252F62">
      <w:pPr>
        <w:tabs>
          <w:tab w:val="center" w:pos="4253"/>
        </w:tabs>
        <w:suppressAutoHyphens/>
        <w:jc w:val="center"/>
        <w:rPr>
          <w:rFonts w:cs="Arial"/>
          <w:b/>
          <w:lang w:val="es-ES_tradnl"/>
        </w:rPr>
      </w:pPr>
    </w:p>
    <w:p w:rsidR="00252F62" w:rsidRPr="00960D19" w:rsidRDefault="00252F62">
      <w:pPr>
        <w:tabs>
          <w:tab w:val="center" w:pos="4253"/>
        </w:tabs>
        <w:suppressAutoHyphens/>
        <w:jc w:val="center"/>
        <w:rPr>
          <w:rFonts w:cs="Arial"/>
          <w:b/>
          <w:lang w:val="es-UY"/>
        </w:rPr>
      </w:pPr>
      <w:r w:rsidRPr="00960D19">
        <w:rPr>
          <w:rFonts w:cs="Arial"/>
          <w:b/>
          <w:lang w:val="es-UY"/>
        </w:rPr>
        <w:t>(E. E. Nº</w:t>
      </w:r>
      <w:r w:rsidR="00760BF6" w:rsidRPr="00960D19">
        <w:rPr>
          <w:rFonts w:cs="Arial"/>
          <w:b/>
          <w:lang w:val="es-UY"/>
        </w:rPr>
        <w:t xml:space="preserve"> </w:t>
      </w:r>
      <w:r w:rsidRPr="00252F62">
        <w:rPr>
          <w:b/>
          <w:bCs/>
          <w:caps/>
          <w:lang w:val="es-MX"/>
        </w:rPr>
        <w:t>2018-17-1-0006802</w:t>
      </w:r>
      <w:r w:rsidRPr="00960D19">
        <w:rPr>
          <w:rFonts w:cs="Arial"/>
          <w:b/>
          <w:lang w:val="es-UY"/>
        </w:rPr>
        <w:t xml:space="preserve">, </w:t>
      </w:r>
      <w:proofErr w:type="spellStart"/>
      <w:r w:rsidRPr="00960D19">
        <w:rPr>
          <w:rFonts w:cs="Arial"/>
          <w:b/>
          <w:lang w:val="es-UY"/>
        </w:rPr>
        <w:t>Ent</w:t>
      </w:r>
      <w:proofErr w:type="spellEnd"/>
      <w:r w:rsidRPr="00960D19">
        <w:rPr>
          <w:rFonts w:cs="Arial"/>
          <w:b/>
          <w:lang w:val="es-UY"/>
        </w:rPr>
        <w:t>. N°</w:t>
      </w:r>
      <w:r w:rsidR="00760BF6" w:rsidRPr="00960D19">
        <w:rPr>
          <w:rFonts w:cs="Arial"/>
          <w:b/>
          <w:lang w:val="es-UY"/>
        </w:rPr>
        <w:t xml:space="preserve"> </w:t>
      </w:r>
      <w:r w:rsidRPr="00960D19">
        <w:rPr>
          <w:rFonts w:cs="Arial"/>
          <w:b/>
          <w:lang w:val="es-UY"/>
        </w:rPr>
        <w:t>1390/19)</w:t>
      </w:r>
    </w:p>
    <w:p w:rsidR="00252F62" w:rsidRPr="00960D19" w:rsidRDefault="00252F62">
      <w:pPr>
        <w:tabs>
          <w:tab w:val="center" w:pos="4253"/>
        </w:tabs>
        <w:suppressAutoHyphens/>
        <w:jc w:val="center"/>
        <w:rPr>
          <w:rFonts w:ascii="Helvetica" w:hAnsi="Helvetica"/>
          <w:b/>
          <w:lang w:val="es-UY"/>
        </w:rPr>
      </w:pPr>
    </w:p>
    <w:p w:rsidR="00063CCA" w:rsidRPr="00025D5F" w:rsidRDefault="00063CCA" w:rsidP="00A17A57">
      <w:pPr>
        <w:spacing w:line="360" w:lineRule="auto"/>
        <w:jc w:val="both"/>
        <w:rPr>
          <w:b/>
          <w:sz w:val="20"/>
          <w:lang w:val="es-MX"/>
        </w:rPr>
      </w:pPr>
    </w:p>
    <w:p w:rsidR="00B3242B" w:rsidRPr="00435D63" w:rsidRDefault="00B3242B" w:rsidP="00AD0614">
      <w:pPr>
        <w:spacing w:line="360" w:lineRule="auto"/>
        <w:ind w:firstLine="851"/>
        <w:jc w:val="both"/>
        <w:rPr>
          <w:rFonts w:cs="Arial"/>
          <w:szCs w:val="24"/>
          <w:lang w:val="es-MX"/>
        </w:rPr>
      </w:pPr>
      <w:r w:rsidRPr="00435D63">
        <w:rPr>
          <w:rFonts w:cs="Arial"/>
          <w:b/>
          <w:szCs w:val="24"/>
          <w:lang w:val="es-MX"/>
        </w:rPr>
        <w:t>VISTO:</w:t>
      </w:r>
      <w:r w:rsidR="00435D63">
        <w:rPr>
          <w:rFonts w:cs="Arial"/>
          <w:b/>
          <w:szCs w:val="24"/>
          <w:lang w:val="es-MX"/>
        </w:rPr>
        <w:t xml:space="preserve"> </w:t>
      </w:r>
      <w:r w:rsidR="00435D63" w:rsidRPr="00435D63">
        <w:rPr>
          <w:rFonts w:cs="Arial"/>
          <w:szCs w:val="24"/>
          <w:lang w:val="es-MX"/>
        </w:rPr>
        <w:t>las nuevas actuaciones</w:t>
      </w:r>
      <w:r w:rsidR="00435D63">
        <w:rPr>
          <w:rFonts w:cs="Arial"/>
          <w:b/>
          <w:szCs w:val="24"/>
          <w:lang w:val="es-MX"/>
        </w:rPr>
        <w:t xml:space="preserve">  </w:t>
      </w:r>
      <w:r w:rsidR="00435D63">
        <w:rPr>
          <w:rFonts w:cs="Arial"/>
          <w:szCs w:val="24"/>
          <w:lang w:val="es-MX"/>
        </w:rPr>
        <w:t xml:space="preserve">remitidas por la </w:t>
      </w:r>
      <w:r w:rsidRPr="00435D63">
        <w:rPr>
          <w:rFonts w:cs="Arial"/>
          <w:bCs/>
          <w:szCs w:val="24"/>
          <w:lang w:val="es-MX"/>
        </w:rPr>
        <w:t>Administración de las Obras Sanitarias del Estado, relacionad</w:t>
      </w:r>
      <w:r w:rsidR="001800B2" w:rsidRPr="00435D63">
        <w:rPr>
          <w:rFonts w:cs="Arial"/>
          <w:bCs/>
          <w:szCs w:val="24"/>
          <w:lang w:val="es-MX"/>
        </w:rPr>
        <w:t>a</w:t>
      </w:r>
      <w:r w:rsidR="00435D63">
        <w:rPr>
          <w:rFonts w:cs="Arial"/>
          <w:bCs/>
          <w:szCs w:val="24"/>
          <w:lang w:val="es-MX"/>
        </w:rPr>
        <w:t>s</w:t>
      </w:r>
      <w:r w:rsidRPr="00435D63">
        <w:rPr>
          <w:rFonts w:cs="Arial"/>
          <w:bCs/>
          <w:szCs w:val="24"/>
          <w:lang w:val="es-MX"/>
        </w:rPr>
        <w:t xml:space="preserve"> con la</w:t>
      </w:r>
      <w:r w:rsidR="004D6F3A" w:rsidRPr="00435D63">
        <w:rPr>
          <w:rFonts w:cs="Arial"/>
          <w:bCs/>
          <w:szCs w:val="24"/>
          <w:lang w:val="es-MX"/>
        </w:rPr>
        <w:t xml:space="preserve"> reiteración del gasto derivado de la</w:t>
      </w:r>
      <w:r w:rsidRPr="00435D63">
        <w:rPr>
          <w:rFonts w:cs="Arial"/>
          <w:bCs/>
          <w:szCs w:val="24"/>
          <w:lang w:val="es-MX"/>
        </w:rPr>
        <w:t xml:space="preserve"> </w:t>
      </w:r>
      <w:r w:rsidRPr="00435D63">
        <w:rPr>
          <w:rFonts w:cs="Arial"/>
          <w:szCs w:val="24"/>
          <w:lang w:val="es-MX"/>
        </w:rPr>
        <w:t>Licitación Pública</w:t>
      </w:r>
      <w:r w:rsidRPr="00435D63">
        <w:rPr>
          <w:rFonts w:cs="Arial"/>
          <w:bCs/>
          <w:szCs w:val="24"/>
          <w:lang w:val="es-MX"/>
        </w:rPr>
        <w:t xml:space="preserve"> N° 17.</w:t>
      </w:r>
      <w:r w:rsidR="001800B2" w:rsidRPr="00435D63">
        <w:rPr>
          <w:rFonts w:cs="Arial"/>
          <w:bCs/>
          <w:szCs w:val="24"/>
          <w:lang w:val="es-MX"/>
        </w:rPr>
        <w:t>610</w:t>
      </w:r>
      <w:r w:rsidRPr="00435D63">
        <w:rPr>
          <w:rFonts w:cs="Arial"/>
          <w:bCs/>
          <w:szCs w:val="24"/>
          <w:lang w:val="es-MX"/>
        </w:rPr>
        <w:t>, p</w:t>
      </w:r>
      <w:r w:rsidRPr="00435D63">
        <w:rPr>
          <w:rFonts w:cs="Arial"/>
          <w:szCs w:val="24"/>
          <w:lang w:val="es-MX"/>
        </w:rPr>
        <w:t xml:space="preserve">ara </w:t>
      </w:r>
      <w:r w:rsidR="001800B2" w:rsidRPr="00435D63">
        <w:rPr>
          <w:rFonts w:cs="Arial"/>
          <w:szCs w:val="24"/>
          <w:lang w:val="es-MX"/>
        </w:rPr>
        <w:t>la sustitución de tuberías de distribución y conexiones domiciliarias de agua potable en el barrio Jacinto Vera, departamento de Montevideo;</w:t>
      </w:r>
    </w:p>
    <w:p w:rsidR="00B3242B" w:rsidRPr="00435D63" w:rsidRDefault="00B3242B" w:rsidP="00AD0614">
      <w:pPr>
        <w:pStyle w:val="Textoindependiente"/>
        <w:ind w:firstLine="851"/>
        <w:rPr>
          <w:bCs w:val="0"/>
          <w:szCs w:val="24"/>
        </w:rPr>
      </w:pPr>
      <w:r w:rsidRPr="00435D63">
        <w:rPr>
          <w:b/>
          <w:szCs w:val="24"/>
        </w:rPr>
        <w:t xml:space="preserve">RESULTANDO: </w:t>
      </w:r>
      <w:r w:rsidRPr="00AD0614">
        <w:rPr>
          <w:b/>
          <w:szCs w:val="24"/>
        </w:rPr>
        <w:t>1)</w:t>
      </w:r>
      <w:r w:rsidRPr="00435D63">
        <w:rPr>
          <w:szCs w:val="24"/>
        </w:rPr>
        <w:t xml:space="preserve"> que por Resolución </w:t>
      </w:r>
      <w:r w:rsidR="00435D63">
        <w:rPr>
          <w:szCs w:val="24"/>
        </w:rPr>
        <w:t>de</w:t>
      </w:r>
      <w:r w:rsidR="001800B2" w:rsidRPr="00435D63">
        <w:rPr>
          <w:szCs w:val="24"/>
        </w:rPr>
        <w:t xml:space="preserve"> Directorio Nº 1094/18 de fecha 19.09.18, se adjudicó, ad referéndum de la intervención preventiva de este Tribunal, a la empresa </w:t>
      </w:r>
      <w:proofErr w:type="spellStart"/>
      <w:r w:rsidR="001800B2" w:rsidRPr="00435D63">
        <w:rPr>
          <w:szCs w:val="24"/>
        </w:rPr>
        <w:t>Bycic</w:t>
      </w:r>
      <w:proofErr w:type="spellEnd"/>
      <w:r w:rsidR="001800B2" w:rsidRPr="00435D63">
        <w:rPr>
          <w:szCs w:val="24"/>
        </w:rPr>
        <w:t xml:space="preserve"> Ltda. </w:t>
      </w:r>
      <w:proofErr w:type="gramStart"/>
      <w:r w:rsidR="001800B2" w:rsidRPr="00435D63">
        <w:rPr>
          <w:szCs w:val="24"/>
        </w:rPr>
        <w:t>el</w:t>
      </w:r>
      <w:proofErr w:type="gramEnd"/>
      <w:r w:rsidR="001800B2" w:rsidRPr="00435D63">
        <w:rPr>
          <w:szCs w:val="24"/>
        </w:rPr>
        <w:t xml:space="preserve"> procedimiento de referencia, por un monto total de $ 46.850.816,98 (total rubros unitarios con IVA) más </w:t>
      </w:r>
      <w:r w:rsidR="00AD0614">
        <w:rPr>
          <w:szCs w:val="24"/>
        </w:rPr>
        <w:t xml:space="preserve">                   </w:t>
      </w:r>
      <w:r w:rsidR="001800B2" w:rsidRPr="00435D63">
        <w:rPr>
          <w:szCs w:val="24"/>
        </w:rPr>
        <w:t>$ 6.868.521,49 (correspondiente a Leyes Sociales);</w:t>
      </w:r>
    </w:p>
    <w:p w:rsidR="004761FE" w:rsidRPr="00435D63" w:rsidRDefault="00760BF6" w:rsidP="00AD0614">
      <w:pPr>
        <w:spacing w:line="360" w:lineRule="auto"/>
        <w:ind w:firstLine="2694"/>
        <w:jc w:val="both"/>
        <w:rPr>
          <w:rFonts w:cs="Arial"/>
          <w:szCs w:val="24"/>
          <w:lang w:val="es-MX"/>
        </w:rPr>
      </w:pPr>
      <w:r>
        <w:rPr>
          <w:rFonts w:cs="Arial"/>
          <w:b/>
          <w:bCs/>
          <w:szCs w:val="24"/>
          <w:lang w:val="es-MX"/>
        </w:rPr>
        <w:t xml:space="preserve"> </w:t>
      </w:r>
      <w:r w:rsidR="001800B2" w:rsidRPr="00AD0614">
        <w:rPr>
          <w:rFonts w:cs="Arial"/>
          <w:b/>
          <w:bCs/>
          <w:szCs w:val="24"/>
          <w:lang w:val="es-MX"/>
        </w:rPr>
        <w:t>2</w:t>
      </w:r>
      <w:r w:rsidR="00131A3A" w:rsidRPr="00AD0614">
        <w:rPr>
          <w:rFonts w:cs="Arial"/>
          <w:b/>
          <w:bCs/>
          <w:szCs w:val="24"/>
          <w:lang w:val="es-MX"/>
        </w:rPr>
        <w:t>)</w:t>
      </w:r>
      <w:r w:rsidR="00131A3A" w:rsidRPr="00435D63">
        <w:rPr>
          <w:rFonts w:cs="Arial"/>
          <w:bCs/>
          <w:szCs w:val="24"/>
          <w:lang w:val="es-MX"/>
        </w:rPr>
        <w:t xml:space="preserve"> </w:t>
      </w:r>
      <w:r w:rsidR="001800B2" w:rsidRPr="00435D63">
        <w:rPr>
          <w:rFonts w:cs="Arial"/>
          <w:bCs/>
          <w:szCs w:val="24"/>
          <w:lang w:val="es-MX"/>
        </w:rPr>
        <w:t xml:space="preserve">que </w:t>
      </w:r>
      <w:r w:rsidR="005F30AF" w:rsidRPr="00435D63">
        <w:rPr>
          <w:rFonts w:cs="Arial"/>
          <w:szCs w:val="24"/>
          <w:lang w:val="es-MX"/>
        </w:rPr>
        <w:t>este T</w:t>
      </w:r>
      <w:r w:rsidR="000442BF">
        <w:rPr>
          <w:rFonts w:cs="Arial"/>
          <w:szCs w:val="24"/>
          <w:lang w:val="es-MX"/>
        </w:rPr>
        <w:t>ribunal, mediante Resolución Nº</w:t>
      </w:r>
      <w:r w:rsidR="001800B2" w:rsidRPr="00435D63">
        <w:rPr>
          <w:rFonts w:cs="Arial"/>
          <w:szCs w:val="24"/>
          <w:lang w:val="es-MX"/>
        </w:rPr>
        <w:t>3884/18</w:t>
      </w:r>
      <w:r w:rsidR="005F30AF" w:rsidRPr="00435D63">
        <w:rPr>
          <w:rFonts w:cs="Arial"/>
          <w:szCs w:val="24"/>
          <w:lang w:val="es-MX"/>
        </w:rPr>
        <w:t xml:space="preserve"> adoptada en Sesión de fecha </w:t>
      </w:r>
      <w:r w:rsidR="001800B2" w:rsidRPr="00435D63">
        <w:rPr>
          <w:rFonts w:cs="Arial"/>
          <w:szCs w:val="24"/>
          <w:lang w:val="es-MX"/>
        </w:rPr>
        <w:t>19.12.18</w:t>
      </w:r>
      <w:r w:rsidR="005F30AF" w:rsidRPr="00435D63">
        <w:rPr>
          <w:rFonts w:cs="Arial"/>
          <w:szCs w:val="24"/>
          <w:lang w:val="es-MX"/>
        </w:rPr>
        <w:t xml:space="preserve">, </w:t>
      </w:r>
      <w:r w:rsidR="007E36BE">
        <w:rPr>
          <w:rFonts w:cs="Arial"/>
          <w:szCs w:val="24"/>
          <w:lang w:val="es-MX"/>
        </w:rPr>
        <w:t xml:space="preserve">acordó </w:t>
      </w:r>
      <w:r w:rsidR="005F30AF" w:rsidRPr="00435D63">
        <w:rPr>
          <w:rFonts w:cs="Arial"/>
          <w:szCs w:val="24"/>
          <w:lang w:val="es-MX"/>
        </w:rPr>
        <w:t xml:space="preserve"> o</w:t>
      </w:r>
      <w:r w:rsidR="003935A1">
        <w:rPr>
          <w:rFonts w:cs="Arial"/>
          <w:szCs w:val="24"/>
          <w:lang w:val="es-MX"/>
        </w:rPr>
        <w:t>bservar el gasto en razón de</w:t>
      </w:r>
      <w:r w:rsidR="007E36BE">
        <w:rPr>
          <w:rFonts w:cs="Arial"/>
          <w:szCs w:val="24"/>
          <w:lang w:val="es-MX"/>
        </w:rPr>
        <w:t xml:space="preserve"> que</w:t>
      </w:r>
      <w:r w:rsidR="005F30AF" w:rsidRPr="00435D63">
        <w:rPr>
          <w:rFonts w:cs="Arial"/>
          <w:szCs w:val="24"/>
          <w:lang w:val="es-MX"/>
        </w:rPr>
        <w:t>:</w:t>
      </w:r>
    </w:p>
    <w:p w:rsidR="006D515C" w:rsidRDefault="001800B2" w:rsidP="001800B2">
      <w:pPr>
        <w:spacing w:line="360" w:lineRule="auto"/>
        <w:jc w:val="both"/>
        <w:rPr>
          <w:rFonts w:cs="Arial"/>
          <w:szCs w:val="24"/>
        </w:rPr>
      </w:pPr>
      <w:r w:rsidRPr="00435D63">
        <w:rPr>
          <w:rFonts w:cs="Arial"/>
          <w:szCs w:val="24"/>
          <w:lang w:val="es-MX"/>
        </w:rPr>
        <w:t>2</w:t>
      </w:r>
      <w:r w:rsidR="00F47C97" w:rsidRPr="00435D63">
        <w:rPr>
          <w:rFonts w:cs="Arial"/>
          <w:szCs w:val="24"/>
          <w:lang w:val="es-MX"/>
        </w:rPr>
        <w:t>.1)</w:t>
      </w:r>
      <w:r w:rsidR="006D515C">
        <w:rPr>
          <w:rFonts w:cs="Arial"/>
          <w:szCs w:val="24"/>
        </w:rPr>
        <w:t xml:space="preserve"> tal como surge de las comunicaciones cursadas entre los servicios respectivos, una integrante de la Comisión Asesora de Adjudicaciones admitió la participación en la misma de determinados funcionarios a solicitu</w:t>
      </w:r>
      <w:r w:rsidR="00034BCC">
        <w:rPr>
          <w:rFonts w:cs="Arial"/>
          <w:szCs w:val="24"/>
        </w:rPr>
        <w:t>d del Sub Gerente de Distribució</w:t>
      </w:r>
      <w:r w:rsidR="006D515C">
        <w:rPr>
          <w:rFonts w:cs="Arial"/>
          <w:szCs w:val="24"/>
        </w:rPr>
        <w:t>n de la Gerencia Técnica</w:t>
      </w:r>
      <w:r w:rsidR="00034BCC">
        <w:rPr>
          <w:rFonts w:cs="Arial"/>
          <w:szCs w:val="24"/>
        </w:rPr>
        <w:t xml:space="preserve"> Metropolitana, no siendo de resorte de dicha funcionaria ni de la Comisión en sí proceder en tal sentido. En efecto, dicho obrar implicó incumplir con lo preceptuado por el </w:t>
      </w:r>
      <w:r w:rsidR="007E36BE">
        <w:rPr>
          <w:rFonts w:cs="Arial"/>
          <w:szCs w:val="24"/>
        </w:rPr>
        <w:t>a</w:t>
      </w:r>
      <w:r w:rsidR="00034BCC">
        <w:rPr>
          <w:rFonts w:cs="Arial"/>
          <w:szCs w:val="24"/>
        </w:rPr>
        <w:t>rt. 66 del T.O.C.A.F., en tanto se requiere que la conformación de la Comisión Asesora provenga de una decisión de la autoridad superior del Organismo, lo que en la especie no ocurrió;</w:t>
      </w:r>
    </w:p>
    <w:p w:rsidR="001800B2" w:rsidRDefault="006D515C" w:rsidP="001800B2">
      <w:pPr>
        <w:spacing w:line="360" w:lineRule="auto"/>
        <w:jc w:val="both"/>
        <w:rPr>
          <w:rFonts w:cs="Arial"/>
          <w:szCs w:val="24"/>
        </w:rPr>
      </w:pPr>
      <w:r>
        <w:rPr>
          <w:rFonts w:cs="Arial"/>
          <w:szCs w:val="24"/>
        </w:rPr>
        <w:lastRenderedPageBreak/>
        <w:t>2</w:t>
      </w:r>
      <w:r w:rsidR="001800B2" w:rsidRPr="00435D63">
        <w:rPr>
          <w:rFonts w:cs="Arial"/>
          <w:szCs w:val="24"/>
        </w:rPr>
        <w:t xml:space="preserve">.2) </w:t>
      </w:r>
      <w:r w:rsidR="00034BCC">
        <w:rPr>
          <w:rFonts w:cs="Arial"/>
          <w:szCs w:val="24"/>
        </w:rPr>
        <w:t xml:space="preserve">en la especie, la Comisión Asesora en su pronunciamiento del 22/6/18, basándose en </w:t>
      </w:r>
      <w:r w:rsidR="000D4D48">
        <w:rPr>
          <w:rFonts w:cs="Arial"/>
          <w:szCs w:val="24"/>
        </w:rPr>
        <w:t xml:space="preserve">el informe contable realizado con fecha 14/6/18, constató que el oferente </w:t>
      </w:r>
      <w:proofErr w:type="spellStart"/>
      <w:r w:rsidR="000D4D48">
        <w:rPr>
          <w:rFonts w:cs="Arial"/>
          <w:szCs w:val="24"/>
        </w:rPr>
        <w:t>Bycic</w:t>
      </w:r>
      <w:proofErr w:type="spellEnd"/>
      <w:r w:rsidR="000D4D48">
        <w:rPr>
          <w:rFonts w:cs="Arial"/>
          <w:szCs w:val="24"/>
        </w:rPr>
        <w:t xml:space="preserve"> Ltda. </w:t>
      </w:r>
      <w:proofErr w:type="gramStart"/>
      <w:r w:rsidR="000D4D48">
        <w:rPr>
          <w:rFonts w:cs="Arial"/>
          <w:szCs w:val="24"/>
        </w:rPr>
        <w:t>no</w:t>
      </w:r>
      <w:proofErr w:type="gramEnd"/>
      <w:r w:rsidR="000D4D48">
        <w:rPr>
          <w:rFonts w:cs="Arial"/>
          <w:szCs w:val="24"/>
        </w:rPr>
        <w:t xml:space="preserve"> presentó los estados financieros de la forma que exigía el Pliego de Condiciones Particulares, al igual que ocurrió con otros oferentes;</w:t>
      </w:r>
    </w:p>
    <w:p w:rsidR="000D4D48" w:rsidRDefault="000D4D48" w:rsidP="001800B2">
      <w:pPr>
        <w:spacing w:line="360" w:lineRule="auto"/>
        <w:jc w:val="both"/>
        <w:rPr>
          <w:rFonts w:cs="Arial"/>
          <w:szCs w:val="24"/>
        </w:rPr>
      </w:pPr>
      <w:r>
        <w:rPr>
          <w:rFonts w:cs="Arial"/>
          <w:szCs w:val="24"/>
        </w:rPr>
        <w:t>2.3) ante dicha circunstancia, se dispuso no requerir al proponente la información referida en tanto la misma habría sido presentada por el mismo en un procedimiento de contratación anterior (Licitación Pública Nª 17.440), siendo que el funcionario que realizó el informe contable adjuntó de oficio dicha documentación en el expediente;</w:t>
      </w:r>
    </w:p>
    <w:p w:rsidR="000D4D48" w:rsidRPr="00435D63" w:rsidRDefault="000D4D48" w:rsidP="001800B2">
      <w:pPr>
        <w:spacing w:line="360" w:lineRule="auto"/>
        <w:jc w:val="both"/>
        <w:rPr>
          <w:rFonts w:cs="Arial"/>
          <w:szCs w:val="24"/>
        </w:rPr>
      </w:pPr>
      <w:r>
        <w:rPr>
          <w:rFonts w:cs="Arial"/>
          <w:szCs w:val="24"/>
        </w:rPr>
        <w:t xml:space="preserve">2.4) tal proceder implicó vulnerar el principio de igualdad de los oferentes previsto en el </w:t>
      </w:r>
      <w:r w:rsidR="007E36BE">
        <w:rPr>
          <w:rFonts w:cs="Arial"/>
          <w:szCs w:val="24"/>
        </w:rPr>
        <w:t>a</w:t>
      </w:r>
      <w:r>
        <w:rPr>
          <w:rFonts w:cs="Arial"/>
          <w:szCs w:val="24"/>
        </w:rPr>
        <w:t xml:space="preserve">rtículo 149 </w:t>
      </w:r>
      <w:r w:rsidR="007E36BE">
        <w:rPr>
          <w:rFonts w:cs="Arial"/>
          <w:szCs w:val="24"/>
        </w:rPr>
        <w:t>l</w:t>
      </w:r>
      <w:r>
        <w:rPr>
          <w:rFonts w:cs="Arial"/>
          <w:szCs w:val="24"/>
        </w:rPr>
        <w:t>iteral B) del T.O.C.A.F., en tanto, ante situaciones idénticas de inobservancias en la presentación de un recaudo exigido en las bases del llamado, se le requirió la p</w:t>
      </w:r>
      <w:r w:rsidR="00316851">
        <w:rPr>
          <w:rFonts w:cs="Arial"/>
          <w:szCs w:val="24"/>
        </w:rPr>
        <w:t>resentación del mismo a un oferente (</w:t>
      </w:r>
      <w:proofErr w:type="spellStart"/>
      <w:r w:rsidR="00316851">
        <w:rPr>
          <w:rFonts w:cs="Arial"/>
          <w:szCs w:val="24"/>
        </w:rPr>
        <w:t>Teyma</w:t>
      </w:r>
      <w:proofErr w:type="spellEnd"/>
      <w:r w:rsidR="00316851">
        <w:rPr>
          <w:rFonts w:cs="Arial"/>
          <w:szCs w:val="24"/>
        </w:rPr>
        <w:t xml:space="preserve"> Uruguay S.A.), no exigiéndosele a otro (</w:t>
      </w:r>
      <w:proofErr w:type="spellStart"/>
      <w:r w:rsidR="00316851">
        <w:rPr>
          <w:rFonts w:cs="Arial"/>
          <w:szCs w:val="24"/>
        </w:rPr>
        <w:t>Bycic</w:t>
      </w:r>
      <w:proofErr w:type="spellEnd"/>
      <w:r w:rsidR="00316851">
        <w:rPr>
          <w:rFonts w:cs="Arial"/>
          <w:szCs w:val="24"/>
        </w:rPr>
        <w:t xml:space="preserve"> Ltda.), al considerar de oficio documentación presentada en un procedimiento anterior que en nada puede influir en la Licitación Pública convocada en la oportunidad;</w:t>
      </w:r>
    </w:p>
    <w:p w:rsidR="00C23A2F" w:rsidRPr="00435D63" w:rsidRDefault="00760BF6" w:rsidP="00760BF6">
      <w:pPr>
        <w:spacing w:line="360" w:lineRule="auto"/>
        <w:ind w:firstLine="2694"/>
        <w:jc w:val="both"/>
        <w:rPr>
          <w:rFonts w:cs="Arial"/>
          <w:szCs w:val="24"/>
        </w:rPr>
      </w:pPr>
      <w:r>
        <w:rPr>
          <w:rFonts w:cs="Arial"/>
          <w:b/>
          <w:szCs w:val="24"/>
        </w:rPr>
        <w:t xml:space="preserve"> </w:t>
      </w:r>
      <w:r w:rsidR="00132531" w:rsidRPr="00AD0614">
        <w:rPr>
          <w:rFonts w:cs="Arial"/>
          <w:b/>
          <w:szCs w:val="24"/>
        </w:rPr>
        <w:t>3</w:t>
      </w:r>
      <w:r w:rsidR="00735B07" w:rsidRPr="00AD0614">
        <w:rPr>
          <w:rFonts w:cs="Arial"/>
          <w:b/>
          <w:szCs w:val="24"/>
        </w:rPr>
        <w:t>)</w:t>
      </w:r>
      <w:r w:rsidR="00735B07" w:rsidRPr="00435D63">
        <w:rPr>
          <w:rFonts w:cs="Arial"/>
          <w:szCs w:val="24"/>
        </w:rPr>
        <w:t xml:space="preserve"> que </w:t>
      </w:r>
      <w:r w:rsidR="00C23A2F" w:rsidRPr="00435D63">
        <w:rPr>
          <w:rFonts w:cs="Arial"/>
          <w:szCs w:val="24"/>
        </w:rPr>
        <w:t xml:space="preserve">se remite Resolución de Directorio Nº </w:t>
      </w:r>
      <w:r w:rsidR="00132531" w:rsidRPr="00435D63">
        <w:rPr>
          <w:rFonts w:cs="Arial"/>
          <w:szCs w:val="24"/>
        </w:rPr>
        <w:t>325/19 de fecha 20.03.19</w:t>
      </w:r>
      <w:r w:rsidR="007E36BE">
        <w:rPr>
          <w:rFonts w:cs="Arial"/>
          <w:szCs w:val="24"/>
        </w:rPr>
        <w:t>,</w:t>
      </w:r>
      <w:r w:rsidR="00735B07" w:rsidRPr="00435D63">
        <w:rPr>
          <w:rFonts w:cs="Arial"/>
          <w:szCs w:val="24"/>
        </w:rPr>
        <w:t xml:space="preserve"> </w:t>
      </w:r>
      <w:r w:rsidR="00C23A2F" w:rsidRPr="00435D63">
        <w:rPr>
          <w:rFonts w:cs="Arial"/>
          <w:szCs w:val="24"/>
        </w:rPr>
        <w:t>por la cual se rei</w:t>
      </w:r>
      <w:r w:rsidR="008D4A77" w:rsidRPr="00435D63">
        <w:rPr>
          <w:rFonts w:cs="Arial"/>
          <w:szCs w:val="24"/>
        </w:rPr>
        <w:t xml:space="preserve">teró el gasto por la suma de </w:t>
      </w:r>
      <w:r w:rsidR="00AD0614">
        <w:rPr>
          <w:rFonts w:cs="Arial"/>
          <w:szCs w:val="24"/>
        </w:rPr>
        <w:t xml:space="preserve">                        </w:t>
      </w:r>
      <w:r w:rsidR="008D4A77" w:rsidRPr="00435D63">
        <w:rPr>
          <w:rFonts w:cs="Arial"/>
          <w:szCs w:val="24"/>
        </w:rPr>
        <w:t>$</w:t>
      </w:r>
      <w:r w:rsidR="00132531" w:rsidRPr="00435D63">
        <w:rPr>
          <w:rFonts w:cs="Arial"/>
          <w:szCs w:val="24"/>
        </w:rPr>
        <w:t xml:space="preserve"> </w:t>
      </w:r>
      <w:r w:rsidR="008D4A77" w:rsidRPr="00435D63">
        <w:rPr>
          <w:rFonts w:cs="Arial"/>
          <w:szCs w:val="24"/>
        </w:rPr>
        <w:t xml:space="preserve">62.045.835,94 (impuestos y leyes sociales </w:t>
      </w:r>
      <w:proofErr w:type="spellStart"/>
      <w:r w:rsidR="003E34FD">
        <w:rPr>
          <w:rFonts w:cs="Arial"/>
          <w:szCs w:val="24"/>
        </w:rPr>
        <w:t>incluí</w:t>
      </w:r>
      <w:r w:rsidR="007E36BE" w:rsidRPr="00435D63">
        <w:rPr>
          <w:rFonts w:cs="Arial"/>
          <w:szCs w:val="24"/>
        </w:rPr>
        <w:t>d</w:t>
      </w:r>
      <w:r w:rsidR="007E36BE">
        <w:rPr>
          <w:rFonts w:cs="Arial"/>
          <w:szCs w:val="24"/>
        </w:rPr>
        <w:t>o</w:t>
      </w:r>
      <w:r w:rsidR="007E36BE" w:rsidRPr="00435D63">
        <w:rPr>
          <w:rFonts w:cs="Arial"/>
          <w:szCs w:val="24"/>
        </w:rPr>
        <w:t>s</w:t>
      </w:r>
      <w:proofErr w:type="spellEnd"/>
      <w:r w:rsidR="008D4A77" w:rsidRPr="00435D63">
        <w:rPr>
          <w:rFonts w:cs="Arial"/>
          <w:szCs w:val="24"/>
        </w:rPr>
        <w:t>)</w:t>
      </w:r>
      <w:r w:rsidR="00C23A2F" w:rsidRPr="00435D63">
        <w:rPr>
          <w:rFonts w:cs="Arial"/>
          <w:szCs w:val="24"/>
        </w:rPr>
        <w:t xml:space="preserve">, </w:t>
      </w:r>
      <w:r w:rsidR="007E36BE" w:rsidRPr="00435D63">
        <w:rPr>
          <w:rFonts w:cs="Arial"/>
          <w:szCs w:val="24"/>
        </w:rPr>
        <w:t>argumentándo</w:t>
      </w:r>
      <w:r w:rsidR="007E36BE">
        <w:rPr>
          <w:rFonts w:cs="Arial"/>
          <w:szCs w:val="24"/>
        </w:rPr>
        <w:t>se</w:t>
      </w:r>
      <w:r w:rsidR="00C23A2F" w:rsidRPr="00435D63">
        <w:rPr>
          <w:rFonts w:cs="Arial"/>
          <w:szCs w:val="24"/>
        </w:rPr>
        <w:t xml:space="preserve"> que:</w:t>
      </w:r>
    </w:p>
    <w:p w:rsidR="008D4A77" w:rsidRPr="00435D63" w:rsidRDefault="007B3FAF" w:rsidP="008D4A77">
      <w:pPr>
        <w:spacing w:line="360" w:lineRule="auto"/>
        <w:jc w:val="both"/>
        <w:rPr>
          <w:rFonts w:cs="Arial"/>
          <w:szCs w:val="24"/>
        </w:rPr>
      </w:pPr>
      <w:r w:rsidRPr="00435D63">
        <w:rPr>
          <w:rFonts w:cs="Arial"/>
          <w:szCs w:val="24"/>
        </w:rPr>
        <w:t>3.</w:t>
      </w:r>
      <w:r w:rsidR="00C23A2F" w:rsidRPr="00435D63">
        <w:rPr>
          <w:rFonts w:cs="Arial"/>
          <w:szCs w:val="24"/>
        </w:rPr>
        <w:t>1)</w:t>
      </w:r>
      <w:r w:rsidR="008D4A77" w:rsidRPr="00435D63">
        <w:rPr>
          <w:rFonts w:cs="Arial"/>
          <w:szCs w:val="24"/>
        </w:rPr>
        <w:t xml:space="preserve"> </w:t>
      </w:r>
      <w:r w:rsidR="00703179" w:rsidRPr="00435D63">
        <w:rPr>
          <w:rFonts w:cs="Arial"/>
          <w:szCs w:val="24"/>
        </w:rPr>
        <w:t xml:space="preserve">la integración del Cr. Gustavo </w:t>
      </w:r>
      <w:proofErr w:type="spellStart"/>
      <w:r w:rsidR="00703179" w:rsidRPr="00435D63">
        <w:rPr>
          <w:rFonts w:cs="Arial"/>
          <w:szCs w:val="24"/>
        </w:rPr>
        <w:t>Lázari</w:t>
      </w:r>
      <w:proofErr w:type="spellEnd"/>
      <w:r w:rsidR="00703179" w:rsidRPr="00435D63">
        <w:rPr>
          <w:rFonts w:cs="Arial"/>
          <w:szCs w:val="24"/>
        </w:rPr>
        <w:t xml:space="preserve">, Dra. Inés Guerrero e Ing. Selva Esteva como parte de la Comisión Asesora tiene fundamento en la </w:t>
      </w:r>
      <w:r w:rsidR="00401057" w:rsidRPr="00435D63">
        <w:rPr>
          <w:rFonts w:cs="Arial"/>
          <w:szCs w:val="24"/>
        </w:rPr>
        <w:t>Resolución de Directorio</w:t>
      </w:r>
      <w:r w:rsidR="00703179" w:rsidRPr="00435D63">
        <w:rPr>
          <w:rFonts w:cs="Arial"/>
          <w:szCs w:val="24"/>
        </w:rPr>
        <w:t xml:space="preserve"> Nº 159</w:t>
      </w:r>
      <w:r w:rsidR="00237A9A" w:rsidRPr="00435D63">
        <w:rPr>
          <w:rFonts w:cs="Arial"/>
          <w:szCs w:val="24"/>
        </w:rPr>
        <w:t>0</w:t>
      </w:r>
      <w:r w:rsidR="00703179" w:rsidRPr="00435D63">
        <w:rPr>
          <w:rFonts w:cs="Arial"/>
          <w:szCs w:val="24"/>
        </w:rPr>
        <w:t xml:space="preserve">/11 de 19.10.11 y en la </w:t>
      </w:r>
      <w:r w:rsidR="00401057" w:rsidRPr="00435D63">
        <w:rPr>
          <w:rFonts w:cs="Arial"/>
          <w:szCs w:val="24"/>
        </w:rPr>
        <w:t xml:space="preserve">Resolución de Directorio </w:t>
      </w:r>
      <w:r w:rsidR="00AD0614">
        <w:rPr>
          <w:rFonts w:cs="Arial"/>
          <w:szCs w:val="24"/>
        </w:rPr>
        <w:t xml:space="preserve">             </w:t>
      </w:r>
      <w:r w:rsidR="00703179" w:rsidRPr="00435D63">
        <w:rPr>
          <w:rFonts w:cs="Arial"/>
          <w:szCs w:val="24"/>
        </w:rPr>
        <w:t xml:space="preserve">Nº 866/15 de 05.08.15, mientras que la participación de los restantes miembros de la Comisión actuante en la Licitación Pública de referencia, se fundamenta en el artículo 2 del Reglamento de Funcionamiento de las Comisiones Asesoras y Adjudicación de Licitaciones, aprobado por </w:t>
      </w:r>
      <w:r w:rsidR="00401057" w:rsidRPr="00435D63">
        <w:rPr>
          <w:rFonts w:cs="Arial"/>
          <w:szCs w:val="24"/>
        </w:rPr>
        <w:t xml:space="preserve">Resolución de Directorio </w:t>
      </w:r>
      <w:r w:rsidR="00703179" w:rsidRPr="00435D63">
        <w:rPr>
          <w:rFonts w:cs="Arial"/>
          <w:szCs w:val="24"/>
        </w:rPr>
        <w:t xml:space="preserve">Nº 1389/11 de 14.09.11 y su modificativa </w:t>
      </w:r>
      <w:r w:rsidR="00401057" w:rsidRPr="00435D63">
        <w:rPr>
          <w:rFonts w:cs="Arial"/>
          <w:szCs w:val="24"/>
        </w:rPr>
        <w:t xml:space="preserve">Resolución de Directorio </w:t>
      </w:r>
      <w:r w:rsidR="00AD0614">
        <w:rPr>
          <w:rFonts w:cs="Arial"/>
          <w:szCs w:val="24"/>
        </w:rPr>
        <w:t xml:space="preserve">   </w:t>
      </w:r>
      <w:r w:rsidR="00703179" w:rsidRPr="00435D63">
        <w:rPr>
          <w:rFonts w:cs="Arial"/>
          <w:szCs w:val="24"/>
        </w:rPr>
        <w:t>Nº 1590/11 de 19.10.11, cumpliendo as</w:t>
      </w:r>
      <w:r w:rsidR="000442BF">
        <w:rPr>
          <w:rFonts w:cs="Arial"/>
          <w:szCs w:val="24"/>
        </w:rPr>
        <w:t>í con el artículo 66 del TOCAF;</w:t>
      </w:r>
    </w:p>
    <w:p w:rsidR="003E34FD" w:rsidRDefault="00966986" w:rsidP="00760BF6">
      <w:pPr>
        <w:spacing w:line="360" w:lineRule="auto"/>
        <w:jc w:val="both"/>
        <w:rPr>
          <w:rFonts w:cs="Arial"/>
          <w:szCs w:val="24"/>
        </w:rPr>
      </w:pPr>
      <w:r w:rsidRPr="00435D63">
        <w:rPr>
          <w:rFonts w:cs="Arial"/>
          <w:szCs w:val="24"/>
        </w:rPr>
        <w:t xml:space="preserve">3.2) </w:t>
      </w:r>
      <w:r w:rsidR="006D4F20" w:rsidRPr="00435D63">
        <w:rPr>
          <w:rFonts w:cs="Arial"/>
          <w:szCs w:val="24"/>
        </w:rPr>
        <w:t>la Comisión actuó al amparo del artículo 149 del TOCAF, en particular respetando los principios de razonabilidad, materialidad frente al formalismo, veracidad salvo prueba en contrario y transparencia (literales c), f), g) y h) respectivamente)</w:t>
      </w:r>
      <w:r w:rsidR="007E36BE">
        <w:rPr>
          <w:rFonts w:cs="Arial"/>
          <w:szCs w:val="24"/>
        </w:rPr>
        <w:t>, y que se o</w:t>
      </w:r>
      <w:r w:rsidR="006D4F20" w:rsidRPr="00435D63">
        <w:rPr>
          <w:rFonts w:cs="Arial"/>
          <w:szCs w:val="24"/>
        </w:rPr>
        <w:t xml:space="preserve">ptó por otorgar a </w:t>
      </w:r>
      <w:proofErr w:type="spellStart"/>
      <w:r w:rsidR="006D4F20" w:rsidRPr="00435D63">
        <w:rPr>
          <w:rFonts w:cs="Arial"/>
          <w:szCs w:val="24"/>
        </w:rPr>
        <w:t>Teyma</w:t>
      </w:r>
      <w:proofErr w:type="spellEnd"/>
      <w:r w:rsidR="006D4F20" w:rsidRPr="00435D63">
        <w:rPr>
          <w:rFonts w:cs="Arial"/>
          <w:szCs w:val="24"/>
        </w:rPr>
        <w:t xml:space="preserve"> Uruguay S.A. dos días para salvar el defecto consistente en la agregación del Estado Financiero correspondiente al último ejercicio previo a la apertura de la licitación (cerrado al 31.12.17) en razón de que al oferente </w:t>
      </w:r>
      <w:proofErr w:type="spellStart"/>
      <w:r w:rsidR="006D4F20" w:rsidRPr="00435D63">
        <w:rPr>
          <w:rFonts w:cs="Arial"/>
          <w:szCs w:val="24"/>
        </w:rPr>
        <w:t>Bycic</w:t>
      </w:r>
      <w:proofErr w:type="spellEnd"/>
      <w:r w:rsidR="006D4F20" w:rsidRPr="00435D63">
        <w:rPr>
          <w:rFonts w:cs="Arial"/>
          <w:szCs w:val="24"/>
        </w:rPr>
        <w:t xml:space="preserve"> Ltda. no se le exigió tal extremo, habiendo correspondido, por cuanto se requería que dicha información estuviera actualizada a una fecha más reciente a la de la apertura, todo lo cual ya obraba en poder de la Administración dado que le fue exigida al oferente en el marco de una Licitación Pública. En consecuencia, </w:t>
      </w:r>
      <w:r w:rsidR="007A0A2A" w:rsidRPr="00435D63">
        <w:rPr>
          <w:rFonts w:cs="Arial"/>
          <w:szCs w:val="24"/>
        </w:rPr>
        <w:t xml:space="preserve">la Administración considera que no </w:t>
      </w:r>
      <w:r w:rsidR="00014389" w:rsidRPr="00435D63">
        <w:rPr>
          <w:rFonts w:cs="Arial"/>
          <w:szCs w:val="24"/>
        </w:rPr>
        <w:t>vulneró los principios de igualdad, materialidad fren</w:t>
      </w:r>
      <w:r w:rsidR="004F7F2C" w:rsidRPr="00435D63">
        <w:rPr>
          <w:rFonts w:cs="Arial"/>
          <w:szCs w:val="24"/>
        </w:rPr>
        <w:t>te al formalismo</w:t>
      </w:r>
      <w:r w:rsidR="00AD0614">
        <w:rPr>
          <w:rFonts w:cs="Arial"/>
          <w:szCs w:val="24"/>
        </w:rPr>
        <w:t xml:space="preserve"> y </w:t>
      </w:r>
      <w:r w:rsidR="004F7F2C" w:rsidRPr="00435D63">
        <w:rPr>
          <w:rFonts w:cs="Arial"/>
          <w:szCs w:val="24"/>
        </w:rPr>
        <w:t>flexibilidad;</w:t>
      </w:r>
    </w:p>
    <w:p w:rsidR="00401057" w:rsidRPr="00435D63" w:rsidRDefault="005F30AF" w:rsidP="00760BF6">
      <w:pPr>
        <w:spacing w:line="360" w:lineRule="auto"/>
        <w:ind w:firstLine="851"/>
        <w:jc w:val="both"/>
        <w:rPr>
          <w:rFonts w:cs="Arial"/>
          <w:szCs w:val="24"/>
        </w:rPr>
      </w:pPr>
      <w:r w:rsidRPr="00435D63">
        <w:rPr>
          <w:rFonts w:cs="Arial"/>
          <w:b/>
          <w:szCs w:val="24"/>
          <w:lang w:val="es-MX"/>
        </w:rPr>
        <w:t>CONSIDERANDO:</w:t>
      </w:r>
      <w:r w:rsidRPr="00435D63">
        <w:rPr>
          <w:rFonts w:cs="Arial"/>
          <w:szCs w:val="24"/>
        </w:rPr>
        <w:t xml:space="preserve"> </w:t>
      </w:r>
      <w:r w:rsidRPr="003E34FD">
        <w:rPr>
          <w:rFonts w:cs="Arial"/>
          <w:b/>
          <w:szCs w:val="24"/>
        </w:rPr>
        <w:t>1)</w:t>
      </w:r>
      <w:r w:rsidR="00041E0F" w:rsidRPr="00435D63">
        <w:rPr>
          <w:rFonts w:cs="Arial"/>
          <w:szCs w:val="24"/>
        </w:rPr>
        <w:t xml:space="preserve"> </w:t>
      </w:r>
      <w:r w:rsidR="00401057" w:rsidRPr="00435D63">
        <w:rPr>
          <w:rFonts w:cs="Arial"/>
          <w:szCs w:val="24"/>
        </w:rPr>
        <w:t xml:space="preserve">que el inciso primero del artículo 66 del TOCAF establece que </w:t>
      </w:r>
      <w:r w:rsidR="00401057" w:rsidRPr="00435D63">
        <w:rPr>
          <w:rFonts w:cs="Arial"/>
          <w:i/>
          <w:szCs w:val="24"/>
        </w:rPr>
        <w:t>“En cada Administración pública estatal funcionarán una o varias Comisiones Asesoras de Adjudicaciones designadas por la autoridad superior de la misma, la que también designará entre los miembros de cada Comisión un responsable de su citación para facilitar su ágil funcionamiento y el cumplimiento de los plazos requeridos…”</w:t>
      </w:r>
      <w:r w:rsidR="00401057" w:rsidRPr="00435D63">
        <w:rPr>
          <w:rFonts w:cs="Arial"/>
          <w:szCs w:val="24"/>
        </w:rPr>
        <w:t>;</w:t>
      </w:r>
    </w:p>
    <w:p w:rsidR="004F7F2C" w:rsidRPr="00435D63" w:rsidRDefault="00760BF6" w:rsidP="003E34FD">
      <w:pPr>
        <w:spacing w:line="360" w:lineRule="auto"/>
        <w:ind w:firstLine="2977"/>
        <w:jc w:val="both"/>
        <w:rPr>
          <w:rFonts w:cs="Arial"/>
          <w:szCs w:val="24"/>
        </w:rPr>
      </w:pPr>
      <w:r>
        <w:rPr>
          <w:rFonts w:cs="Arial"/>
          <w:b/>
          <w:szCs w:val="24"/>
        </w:rPr>
        <w:t xml:space="preserve"> </w:t>
      </w:r>
      <w:r w:rsidR="00E70FC9" w:rsidRPr="003E34FD">
        <w:rPr>
          <w:rFonts w:cs="Arial"/>
          <w:b/>
          <w:szCs w:val="24"/>
        </w:rPr>
        <w:t>2)</w:t>
      </w:r>
      <w:r w:rsidR="00E70FC9" w:rsidRPr="00435D63">
        <w:rPr>
          <w:rFonts w:cs="Arial"/>
          <w:szCs w:val="24"/>
        </w:rPr>
        <w:t xml:space="preserve"> que</w:t>
      </w:r>
      <w:r w:rsidR="00401057" w:rsidRPr="00435D63">
        <w:rPr>
          <w:rFonts w:cs="Arial"/>
          <w:szCs w:val="24"/>
        </w:rPr>
        <w:t xml:space="preserve">, </w:t>
      </w:r>
      <w:r w:rsidR="00E70FC9" w:rsidRPr="00435D63">
        <w:rPr>
          <w:rFonts w:cs="Arial"/>
          <w:szCs w:val="24"/>
        </w:rPr>
        <w:t xml:space="preserve">el artículo 2 del Reglamento de Funcionamiento de las Comisiones Asesoras y Adjudicación de Licitaciones, aprobado por </w:t>
      </w:r>
      <w:r w:rsidR="00401057" w:rsidRPr="00435D63">
        <w:rPr>
          <w:rFonts w:cs="Arial"/>
          <w:szCs w:val="24"/>
        </w:rPr>
        <w:t>Resolución de Directorio</w:t>
      </w:r>
      <w:r w:rsidR="00E70FC9" w:rsidRPr="00435D63">
        <w:rPr>
          <w:rFonts w:cs="Arial"/>
          <w:szCs w:val="24"/>
        </w:rPr>
        <w:t xml:space="preserve"> Nº 1389/11 de 14.09.11 y su modificativa Nº 1590/11 de 19.10.11, establece que </w:t>
      </w:r>
      <w:r w:rsidR="00FB6B7A" w:rsidRPr="00435D63">
        <w:rPr>
          <w:rFonts w:cs="Arial"/>
          <w:szCs w:val="24"/>
        </w:rPr>
        <w:t xml:space="preserve">las Comisiones se integrarán por no menos de tres miembros titulares permanentes (y sus respectivos suplentes) </w:t>
      </w:r>
      <w:r w:rsidR="00635E1B" w:rsidRPr="00435D63">
        <w:rPr>
          <w:rFonts w:cs="Arial"/>
          <w:szCs w:val="24"/>
        </w:rPr>
        <w:t xml:space="preserve">designados por el Directorio del </w:t>
      </w:r>
      <w:r w:rsidR="00635E1B">
        <w:rPr>
          <w:rFonts w:cs="Arial"/>
          <w:szCs w:val="24"/>
        </w:rPr>
        <w:t>O</w:t>
      </w:r>
      <w:r w:rsidR="00635E1B" w:rsidRPr="00435D63">
        <w:rPr>
          <w:rFonts w:cs="Arial"/>
          <w:szCs w:val="24"/>
        </w:rPr>
        <w:t xml:space="preserve">rganismo </w:t>
      </w:r>
      <w:r w:rsidR="00FB6B7A" w:rsidRPr="00435D63">
        <w:rPr>
          <w:rFonts w:cs="Arial"/>
          <w:szCs w:val="24"/>
        </w:rPr>
        <w:t xml:space="preserve">y por no menos de dos miembros titulares no permanentes (y sus respectivos suplentes) </w:t>
      </w:r>
      <w:r w:rsidR="00635E1B" w:rsidRPr="00435D63">
        <w:rPr>
          <w:rFonts w:cs="Arial"/>
          <w:szCs w:val="24"/>
        </w:rPr>
        <w:t>designados por los miembros titulares permanentes de la Comisión</w:t>
      </w:r>
      <w:r w:rsidR="00635E1B">
        <w:rPr>
          <w:rFonts w:cs="Arial"/>
          <w:szCs w:val="24"/>
        </w:rPr>
        <w:t xml:space="preserve"> </w:t>
      </w:r>
      <w:r w:rsidR="00FB6B7A" w:rsidRPr="00435D63">
        <w:rPr>
          <w:rFonts w:cs="Arial"/>
          <w:szCs w:val="24"/>
        </w:rPr>
        <w:t>que se d</w:t>
      </w:r>
      <w:r w:rsidR="000442BF">
        <w:rPr>
          <w:rFonts w:cs="Arial"/>
          <w:szCs w:val="24"/>
        </w:rPr>
        <w:t>esignarán para cada licitación;</w:t>
      </w:r>
    </w:p>
    <w:p w:rsidR="00B2719D" w:rsidRPr="00435D63" w:rsidRDefault="00760BF6" w:rsidP="003E34FD">
      <w:pPr>
        <w:spacing w:line="360" w:lineRule="auto"/>
        <w:ind w:firstLine="2977"/>
        <w:jc w:val="both"/>
        <w:rPr>
          <w:rFonts w:cs="Arial"/>
          <w:szCs w:val="24"/>
        </w:rPr>
      </w:pPr>
      <w:r>
        <w:rPr>
          <w:rFonts w:cs="Arial"/>
          <w:b/>
          <w:szCs w:val="24"/>
        </w:rPr>
        <w:t xml:space="preserve"> </w:t>
      </w:r>
      <w:r w:rsidR="007D2C19" w:rsidRPr="003E34FD">
        <w:rPr>
          <w:rFonts w:cs="Arial"/>
          <w:b/>
          <w:szCs w:val="24"/>
        </w:rPr>
        <w:t>3)</w:t>
      </w:r>
      <w:r w:rsidR="00B2719D" w:rsidRPr="00435D63">
        <w:rPr>
          <w:rFonts w:cs="Arial"/>
          <w:szCs w:val="24"/>
        </w:rPr>
        <w:t xml:space="preserve"> </w:t>
      </w:r>
      <w:r w:rsidR="00377F97" w:rsidRPr="00435D63">
        <w:rPr>
          <w:rFonts w:cs="Arial"/>
          <w:szCs w:val="24"/>
        </w:rPr>
        <w:t xml:space="preserve">que el artículo 2 del Reglamento de Funcionamiento de las Comisiones Asesoras y Adjudicación de Licitaciones, en el cual la Administración funda la participación de los miembros no permanentes de la Comisión (Sres. Paula Rubio, Laura </w:t>
      </w:r>
      <w:proofErr w:type="spellStart"/>
      <w:r w:rsidR="00377F97" w:rsidRPr="00435D63">
        <w:rPr>
          <w:rFonts w:cs="Arial"/>
          <w:szCs w:val="24"/>
        </w:rPr>
        <w:t>Visca</w:t>
      </w:r>
      <w:proofErr w:type="spellEnd"/>
      <w:r w:rsidR="00377F97" w:rsidRPr="00435D63">
        <w:rPr>
          <w:rFonts w:cs="Arial"/>
          <w:szCs w:val="24"/>
        </w:rPr>
        <w:t xml:space="preserve">, Juan </w:t>
      </w:r>
      <w:proofErr w:type="spellStart"/>
      <w:r w:rsidR="00377F97" w:rsidRPr="00435D63">
        <w:rPr>
          <w:rFonts w:cs="Arial"/>
          <w:szCs w:val="24"/>
        </w:rPr>
        <w:t>Cattaneo</w:t>
      </w:r>
      <w:proofErr w:type="spellEnd"/>
      <w:r w:rsidR="00377F97" w:rsidRPr="00435D63">
        <w:rPr>
          <w:rFonts w:cs="Arial"/>
          <w:szCs w:val="24"/>
        </w:rPr>
        <w:t xml:space="preserve"> y Agustina Morales), resulta contraria a una norma de superior jerarquía como lo es el artículo 66 del TOCAF, </w:t>
      </w:r>
      <w:r w:rsidR="00635E1B">
        <w:rPr>
          <w:rFonts w:cs="Arial"/>
          <w:szCs w:val="24"/>
        </w:rPr>
        <w:t xml:space="preserve">que </w:t>
      </w:r>
      <w:r w:rsidR="00377F97" w:rsidRPr="00435D63">
        <w:rPr>
          <w:rFonts w:cs="Arial"/>
          <w:szCs w:val="24"/>
        </w:rPr>
        <w:t>establece claramente que será la autoridad máxima del organism</w:t>
      </w:r>
      <w:r w:rsidR="00304974" w:rsidRPr="00435D63">
        <w:rPr>
          <w:rFonts w:cs="Arial"/>
          <w:szCs w:val="24"/>
        </w:rPr>
        <w:t>o</w:t>
      </w:r>
      <w:r w:rsidR="00A41BC2" w:rsidRPr="00435D63">
        <w:rPr>
          <w:rFonts w:cs="Arial"/>
          <w:szCs w:val="24"/>
        </w:rPr>
        <w:t xml:space="preserve"> la que designará la totalidad de sus miembros, incluido al responsable de su citación</w:t>
      </w:r>
      <w:r w:rsidR="00635E1B">
        <w:rPr>
          <w:rFonts w:cs="Arial"/>
          <w:szCs w:val="24"/>
        </w:rPr>
        <w:t>, por lo que e</w:t>
      </w:r>
      <w:r w:rsidR="00635E1B" w:rsidRPr="00435D63">
        <w:rPr>
          <w:rFonts w:cs="Arial"/>
          <w:szCs w:val="24"/>
        </w:rPr>
        <w:t>n consecuencia, no son de recibo los argumentos esgrimidos por la Administración</w:t>
      </w:r>
      <w:r w:rsidR="00A41BC2" w:rsidRPr="00435D63">
        <w:rPr>
          <w:rFonts w:cs="Arial"/>
          <w:szCs w:val="24"/>
        </w:rPr>
        <w:t>;</w:t>
      </w:r>
    </w:p>
    <w:p w:rsidR="005E2AFC" w:rsidRPr="00435D63" w:rsidRDefault="00760BF6" w:rsidP="00760BF6">
      <w:pPr>
        <w:spacing w:line="360" w:lineRule="auto"/>
        <w:ind w:firstLine="2977"/>
        <w:jc w:val="both"/>
        <w:rPr>
          <w:rFonts w:cs="Arial"/>
          <w:szCs w:val="24"/>
        </w:rPr>
      </w:pPr>
      <w:r>
        <w:rPr>
          <w:rFonts w:cs="Arial"/>
          <w:b/>
          <w:szCs w:val="24"/>
        </w:rPr>
        <w:t xml:space="preserve"> </w:t>
      </w:r>
      <w:r w:rsidR="003428DB" w:rsidRPr="003E34FD">
        <w:rPr>
          <w:rFonts w:cs="Arial"/>
          <w:b/>
          <w:szCs w:val="24"/>
        </w:rPr>
        <w:t>4</w:t>
      </w:r>
      <w:r w:rsidR="00A41BC2" w:rsidRPr="003E34FD">
        <w:rPr>
          <w:rFonts w:cs="Arial"/>
          <w:b/>
          <w:szCs w:val="24"/>
        </w:rPr>
        <w:t>)</w:t>
      </w:r>
      <w:r w:rsidR="00A41BC2" w:rsidRPr="00435D63">
        <w:rPr>
          <w:rFonts w:cs="Arial"/>
          <w:szCs w:val="24"/>
        </w:rPr>
        <w:t xml:space="preserve"> </w:t>
      </w:r>
      <w:r w:rsidR="00CB619A" w:rsidRPr="00435D63">
        <w:rPr>
          <w:rFonts w:cs="Arial"/>
          <w:szCs w:val="24"/>
        </w:rPr>
        <w:t xml:space="preserve">que por otra parte, </w:t>
      </w:r>
      <w:r w:rsidR="001B6C46">
        <w:rPr>
          <w:rFonts w:cs="Arial"/>
          <w:szCs w:val="24"/>
        </w:rPr>
        <w:t xml:space="preserve">se vulnero el </w:t>
      </w:r>
      <w:r w:rsidR="00CB62CC" w:rsidRPr="00435D63">
        <w:rPr>
          <w:rFonts w:cs="Arial"/>
          <w:szCs w:val="24"/>
        </w:rPr>
        <w:t xml:space="preserve">principio de igualdad de los oferentes previsto en el artículo 149 del TOCAF, </w:t>
      </w:r>
      <w:r w:rsidR="001B6C46">
        <w:rPr>
          <w:rFonts w:cs="Arial"/>
          <w:szCs w:val="24"/>
        </w:rPr>
        <w:t xml:space="preserve">al no haberse requerido un recaudo </w:t>
      </w:r>
      <w:r w:rsidR="001B6C46" w:rsidRPr="00435D63">
        <w:rPr>
          <w:rFonts w:cs="Arial"/>
          <w:szCs w:val="24"/>
        </w:rPr>
        <w:t xml:space="preserve">a </w:t>
      </w:r>
      <w:proofErr w:type="spellStart"/>
      <w:r w:rsidR="001B6C46" w:rsidRPr="00435D63">
        <w:rPr>
          <w:rFonts w:cs="Arial"/>
          <w:szCs w:val="24"/>
        </w:rPr>
        <w:t>Bycic</w:t>
      </w:r>
      <w:proofErr w:type="spellEnd"/>
      <w:r w:rsidR="001B6C46" w:rsidRPr="00435D63">
        <w:rPr>
          <w:rFonts w:cs="Arial"/>
          <w:szCs w:val="24"/>
        </w:rPr>
        <w:t xml:space="preserve"> Ltda.</w:t>
      </w:r>
      <w:r w:rsidR="001B6C46">
        <w:rPr>
          <w:rFonts w:cs="Arial"/>
          <w:szCs w:val="24"/>
        </w:rPr>
        <w:t xml:space="preserve"> </w:t>
      </w:r>
      <w:proofErr w:type="gramStart"/>
      <w:r w:rsidR="001B6C46">
        <w:rPr>
          <w:rFonts w:cs="Arial"/>
          <w:szCs w:val="24"/>
        </w:rPr>
        <w:t>exigido</w:t>
      </w:r>
      <w:proofErr w:type="gramEnd"/>
      <w:r w:rsidR="001B6C46">
        <w:rPr>
          <w:rFonts w:cs="Arial"/>
          <w:szCs w:val="24"/>
        </w:rPr>
        <w:t xml:space="preserve"> en el Pliego</w:t>
      </w:r>
      <w:r w:rsidR="001B6C46" w:rsidRPr="00435D63">
        <w:rPr>
          <w:rFonts w:cs="Arial"/>
          <w:szCs w:val="24"/>
        </w:rPr>
        <w:t>,</w:t>
      </w:r>
      <w:r>
        <w:rPr>
          <w:rFonts w:cs="Arial"/>
          <w:szCs w:val="24"/>
        </w:rPr>
        <w:t xml:space="preserve"> </w:t>
      </w:r>
      <w:r w:rsidR="001B6C46">
        <w:rPr>
          <w:rFonts w:cs="Arial"/>
          <w:szCs w:val="24"/>
        </w:rPr>
        <w:t xml:space="preserve">(el que había presentado era </w:t>
      </w:r>
      <w:r w:rsidR="0022389D">
        <w:rPr>
          <w:rFonts w:cs="Arial"/>
          <w:szCs w:val="24"/>
        </w:rPr>
        <w:t xml:space="preserve">de </w:t>
      </w:r>
      <w:r w:rsidR="0022389D" w:rsidRPr="00435D63">
        <w:rPr>
          <w:rFonts w:cs="Arial"/>
          <w:szCs w:val="24"/>
        </w:rPr>
        <w:t>otro procedimiento independiente que no tendría implicancia alguna en el presente</w:t>
      </w:r>
      <w:r w:rsidR="0022389D">
        <w:rPr>
          <w:rFonts w:cs="Arial"/>
          <w:szCs w:val="24"/>
        </w:rPr>
        <w:t xml:space="preserve">) siendo que </w:t>
      </w:r>
      <w:r w:rsidR="001B6C46" w:rsidRPr="00435D63">
        <w:rPr>
          <w:rFonts w:cs="Arial"/>
          <w:szCs w:val="24"/>
        </w:rPr>
        <w:t xml:space="preserve">a </w:t>
      </w:r>
      <w:proofErr w:type="spellStart"/>
      <w:r w:rsidR="001B6C46" w:rsidRPr="00435D63">
        <w:rPr>
          <w:rFonts w:cs="Arial"/>
          <w:szCs w:val="24"/>
        </w:rPr>
        <w:t>Teyma</w:t>
      </w:r>
      <w:proofErr w:type="spellEnd"/>
      <w:r w:rsidR="001B6C46" w:rsidRPr="00435D63">
        <w:rPr>
          <w:rFonts w:cs="Arial"/>
          <w:szCs w:val="24"/>
        </w:rPr>
        <w:t xml:space="preserve"> Uruguay S.A.</w:t>
      </w:r>
      <w:r w:rsidR="0022389D">
        <w:rPr>
          <w:rFonts w:cs="Arial"/>
          <w:szCs w:val="24"/>
        </w:rPr>
        <w:t xml:space="preserve"> se le había solicitado, no habiéndose tenido el mismo tratamiento para ambas firmas</w:t>
      </w:r>
      <w:r w:rsidR="001B6C46" w:rsidRPr="00435D63">
        <w:rPr>
          <w:rFonts w:cs="Arial"/>
          <w:szCs w:val="24"/>
        </w:rPr>
        <w:t>;</w:t>
      </w:r>
    </w:p>
    <w:p w:rsidR="005F30AF" w:rsidRPr="00435D63" w:rsidRDefault="00760BF6" w:rsidP="00760BF6">
      <w:pPr>
        <w:spacing w:line="360" w:lineRule="auto"/>
        <w:ind w:firstLine="2977"/>
        <w:jc w:val="both"/>
        <w:rPr>
          <w:rFonts w:cs="Arial"/>
          <w:szCs w:val="24"/>
        </w:rPr>
      </w:pPr>
      <w:r>
        <w:rPr>
          <w:rFonts w:cs="Arial"/>
          <w:b/>
          <w:szCs w:val="24"/>
        </w:rPr>
        <w:t xml:space="preserve"> </w:t>
      </w:r>
      <w:r w:rsidR="003428DB" w:rsidRPr="003E34FD">
        <w:rPr>
          <w:rFonts w:cs="Arial"/>
          <w:b/>
          <w:szCs w:val="24"/>
        </w:rPr>
        <w:t>5</w:t>
      </w:r>
      <w:r w:rsidR="00114182" w:rsidRPr="003E34FD">
        <w:rPr>
          <w:rFonts w:cs="Arial"/>
          <w:b/>
          <w:szCs w:val="24"/>
        </w:rPr>
        <w:t>)</w:t>
      </w:r>
      <w:r w:rsidR="00114182" w:rsidRPr="00435D63">
        <w:rPr>
          <w:rFonts w:cs="Arial"/>
          <w:szCs w:val="24"/>
        </w:rPr>
        <w:t xml:space="preserve"> que si bien la Administración justificó su accionar en atención a los principios de materialidad frente al formalismo y de flexibilidad, la interpretación que realiza de los mismos no puede ser de tal amplitud que afecte el principio de igualdad de los oferentes, el cual debe respetarse rigurosamente;</w:t>
      </w:r>
    </w:p>
    <w:p w:rsidR="0049242E" w:rsidRPr="00435D63" w:rsidRDefault="0049242E" w:rsidP="003E34FD">
      <w:pPr>
        <w:spacing w:line="360" w:lineRule="auto"/>
        <w:ind w:firstLine="851"/>
        <w:jc w:val="both"/>
        <w:rPr>
          <w:rFonts w:cs="Arial"/>
          <w:szCs w:val="24"/>
        </w:rPr>
      </w:pPr>
      <w:r w:rsidRPr="003E34FD">
        <w:rPr>
          <w:rFonts w:cs="Arial"/>
          <w:b/>
          <w:szCs w:val="24"/>
        </w:rPr>
        <w:t>ATENTO:</w:t>
      </w:r>
      <w:r w:rsidRPr="00435D63">
        <w:rPr>
          <w:rFonts w:cs="Arial"/>
          <w:szCs w:val="24"/>
        </w:rPr>
        <w:t xml:space="preserve"> a lo expuesto y a lo dispuesto por el </w:t>
      </w:r>
      <w:r w:rsidR="0022389D">
        <w:rPr>
          <w:rFonts w:cs="Arial"/>
          <w:szCs w:val="24"/>
        </w:rPr>
        <w:t>a</w:t>
      </w:r>
      <w:r w:rsidRPr="00435D63">
        <w:rPr>
          <w:rFonts w:cs="Arial"/>
          <w:szCs w:val="24"/>
        </w:rPr>
        <w:t xml:space="preserve">rtículo 211 </w:t>
      </w:r>
      <w:r w:rsidR="0022389D">
        <w:rPr>
          <w:rFonts w:cs="Arial"/>
          <w:szCs w:val="24"/>
        </w:rPr>
        <w:t>l</w:t>
      </w:r>
      <w:r w:rsidRPr="00435D63">
        <w:rPr>
          <w:rFonts w:cs="Arial"/>
          <w:szCs w:val="24"/>
        </w:rPr>
        <w:t>iteral B) de la Constitución de la República;</w:t>
      </w:r>
    </w:p>
    <w:p w:rsidR="00960D19" w:rsidRDefault="0049242E" w:rsidP="00960D19">
      <w:pPr>
        <w:spacing w:line="360" w:lineRule="auto"/>
        <w:jc w:val="center"/>
        <w:rPr>
          <w:rFonts w:cs="Arial"/>
          <w:b/>
          <w:szCs w:val="24"/>
        </w:rPr>
      </w:pPr>
      <w:r w:rsidRPr="00435D63">
        <w:rPr>
          <w:rFonts w:cs="Arial"/>
          <w:b/>
          <w:szCs w:val="24"/>
        </w:rPr>
        <w:t xml:space="preserve">EL TRIBUNAL </w:t>
      </w:r>
      <w:r w:rsidR="00023CD0" w:rsidRPr="00435D63">
        <w:rPr>
          <w:rFonts w:cs="Arial"/>
          <w:b/>
          <w:szCs w:val="24"/>
        </w:rPr>
        <w:t>ACUERDA</w:t>
      </w:r>
    </w:p>
    <w:p w:rsidR="00023CD0" w:rsidRPr="00960D19" w:rsidRDefault="00023CD0" w:rsidP="00960D19">
      <w:pPr>
        <w:pStyle w:val="Prrafodelista"/>
        <w:numPr>
          <w:ilvl w:val="0"/>
          <w:numId w:val="39"/>
        </w:numPr>
        <w:spacing w:line="360" w:lineRule="auto"/>
        <w:jc w:val="both"/>
        <w:rPr>
          <w:rFonts w:cs="Arial"/>
          <w:szCs w:val="24"/>
        </w:rPr>
      </w:pPr>
      <w:r w:rsidRPr="00960D19">
        <w:rPr>
          <w:rFonts w:cs="Arial"/>
          <w:szCs w:val="24"/>
        </w:rPr>
        <w:t xml:space="preserve">Mantener la observación formulada </w:t>
      </w:r>
      <w:r w:rsidRPr="00960D19">
        <w:rPr>
          <w:rFonts w:cs="Arial"/>
          <w:szCs w:val="24"/>
          <w:lang w:val="es-MX"/>
        </w:rPr>
        <w:t xml:space="preserve">mediante Resolución Nº </w:t>
      </w:r>
      <w:r w:rsidR="00114182" w:rsidRPr="00960D19">
        <w:rPr>
          <w:rFonts w:cs="Arial"/>
          <w:szCs w:val="24"/>
          <w:lang w:val="es-MX"/>
        </w:rPr>
        <w:t>3884/18</w:t>
      </w:r>
      <w:r w:rsidRPr="00960D19">
        <w:rPr>
          <w:rFonts w:cs="Arial"/>
          <w:szCs w:val="24"/>
          <w:lang w:val="es-MX"/>
        </w:rPr>
        <w:t xml:space="preserve"> adoptada en Sesión de fecha </w:t>
      </w:r>
      <w:r w:rsidR="00114182" w:rsidRPr="00960D19">
        <w:rPr>
          <w:rFonts w:cs="Arial"/>
          <w:szCs w:val="24"/>
          <w:lang w:val="es-MX"/>
        </w:rPr>
        <w:t>19.12.18</w:t>
      </w:r>
      <w:r w:rsidRPr="00960D19">
        <w:rPr>
          <w:rFonts w:cs="Arial"/>
          <w:szCs w:val="24"/>
        </w:rPr>
        <w:t>;</w:t>
      </w:r>
    </w:p>
    <w:p w:rsidR="00023CD0" w:rsidRPr="00435D63" w:rsidRDefault="00023CD0" w:rsidP="00023CD0">
      <w:pPr>
        <w:numPr>
          <w:ilvl w:val="0"/>
          <w:numId w:val="39"/>
        </w:numPr>
        <w:spacing w:line="360" w:lineRule="auto"/>
        <w:jc w:val="both"/>
        <w:rPr>
          <w:rFonts w:cs="Arial"/>
          <w:szCs w:val="24"/>
        </w:rPr>
      </w:pPr>
      <w:r w:rsidRPr="00435D63">
        <w:rPr>
          <w:rFonts w:cs="Arial"/>
          <w:szCs w:val="24"/>
        </w:rPr>
        <w:t>Dar cuenta a la Asamblea General;</w:t>
      </w:r>
    </w:p>
    <w:p w:rsidR="0013256F" w:rsidRDefault="00760BF6" w:rsidP="00023CD0">
      <w:pPr>
        <w:numPr>
          <w:ilvl w:val="0"/>
          <w:numId w:val="39"/>
        </w:numPr>
        <w:spacing w:line="360" w:lineRule="auto"/>
        <w:jc w:val="both"/>
        <w:rPr>
          <w:rFonts w:cs="Arial"/>
          <w:szCs w:val="24"/>
        </w:rPr>
      </w:pPr>
      <w:r>
        <w:rPr>
          <w:rFonts w:cs="Arial"/>
          <w:szCs w:val="24"/>
        </w:rPr>
        <w:t>Comunicar al Poder Ejecutivo; y</w:t>
      </w:r>
    </w:p>
    <w:p w:rsidR="00023CD0" w:rsidRPr="00435D63" w:rsidRDefault="0013256F" w:rsidP="00023CD0">
      <w:pPr>
        <w:numPr>
          <w:ilvl w:val="0"/>
          <w:numId w:val="39"/>
        </w:numPr>
        <w:spacing w:line="360" w:lineRule="auto"/>
        <w:jc w:val="both"/>
        <w:rPr>
          <w:rFonts w:cs="Arial"/>
          <w:szCs w:val="24"/>
        </w:rPr>
      </w:pPr>
      <w:r>
        <w:rPr>
          <w:rFonts w:cs="Arial"/>
          <w:szCs w:val="24"/>
        </w:rPr>
        <w:t xml:space="preserve">Comunicar </w:t>
      </w:r>
      <w:r w:rsidRPr="00435D63">
        <w:rPr>
          <w:rFonts w:cs="Arial"/>
          <w:szCs w:val="24"/>
        </w:rPr>
        <w:t xml:space="preserve">a la Administración actuante </w:t>
      </w:r>
      <w:r>
        <w:rPr>
          <w:rFonts w:cs="Arial"/>
          <w:szCs w:val="24"/>
        </w:rPr>
        <w:t xml:space="preserve">y </w:t>
      </w:r>
      <w:r w:rsidR="003E34FD">
        <w:rPr>
          <w:rFonts w:cs="Arial"/>
          <w:szCs w:val="24"/>
        </w:rPr>
        <w:t>a la Contadora Delegada</w:t>
      </w:r>
      <w:r w:rsidR="003428DB">
        <w:rPr>
          <w:rFonts w:cs="Arial"/>
          <w:szCs w:val="24"/>
        </w:rPr>
        <w:t>.</w:t>
      </w:r>
    </w:p>
    <w:p w:rsidR="00B24717" w:rsidRPr="00435D63" w:rsidRDefault="00023CD0" w:rsidP="00023CD0">
      <w:pPr>
        <w:spacing w:line="360" w:lineRule="auto"/>
        <w:jc w:val="both"/>
        <w:rPr>
          <w:rFonts w:cs="Arial"/>
          <w:szCs w:val="24"/>
        </w:rPr>
      </w:pPr>
      <w:r w:rsidRPr="00435D63">
        <w:rPr>
          <w:rFonts w:cs="Arial"/>
          <w:szCs w:val="24"/>
        </w:rPr>
        <w:t xml:space="preserve">           </w:t>
      </w:r>
    </w:p>
    <w:p w:rsidR="00023CD0" w:rsidRPr="00252F62" w:rsidRDefault="00252F62" w:rsidP="00023CD0">
      <w:pPr>
        <w:spacing w:line="360" w:lineRule="auto"/>
        <w:jc w:val="both"/>
        <w:rPr>
          <w:rFonts w:cs="Arial"/>
          <w:sz w:val="20"/>
        </w:rPr>
      </w:pPr>
      <w:r>
        <w:rPr>
          <w:rFonts w:cs="Arial"/>
          <w:sz w:val="20"/>
        </w:rPr>
        <w:t>CLC</w:t>
      </w:r>
    </w:p>
    <w:sectPr w:rsidR="00023CD0" w:rsidRPr="00252F62" w:rsidSect="007B6BAD">
      <w:footerReference w:type="even" r:id="rId9"/>
      <w:footerReference w:type="default" r:id="rId10"/>
      <w:pgSz w:w="11907" w:h="16840" w:code="9"/>
      <w:pgMar w:top="3402" w:right="1701" w:bottom="1134" w:left="1701" w:header="720" w:footer="720" w:gutter="0"/>
      <w:paperSrc w:first="4" w:other="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FFC" w:rsidRDefault="00371FFC">
      <w:r>
        <w:separator/>
      </w:r>
    </w:p>
  </w:endnote>
  <w:endnote w:type="continuationSeparator" w:id="0">
    <w:p w:rsidR="00371FFC" w:rsidRDefault="00371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C46" w:rsidRDefault="001B6C46">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1B6C46" w:rsidRDefault="001B6C4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C46" w:rsidRDefault="001B6C46">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60D19">
      <w:rPr>
        <w:rStyle w:val="Nmerodepgina"/>
        <w:noProof/>
      </w:rPr>
      <w:t>1</w:t>
    </w:r>
    <w:r>
      <w:rPr>
        <w:rStyle w:val="Nmerodepgina"/>
      </w:rPr>
      <w:fldChar w:fldCharType="end"/>
    </w:r>
  </w:p>
  <w:p w:rsidR="001B6C46" w:rsidRDefault="001B6C4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FFC" w:rsidRDefault="00371FFC">
      <w:r>
        <w:separator/>
      </w:r>
    </w:p>
  </w:footnote>
  <w:footnote w:type="continuationSeparator" w:id="0">
    <w:p w:rsidR="00371FFC" w:rsidRDefault="00371F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701DB"/>
    <w:multiLevelType w:val="hybridMultilevel"/>
    <w:tmpl w:val="8D5EB4A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3F73CA4"/>
    <w:multiLevelType w:val="hybridMultilevel"/>
    <w:tmpl w:val="763A28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56A6BB1"/>
    <w:multiLevelType w:val="hybridMultilevel"/>
    <w:tmpl w:val="A19A2816"/>
    <w:lvl w:ilvl="0" w:tplc="5918552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6FE7C40"/>
    <w:multiLevelType w:val="hybridMultilevel"/>
    <w:tmpl w:val="E2EE426E"/>
    <w:lvl w:ilvl="0" w:tplc="C1E28C98">
      <w:start w:val="1"/>
      <w:numFmt w:val="decimal"/>
      <w:lvlText w:val="%1)"/>
      <w:lvlJc w:val="left"/>
      <w:pPr>
        <w:tabs>
          <w:tab w:val="num" w:pos="360"/>
        </w:tabs>
        <w:ind w:left="340" w:hanging="340"/>
      </w:pPr>
      <w:rPr>
        <w:rFonts w:ascii="Arial" w:hAnsi="Arial" w:hint="default"/>
        <w:b/>
        <w:sz w:val="24"/>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9DE2C13"/>
    <w:multiLevelType w:val="hybridMultilevel"/>
    <w:tmpl w:val="2D2C539E"/>
    <w:lvl w:ilvl="0" w:tplc="0C0A0011">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C9C68EC"/>
    <w:multiLevelType w:val="multilevel"/>
    <w:tmpl w:val="D9A4210A"/>
    <w:lvl w:ilvl="0">
      <w:start w:val="2"/>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1453AC4"/>
    <w:multiLevelType w:val="hybridMultilevel"/>
    <w:tmpl w:val="9A2048AC"/>
    <w:lvl w:ilvl="0" w:tplc="0C0A0017">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3E74BE6"/>
    <w:multiLevelType w:val="hybridMultilevel"/>
    <w:tmpl w:val="FAE2466A"/>
    <w:lvl w:ilvl="0" w:tplc="4C1AD1A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nsid w:val="1537148F"/>
    <w:multiLevelType w:val="hybridMultilevel"/>
    <w:tmpl w:val="8384BEDC"/>
    <w:lvl w:ilvl="0" w:tplc="33DE4250">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nsid w:val="17665816"/>
    <w:multiLevelType w:val="hybridMultilevel"/>
    <w:tmpl w:val="1A3CBCE6"/>
    <w:lvl w:ilvl="0" w:tplc="E904C78A">
      <w:start w:val="1"/>
      <w:numFmt w:val="lowerLetter"/>
      <w:lvlText w:val="%1)"/>
      <w:lvlJc w:val="left"/>
      <w:pPr>
        <w:ind w:left="1485" w:hanging="4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1BD90BD9"/>
    <w:multiLevelType w:val="multilevel"/>
    <w:tmpl w:val="734CAF98"/>
    <w:lvl w:ilvl="0">
      <w:start w:val="9"/>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19F7C49"/>
    <w:multiLevelType w:val="hybridMultilevel"/>
    <w:tmpl w:val="6B82B5B8"/>
    <w:lvl w:ilvl="0" w:tplc="11FAEB1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nsid w:val="26072310"/>
    <w:multiLevelType w:val="multilevel"/>
    <w:tmpl w:val="B7AE438E"/>
    <w:lvl w:ilvl="0">
      <w:start w:val="8"/>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2B8A126B"/>
    <w:multiLevelType w:val="multilevel"/>
    <w:tmpl w:val="709A4B54"/>
    <w:lvl w:ilvl="0">
      <w:start w:val="1"/>
      <w:numFmt w:val="decimal"/>
      <w:lvlText w:val="%1."/>
      <w:lvlJc w:val="left"/>
      <w:pPr>
        <w:ind w:left="405" w:hanging="40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4">
    <w:nsid w:val="2C487391"/>
    <w:multiLevelType w:val="hybridMultilevel"/>
    <w:tmpl w:val="8476347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2E702E1D"/>
    <w:multiLevelType w:val="multilevel"/>
    <w:tmpl w:val="A34C1548"/>
    <w:lvl w:ilvl="0">
      <w:start w:val="1"/>
      <w:numFmt w:val="decimal"/>
      <w:lvlText w:val="%1."/>
      <w:lvlJc w:val="left"/>
      <w:pPr>
        <w:ind w:left="405" w:hanging="40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6">
    <w:nsid w:val="32B3353A"/>
    <w:multiLevelType w:val="hybridMultilevel"/>
    <w:tmpl w:val="D408E6A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34D04DF5"/>
    <w:multiLevelType w:val="hybridMultilevel"/>
    <w:tmpl w:val="FB60365C"/>
    <w:lvl w:ilvl="0" w:tplc="7912292C">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36077A55"/>
    <w:multiLevelType w:val="hybridMultilevel"/>
    <w:tmpl w:val="BA20D99E"/>
    <w:lvl w:ilvl="0" w:tplc="04765DC4">
      <w:start w:val="1"/>
      <w:numFmt w:val="low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9">
    <w:nsid w:val="363A1756"/>
    <w:multiLevelType w:val="hybridMultilevel"/>
    <w:tmpl w:val="9A7636B4"/>
    <w:lvl w:ilvl="0" w:tplc="380A0017">
      <w:start w:val="1"/>
      <w:numFmt w:val="lowerLetter"/>
      <w:lvlText w:val="%1)"/>
      <w:lvlJc w:val="left"/>
      <w:pPr>
        <w:ind w:left="720" w:hanging="360"/>
      </w:pPr>
      <w:rPr>
        <w:rFonts w:hint="default"/>
        <w:b w:val="0"/>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0">
    <w:nsid w:val="36F75C9C"/>
    <w:multiLevelType w:val="hybridMultilevel"/>
    <w:tmpl w:val="28025E1E"/>
    <w:lvl w:ilvl="0" w:tplc="380A0001">
      <w:start w:val="1"/>
      <w:numFmt w:val="bullet"/>
      <w:lvlText w:val=""/>
      <w:lvlJc w:val="left"/>
      <w:pPr>
        <w:ind w:left="780" w:hanging="360"/>
      </w:pPr>
      <w:rPr>
        <w:rFonts w:ascii="Symbol" w:hAnsi="Symbol" w:hint="default"/>
      </w:rPr>
    </w:lvl>
    <w:lvl w:ilvl="1" w:tplc="380A0003" w:tentative="1">
      <w:start w:val="1"/>
      <w:numFmt w:val="bullet"/>
      <w:lvlText w:val="o"/>
      <w:lvlJc w:val="left"/>
      <w:pPr>
        <w:ind w:left="1500" w:hanging="360"/>
      </w:pPr>
      <w:rPr>
        <w:rFonts w:ascii="Courier New" w:hAnsi="Courier New" w:cs="Courier New" w:hint="default"/>
      </w:rPr>
    </w:lvl>
    <w:lvl w:ilvl="2" w:tplc="380A0005" w:tentative="1">
      <w:start w:val="1"/>
      <w:numFmt w:val="bullet"/>
      <w:lvlText w:val=""/>
      <w:lvlJc w:val="left"/>
      <w:pPr>
        <w:ind w:left="2220" w:hanging="360"/>
      </w:pPr>
      <w:rPr>
        <w:rFonts w:ascii="Wingdings" w:hAnsi="Wingdings" w:hint="default"/>
      </w:rPr>
    </w:lvl>
    <w:lvl w:ilvl="3" w:tplc="380A0001" w:tentative="1">
      <w:start w:val="1"/>
      <w:numFmt w:val="bullet"/>
      <w:lvlText w:val=""/>
      <w:lvlJc w:val="left"/>
      <w:pPr>
        <w:ind w:left="2940" w:hanging="360"/>
      </w:pPr>
      <w:rPr>
        <w:rFonts w:ascii="Symbol" w:hAnsi="Symbol" w:hint="default"/>
      </w:rPr>
    </w:lvl>
    <w:lvl w:ilvl="4" w:tplc="380A0003" w:tentative="1">
      <w:start w:val="1"/>
      <w:numFmt w:val="bullet"/>
      <w:lvlText w:val="o"/>
      <w:lvlJc w:val="left"/>
      <w:pPr>
        <w:ind w:left="3660" w:hanging="360"/>
      </w:pPr>
      <w:rPr>
        <w:rFonts w:ascii="Courier New" w:hAnsi="Courier New" w:cs="Courier New" w:hint="default"/>
      </w:rPr>
    </w:lvl>
    <w:lvl w:ilvl="5" w:tplc="380A0005" w:tentative="1">
      <w:start w:val="1"/>
      <w:numFmt w:val="bullet"/>
      <w:lvlText w:val=""/>
      <w:lvlJc w:val="left"/>
      <w:pPr>
        <w:ind w:left="4380" w:hanging="360"/>
      </w:pPr>
      <w:rPr>
        <w:rFonts w:ascii="Wingdings" w:hAnsi="Wingdings" w:hint="default"/>
      </w:rPr>
    </w:lvl>
    <w:lvl w:ilvl="6" w:tplc="380A0001" w:tentative="1">
      <w:start w:val="1"/>
      <w:numFmt w:val="bullet"/>
      <w:lvlText w:val=""/>
      <w:lvlJc w:val="left"/>
      <w:pPr>
        <w:ind w:left="5100" w:hanging="360"/>
      </w:pPr>
      <w:rPr>
        <w:rFonts w:ascii="Symbol" w:hAnsi="Symbol" w:hint="default"/>
      </w:rPr>
    </w:lvl>
    <w:lvl w:ilvl="7" w:tplc="380A0003" w:tentative="1">
      <w:start w:val="1"/>
      <w:numFmt w:val="bullet"/>
      <w:lvlText w:val="o"/>
      <w:lvlJc w:val="left"/>
      <w:pPr>
        <w:ind w:left="5820" w:hanging="360"/>
      </w:pPr>
      <w:rPr>
        <w:rFonts w:ascii="Courier New" w:hAnsi="Courier New" w:cs="Courier New" w:hint="default"/>
      </w:rPr>
    </w:lvl>
    <w:lvl w:ilvl="8" w:tplc="380A0005" w:tentative="1">
      <w:start w:val="1"/>
      <w:numFmt w:val="bullet"/>
      <w:lvlText w:val=""/>
      <w:lvlJc w:val="left"/>
      <w:pPr>
        <w:ind w:left="6540" w:hanging="360"/>
      </w:pPr>
      <w:rPr>
        <w:rFonts w:ascii="Wingdings" w:hAnsi="Wingdings" w:hint="default"/>
      </w:rPr>
    </w:lvl>
  </w:abstractNum>
  <w:abstractNum w:abstractNumId="21">
    <w:nsid w:val="372827D6"/>
    <w:multiLevelType w:val="hybridMultilevel"/>
    <w:tmpl w:val="D04ED824"/>
    <w:lvl w:ilvl="0" w:tplc="380A0011">
      <w:start w:val="1"/>
      <w:numFmt w:val="decimal"/>
      <w:lvlText w:val="%1)"/>
      <w:lvlJc w:val="left"/>
      <w:pPr>
        <w:ind w:left="720" w:hanging="360"/>
      </w:pPr>
      <w:rPr>
        <w:rFonts w:hint="default"/>
        <w:b w:val="0"/>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2">
    <w:nsid w:val="3E643BBB"/>
    <w:multiLevelType w:val="multilevel"/>
    <w:tmpl w:val="4CCA33F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3E8B1D0D"/>
    <w:multiLevelType w:val="hybridMultilevel"/>
    <w:tmpl w:val="CBE0DFCA"/>
    <w:lvl w:ilvl="0" w:tplc="DAAEECCC">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40D561A2"/>
    <w:multiLevelType w:val="hybridMultilevel"/>
    <w:tmpl w:val="8DE04BAC"/>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5">
    <w:nsid w:val="44B62F50"/>
    <w:multiLevelType w:val="hybridMultilevel"/>
    <w:tmpl w:val="63D8E080"/>
    <w:lvl w:ilvl="0" w:tplc="21BC6C8E">
      <w:start w:val="1"/>
      <w:numFmt w:val="decimal"/>
      <w:lvlText w:val="%1)"/>
      <w:lvlJc w:val="left"/>
      <w:pPr>
        <w:tabs>
          <w:tab w:val="num" w:pos="360"/>
        </w:tabs>
        <w:ind w:left="360" w:hanging="360"/>
      </w:pPr>
      <w:rPr>
        <w:rFonts w:hint="default"/>
        <w:b/>
      </w:rPr>
    </w:lvl>
    <w:lvl w:ilvl="1" w:tplc="E904C78A">
      <w:start w:val="1"/>
      <w:numFmt w:val="lowerLetter"/>
      <w:lvlText w:val="%2)"/>
      <w:lvlJc w:val="left"/>
      <w:pPr>
        <w:ind w:left="1485" w:hanging="405"/>
      </w:pPr>
      <w:rPr>
        <w:rFonts w:hint="default"/>
      </w:rPr>
    </w:lvl>
    <w:lvl w:ilvl="2" w:tplc="711CA07E">
      <w:start w:val="4"/>
      <w:numFmt w:val="upperLetter"/>
      <w:lvlText w:val="%3)"/>
      <w:lvlJc w:val="left"/>
      <w:pPr>
        <w:ind w:left="2340" w:hanging="360"/>
      </w:pPr>
      <w:rPr>
        <w:rFonts w:hint="default"/>
        <w:b w:val="0"/>
      </w:rPr>
    </w:lvl>
    <w:lvl w:ilvl="3" w:tplc="A41415E2">
      <w:start w:val="1"/>
      <w:numFmt w:val="decimal"/>
      <w:lvlText w:val="%4-"/>
      <w:lvlJc w:val="left"/>
      <w:pPr>
        <w:ind w:left="2880" w:hanging="360"/>
      </w:pPr>
      <w:rPr>
        <w:rFonts w:hint="default"/>
      </w:rPr>
    </w:lvl>
    <w:lvl w:ilvl="4" w:tplc="0AF007B6">
      <w:start w:val="1"/>
      <w:numFmt w:val="decimal"/>
      <w:lvlText w:val="%5."/>
      <w:lvlJc w:val="left"/>
      <w:pPr>
        <w:ind w:left="3600" w:hanging="360"/>
      </w:pPr>
      <w:rPr>
        <w:rFonts w:hint="default"/>
      </w:r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474A2782"/>
    <w:multiLevelType w:val="hybridMultilevel"/>
    <w:tmpl w:val="9E7A451C"/>
    <w:lvl w:ilvl="0" w:tplc="F02A139C">
      <w:start w:val="1"/>
      <w:numFmt w:val="upp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7">
    <w:nsid w:val="487B4AA9"/>
    <w:multiLevelType w:val="multilevel"/>
    <w:tmpl w:val="C720B25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59293E31"/>
    <w:multiLevelType w:val="hybridMultilevel"/>
    <w:tmpl w:val="1EDEABAA"/>
    <w:lvl w:ilvl="0" w:tplc="B91CDAB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5DA72614"/>
    <w:multiLevelType w:val="multilevel"/>
    <w:tmpl w:val="14E4E652"/>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63BE48B6"/>
    <w:multiLevelType w:val="hybridMultilevel"/>
    <w:tmpl w:val="265CF294"/>
    <w:lvl w:ilvl="0" w:tplc="285A75A2">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1">
    <w:nsid w:val="643B7438"/>
    <w:multiLevelType w:val="hybridMultilevel"/>
    <w:tmpl w:val="8C227604"/>
    <w:lvl w:ilvl="0" w:tplc="380A0017">
      <w:start w:val="1"/>
      <w:numFmt w:val="lowerLetter"/>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32">
    <w:nsid w:val="66052547"/>
    <w:multiLevelType w:val="multilevel"/>
    <w:tmpl w:val="2318A77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67D0577D"/>
    <w:multiLevelType w:val="multilevel"/>
    <w:tmpl w:val="017407D6"/>
    <w:lvl w:ilvl="0">
      <w:start w:val="8"/>
      <w:numFmt w:val="decimal"/>
      <w:lvlText w:val="%1."/>
      <w:lvlJc w:val="left"/>
      <w:pPr>
        <w:ind w:left="405" w:hanging="40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4">
    <w:nsid w:val="6E335C61"/>
    <w:multiLevelType w:val="hybridMultilevel"/>
    <w:tmpl w:val="1A3CBCE6"/>
    <w:lvl w:ilvl="0" w:tplc="E904C78A">
      <w:start w:val="1"/>
      <w:numFmt w:val="lowerLetter"/>
      <w:lvlText w:val="%1)"/>
      <w:lvlJc w:val="left"/>
      <w:pPr>
        <w:ind w:left="1485" w:hanging="4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6E947832"/>
    <w:multiLevelType w:val="hybridMultilevel"/>
    <w:tmpl w:val="1A3CBCE6"/>
    <w:lvl w:ilvl="0" w:tplc="E904C78A">
      <w:start w:val="1"/>
      <w:numFmt w:val="lowerLetter"/>
      <w:lvlText w:val="%1)"/>
      <w:lvlJc w:val="left"/>
      <w:pPr>
        <w:ind w:left="1485" w:hanging="4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6FB65886"/>
    <w:multiLevelType w:val="hybridMultilevel"/>
    <w:tmpl w:val="DD98ABB2"/>
    <w:lvl w:ilvl="0" w:tplc="EC4CE8C2">
      <w:start w:val="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7D18534C"/>
    <w:multiLevelType w:val="hybridMultilevel"/>
    <w:tmpl w:val="1A3CBCE6"/>
    <w:lvl w:ilvl="0" w:tplc="E904C78A">
      <w:start w:val="1"/>
      <w:numFmt w:val="lowerLetter"/>
      <w:lvlText w:val="%1)"/>
      <w:lvlJc w:val="left"/>
      <w:pPr>
        <w:ind w:left="1485" w:hanging="4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D2075D0"/>
    <w:multiLevelType w:val="multilevel"/>
    <w:tmpl w:val="FDAC3AD2"/>
    <w:lvl w:ilvl="0">
      <w:start w:val="1"/>
      <w:numFmt w:val="decimal"/>
      <w:lvlText w:val="%1."/>
      <w:lvlJc w:val="left"/>
      <w:pPr>
        <w:ind w:left="525" w:hanging="525"/>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5"/>
  </w:num>
  <w:num w:numId="2">
    <w:abstractNumId w:val="23"/>
  </w:num>
  <w:num w:numId="3">
    <w:abstractNumId w:val="2"/>
  </w:num>
  <w:num w:numId="4">
    <w:abstractNumId w:val="32"/>
  </w:num>
  <w:num w:numId="5">
    <w:abstractNumId w:val="38"/>
  </w:num>
  <w:num w:numId="6">
    <w:abstractNumId w:val="27"/>
  </w:num>
  <w:num w:numId="7">
    <w:abstractNumId w:val="21"/>
  </w:num>
  <w:num w:numId="8">
    <w:abstractNumId w:val="31"/>
  </w:num>
  <w:num w:numId="9">
    <w:abstractNumId w:val="19"/>
  </w:num>
  <w:num w:numId="10">
    <w:abstractNumId w:val="20"/>
  </w:num>
  <w:num w:numId="11">
    <w:abstractNumId w:val="24"/>
  </w:num>
  <w:num w:numId="12">
    <w:abstractNumId w:val="36"/>
  </w:num>
  <w:num w:numId="13">
    <w:abstractNumId w:val="4"/>
  </w:num>
  <w:num w:numId="14">
    <w:abstractNumId w:val="9"/>
  </w:num>
  <w:num w:numId="15">
    <w:abstractNumId w:val="34"/>
  </w:num>
  <w:num w:numId="16">
    <w:abstractNumId w:val="35"/>
  </w:num>
  <w:num w:numId="17">
    <w:abstractNumId w:val="37"/>
  </w:num>
  <w:num w:numId="18">
    <w:abstractNumId w:val="16"/>
  </w:num>
  <w:num w:numId="19">
    <w:abstractNumId w:val="17"/>
  </w:num>
  <w:num w:numId="20">
    <w:abstractNumId w:val="22"/>
  </w:num>
  <w:num w:numId="21">
    <w:abstractNumId w:val="28"/>
  </w:num>
  <w:num w:numId="22">
    <w:abstractNumId w:val="1"/>
  </w:num>
  <w:num w:numId="23">
    <w:abstractNumId w:val="30"/>
  </w:num>
  <w:num w:numId="24">
    <w:abstractNumId w:val="18"/>
  </w:num>
  <w:num w:numId="25">
    <w:abstractNumId w:val="26"/>
  </w:num>
  <w:num w:numId="26">
    <w:abstractNumId w:val="8"/>
  </w:num>
  <w:num w:numId="27">
    <w:abstractNumId w:val="6"/>
  </w:num>
  <w:num w:numId="28">
    <w:abstractNumId w:val="11"/>
  </w:num>
  <w:num w:numId="29">
    <w:abstractNumId w:val="0"/>
  </w:num>
  <w:num w:numId="30">
    <w:abstractNumId w:val="14"/>
  </w:num>
  <w:num w:numId="31">
    <w:abstractNumId w:val="7"/>
  </w:num>
  <w:num w:numId="32">
    <w:abstractNumId w:val="10"/>
  </w:num>
  <w:num w:numId="33">
    <w:abstractNumId w:val="33"/>
  </w:num>
  <w:num w:numId="34">
    <w:abstractNumId w:val="12"/>
  </w:num>
  <w:num w:numId="35">
    <w:abstractNumId w:val="5"/>
  </w:num>
  <w:num w:numId="36">
    <w:abstractNumId w:val="15"/>
  </w:num>
  <w:num w:numId="37">
    <w:abstractNumId w:val="29"/>
  </w:num>
  <w:num w:numId="38">
    <w:abstractNumId w:val="13"/>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B46"/>
    <w:rsid w:val="000021D1"/>
    <w:rsid w:val="000113D8"/>
    <w:rsid w:val="00011D92"/>
    <w:rsid w:val="00012634"/>
    <w:rsid w:val="000137C3"/>
    <w:rsid w:val="00014389"/>
    <w:rsid w:val="00023CD0"/>
    <w:rsid w:val="00025D5F"/>
    <w:rsid w:val="0003042B"/>
    <w:rsid w:val="00031593"/>
    <w:rsid w:val="00034BCC"/>
    <w:rsid w:val="00036551"/>
    <w:rsid w:val="00036BBF"/>
    <w:rsid w:val="00041E0F"/>
    <w:rsid w:val="000442BF"/>
    <w:rsid w:val="00045AD3"/>
    <w:rsid w:val="00055749"/>
    <w:rsid w:val="00063CCA"/>
    <w:rsid w:val="00086991"/>
    <w:rsid w:val="0009062C"/>
    <w:rsid w:val="000B57D4"/>
    <w:rsid w:val="000B6936"/>
    <w:rsid w:val="000C0070"/>
    <w:rsid w:val="000D4D48"/>
    <w:rsid w:val="000D6CB3"/>
    <w:rsid w:val="000E2F81"/>
    <w:rsid w:val="000F1411"/>
    <w:rsid w:val="000F1896"/>
    <w:rsid w:val="000F5141"/>
    <w:rsid w:val="000F77B6"/>
    <w:rsid w:val="00114182"/>
    <w:rsid w:val="0012723E"/>
    <w:rsid w:val="00131A3A"/>
    <w:rsid w:val="00132531"/>
    <w:rsid w:val="0013256F"/>
    <w:rsid w:val="00135600"/>
    <w:rsid w:val="00135864"/>
    <w:rsid w:val="001510CC"/>
    <w:rsid w:val="00152442"/>
    <w:rsid w:val="001655C0"/>
    <w:rsid w:val="00165DC0"/>
    <w:rsid w:val="00166BC6"/>
    <w:rsid w:val="0017765B"/>
    <w:rsid w:val="001800B2"/>
    <w:rsid w:val="00192FAD"/>
    <w:rsid w:val="001A1F59"/>
    <w:rsid w:val="001A42B8"/>
    <w:rsid w:val="001B1D04"/>
    <w:rsid w:val="001B3FF1"/>
    <w:rsid w:val="001B6C46"/>
    <w:rsid w:val="001C742B"/>
    <w:rsid w:val="001D1C2C"/>
    <w:rsid w:val="001E4A69"/>
    <w:rsid w:val="001F5BD5"/>
    <w:rsid w:val="00204ABE"/>
    <w:rsid w:val="00210C0B"/>
    <w:rsid w:val="00222553"/>
    <w:rsid w:val="00222B82"/>
    <w:rsid w:val="0022389D"/>
    <w:rsid w:val="00223A84"/>
    <w:rsid w:val="002316D4"/>
    <w:rsid w:val="00234071"/>
    <w:rsid w:val="00236104"/>
    <w:rsid w:val="00237A9A"/>
    <w:rsid w:val="00237C03"/>
    <w:rsid w:val="00243477"/>
    <w:rsid w:val="00245268"/>
    <w:rsid w:val="00246B06"/>
    <w:rsid w:val="00250553"/>
    <w:rsid w:val="00252F62"/>
    <w:rsid w:val="00264968"/>
    <w:rsid w:val="002649F5"/>
    <w:rsid w:val="00265E41"/>
    <w:rsid w:val="002778F4"/>
    <w:rsid w:val="002C17F1"/>
    <w:rsid w:val="002C2B32"/>
    <w:rsid w:val="002C61F4"/>
    <w:rsid w:val="002C7C7F"/>
    <w:rsid w:val="002D007A"/>
    <w:rsid w:val="002D23EE"/>
    <w:rsid w:val="002D2796"/>
    <w:rsid w:val="002E5D0A"/>
    <w:rsid w:val="002F0297"/>
    <w:rsid w:val="002F1083"/>
    <w:rsid w:val="002F2180"/>
    <w:rsid w:val="002F5798"/>
    <w:rsid w:val="002F6554"/>
    <w:rsid w:val="002F6990"/>
    <w:rsid w:val="003039C4"/>
    <w:rsid w:val="00304974"/>
    <w:rsid w:val="00316851"/>
    <w:rsid w:val="00325212"/>
    <w:rsid w:val="00331789"/>
    <w:rsid w:val="00331D5C"/>
    <w:rsid w:val="003350F2"/>
    <w:rsid w:val="003428DB"/>
    <w:rsid w:val="0034738B"/>
    <w:rsid w:val="00362363"/>
    <w:rsid w:val="003657C9"/>
    <w:rsid w:val="00371FFC"/>
    <w:rsid w:val="00377F97"/>
    <w:rsid w:val="0038123B"/>
    <w:rsid w:val="00390BF9"/>
    <w:rsid w:val="003914C9"/>
    <w:rsid w:val="003935A1"/>
    <w:rsid w:val="003A0485"/>
    <w:rsid w:val="003E3039"/>
    <w:rsid w:val="003E34FD"/>
    <w:rsid w:val="003F3A83"/>
    <w:rsid w:val="003F63ED"/>
    <w:rsid w:val="00401057"/>
    <w:rsid w:val="0040736E"/>
    <w:rsid w:val="0043138B"/>
    <w:rsid w:val="00435D63"/>
    <w:rsid w:val="0045755C"/>
    <w:rsid w:val="00470F8C"/>
    <w:rsid w:val="004761FE"/>
    <w:rsid w:val="004767F9"/>
    <w:rsid w:val="004827E5"/>
    <w:rsid w:val="00482A82"/>
    <w:rsid w:val="00484761"/>
    <w:rsid w:val="00484F2D"/>
    <w:rsid w:val="004868A8"/>
    <w:rsid w:val="0049242E"/>
    <w:rsid w:val="00496D4B"/>
    <w:rsid w:val="004A26F6"/>
    <w:rsid w:val="004B22E5"/>
    <w:rsid w:val="004B2560"/>
    <w:rsid w:val="004B5EF8"/>
    <w:rsid w:val="004C076E"/>
    <w:rsid w:val="004C646D"/>
    <w:rsid w:val="004D1BDE"/>
    <w:rsid w:val="004D5330"/>
    <w:rsid w:val="004D6F3A"/>
    <w:rsid w:val="004E07A6"/>
    <w:rsid w:val="004E0D22"/>
    <w:rsid w:val="004E45F9"/>
    <w:rsid w:val="004E4C7F"/>
    <w:rsid w:val="004F13EA"/>
    <w:rsid w:val="004F7F2C"/>
    <w:rsid w:val="00507C21"/>
    <w:rsid w:val="0051691B"/>
    <w:rsid w:val="0052213E"/>
    <w:rsid w:val="005337CE"/>
    <w:rsid w:val="005358F2"/>
    <w:rsid w:val="00537CFF"/>
    <w:rsid w:val="00542EEA"/>
    <w:rsid w:val="00546EAF"/>
    <w:rsid w:val="00564B2B"/>
    <w:rsid w:val="00571D95"/>
    <w:rsid w:val="00594892"/>
    <w:rsid w:val="005A1F6F"/>
    <w:rsid w:val="005A20A5"/>
    <w:rsid w:val="005A6E25"/>
    <w:rsid w:val="005B477E"/>
    <w:rsid w:val="005C6763"/>
    <w:rsid w:val="005D5D10"/>
    <w:rsid w:val="005E2AFC"/>
    <w:rsid w:val="005E7248"/>
    <w:rsid w:val="005F0C04"/>
    <w:rsid w:val="005F0D98"/>
    <w:rsid w:val="005F30AF"/>
    <w:rsid w:val="005F3FE6"/>
    <w:rsid w:val="00610E4F"/>
    <w:rsid w:val="00624DC7"/>
    <w:rsid w:val="006301C7"/>
    <w:rsid w:val="00635E1B"/>
    <w:rsid w:val="00640815"/>
    <w:rsid w:val="006556EF"/>
    <w:rsid w:val="00656821"/>
    <w:rsid w:val="00661EE4"/>
    <w:rsid w:val="00664E87"/>
    <w:rsid w:val="00667DE0"/>
    <w:rsid w:val="00676214"/>
    <w:rsid w:val="00680E46"/>
    <w:rsid w:val="00693B60"/>
    <w:rsid w:val="006A400F"/>
    <w:rsid w:val="006B027A"/>
    <w:rsid w:val="006B231D"/>
    <w:rsid w:val="006C2CF1"/>
    <w:rsid w:val="006D3F9F"/>
    <w:rsid w:val="006D4F20"/>
    <w:rsid w:val="006D515C"/>
    <w:rsid w:val="006F4741"/>
    <w:rsid w:val="006F7850"/>
    <w:rsid w:val="00703179"/>
    <w:rsid w:val="00712D3C"/>
    <w:rsid w:val="00725D37"/>
    <w:rsid w:val="00735B07"/>
    <w:rsid w:val="00742E7B"/>
    <w:rsid w:val="00747594"/>
    <w:rsid w:val="007532A2"/>
    <w:rsid w:val="00760BF6"/>
    <w:rsid w:val="00767055"/>
    <w:rsid w:val="007711E8"/>
    <w:rsid w:val="00772A5F"/>
    <w:rsid w:val="0079515F"/>
    <w:rsid w:val="007951F5"/>
    <w:rsid w:val="007A0A2A"/>
    <w:rsid w:val="007B3FAF"/>
    <w:rsid w:val="007B6BAD"/>
    <w:rsid w:val="007B7D6B"/>
    <w:rsid w:val="007C755B"/>
    <w:rsid w:val="007C7B1A"/>
    <w:rsid w:val="007D2C19"/>
    <w:rsid w:val="007E25F8"/>
    <w:rsid w:val="007E36BE"/>
    <w:rsid w:val="007E7225"/>
    <w:rsid w:val="007E7800"/>
    <w:rsid w:val="007F179B"/>
    <w:rsid w:val="007F5F8C"/>
    <w:rsid w:val="00801CD7"/>
    <w:rsid w:val="008038B6"/>
    <w:rsid w:val="00810FE2"/>
    <w:rsid w:val="00831291"/>
    <w:rsid w:val="00842653"/>
    <w:rsid w:val="008428BC"/>
    <w:rsid w:val="00842B3A"/>
    <w:rsid w:val="008444A4"/>
    <w:rsid w:val="00852528"/>
    <w:rsid w:val="008532A6"/>
    <w:rsid w:val="00863C9D"/>
    <w:rsid w:val="00885B00"/>
    <w:rsid w:val="00887CFB"/>
    <w:rsid w:val="008A7328"/>
    <w:rsid w:val="008B08C0"/>
    <w:rsid w:val="008C21D4"/>
    <w:rsid w:val="008D34C3"/>
    <w:rsid w:val="008D4A77"/>
    <w:rsid w:val="008E00FE"/>
    <w:rsid w:val="008E2A26"/>
    <w:rsid w:val="008E3B25"/>
    <w:rsid w:val="008F312F"/>
    <w:rsid w:val="008F619E"/>
    <w:rsid w:val="00900079"/>
    <w:rsid w:val="00901768"/>
    <w:rsid w:val="00922C57"/>
    <w:rsid w:val="0093107D"/>
    <w:rsid w:val="009310F5"/>
    <w:rsid w:val="00940678"/>
    <w:rsid w:val="00950393"/>
    <w:rsid w:val="00960D19"/>
    <w:rsid w:val="009641A8"/>
    <w:rsid w:val="00966986"/>
    <w:rsid w:val="00974989"/>
    <w:rsid w:val="0097753A"/>
    <w:rsid w:val="009859D8"/>
    <w:rsid w:val="009A392F"/>
    <w:rsid w:val="009A668D"/>
    <w:rsid w:val="009A675B"/>
    <w:rsid w:val="009C02E8"/>
    <w:rsid w:val="009E2075"/>
    <w:rsid w:val="009F00D5"/>
    <w:rsid w:val="009F13DD"/>
    <w:rsid w:val="00A0711E"/>
    <w:rsid w:val="00A17A57"/>
    <w:rsid w:val="00A26A2B"/>
    <w:rsid w:val="00A27628"/>
    <w:rsid w:val="00A3472A"/>
    <w:rsid w:val="00A357EF"/>
    <w:rsid w:val="00A40E23"/>
    <w:rsid w:val="00A41BC2"/>
    <w:rsid w:val="00A42758"/>
    <w:rsid w:val="00A504A2"/>
    <w:rsid w:val="00A52A7D"/>
    <w:rsid w:val="00A550A5"/>
    <w:rsid w:val="00A61637"/>
    <w:rsid w:val="00A7682E"/>
    <w:rsid w:val="00A81690"/>
    <w:rsid w:val="00A82DD1"/>
    <w:rsid w:val="00A94540"/>
    <w:rsid w:val="00A95D35"/>
    <w:rsid w:val="00AA364C"/>
    <w:rsid w:val="00AB0013"/>
    <w:rsid w:val="00AB693E"/>
    <w:rsid w:val="00AC14A1"/>
    <w:rsid w:val="00AD0614"/>
    <w:rsid w:val="00AD0B42"/>
    <w:rsid w:val="00AD4E39"/>
    <w:rsid w:val="00AD6955"/>
    <w:rsid w:val="00AE0BBE"/>
    <w:rsid w:val="00AE553D"/>
    <w:rsid w:val="00AE6B66"/>
    <w:rsid w:val="00B24717"/>
    <w:rsid w:val="00B2719D"/>
    <w:rsid w:val="00B3037C"/>
    <w:rsid w:val="00B3242B"/>
    <w:rsid w:val="00B45E53"/>
    <w:rsid w:val="00B57082"/>
    <w:rsid w:val="00B62F9B"/>
    <w:rsid w:val="00B77B74"/>
    <w:rsid w:val="00B82987"/>
    <w:rsid w:val="00BA3DAB"/>
    <w:rsid w:val="00BA6877"/>
    <w:rsid w:val="00BA76DF"/>
    <w:rsid w:val="00BB4E94"/>
    <w:rsid w:val="00BB4F16"/>
    <w:rsid w:val="00BB7B19"/>
    <w:rsid w:val="00BC0A0D"/>
    <w:rsid w:val="00BE0FE8"/>
    <w:rsid w:val="00BE2C5D"/>
    <w:rsid w:val="00BF3E3D"/>
    <w:rsid w:val="00BF5505"/>
    <w:rsid w:val="00C04C22"/>
    <w:rsid w:val="00C11676"/>
    <w:rsid w:val="00C14840"/>
    <w:rsid w:val="00C1538B"/>
    <w:rsid w:val="00C16E24"/>
    <w:rsid w:val="00C23A2F"/>
    <w:rsid w:val="00C2512B"/>
    <w:rsid w:val="00C46C7C"/>
    <w:rsid w:val="00C547F3"/>
    <w:rsid w:val="00C71C50"/>
    <w:rsid w:val="00C76368"/>
    <w:rsid w:val="00CA474B"/>
    <w:rsid w:val="00CA7043"/>
    <w:rsid w:val="00CB18B1"/>
    <w:rsid w:val="00CB619A"/>
    <w:rsid w:val="00CB62CC"/>
    <w:rsid w:val="00CD4980"/>
    <w:rsid w:val="00CE5782"/>
    <w:rsid w:val="00CF07BA"/>
    <w:rsid w:val="00CF4B73"/>
    <w:rsid w:val="00D00017"/>
    <w:rsid w:val="00D13F03"/>
    <w:rsid w:val="00D25908"/>
    <w:rsid w:val="00D3638D"/>
    <w:rsid w:val="00D37085"/>
    <w:rsid w:val="00D4594D"/>
    <w:rsid w:val="00D45EDF"/>
    <w:rsid w:val="00D653C1"/>
    <w:rsid w:val="00D7024D"/>
    <w:rsid w:val="00D725B5"/>
    <w:rsid w:val="00D90455"/>
    <w:rsid w:val="00D94593"/>
    <w:rsid w:val="00D95523"/>
    <w:rsid w:val="00D96D63"/>
    <w:rsid w:val="00DA4090"/>
    <w:rsid w:val="00DA5600"/>
    <w:rsid w:val="00DB07D6"/>
    <w:rsid w:val="00DB75C9"/>
    <w:rsid w:val="00DD1DCC"/>
    <w:rsid w:val="00DE13E1"/>
    <w:rsid w:val="00E27B2C"/>
    <w:rsid w:val="00E326C0"/>
    <w:rsid w:val="00E404BE"/>
    <w:rsid w:val="00E47028"/>
    <w:rsid w:val="00E56170"/>
    <w:rsid w:val="00E617D9"/>
    <w:rsid w:val="00E67216"/>
    <w:rsid w:val="00E70F92"/>
    <w:rsid w:val="00E70FC9"/>
    <w:rsid w:val="00E75081"/>
    <w:rsid w:val="00E91C8B"/>
    <w:rsid w:val="00E94612"/>
    <w:rsid w:val="00EA7E2C"/>
    <w:rsid w:val="00EE7066"/>
    <w:rsid w:val="00F05C12"/>
    <w:rsid w:val="00F10690"/>
    <w:rsid w:val="00F14D80"/>
    <w:rsid w:val="00F158AA"/>
    <w:rsid w:val="00F263D6"/>
    <w:rsid w:val="00F322CE"/>
    <w:rsid w:val="00F32E91"/>
    <w:rsid w:val="00F33C70"/>
    <w:rsid w:val="00F44793"/>
    <w:rsid w:val="00F47C97"/>
    <w:rsid w:val="00F52970"/>
    <w:rsid w:val="00F61277"/>
    <w:rsid w:val="00F6263C"/>
    <w:rsid w:val="00F76930"/>
    <w:rsid w:val="00F81A9A"/>
    <w:rsid w:val="00F9665E"/>
    <w:rsid w:val="00F96AEE"/>
    <w:rsid w:val="00FA0861"/>
    <w:rsid w:val="00FA5B13"/>
    <w:rsid w:val="00FB2B46"/>
    <w:rsid w:val="00FB6380"/>
    <w:rsid w:val="00FB6B7A"/>
    <w:rsid w:val="00FC07C8"/>
    <w:rsid w:val="00FC0B85"/>
    <w:rsid w:val="00FC1A24"/>
    <w:rsid w:val="00FD09C2"/>
    <w:rsid w:val="00FE115A"/>
    <w:rsid w:val="00FE24E6"/>
    <w:rsid w:val="00FF6857"/>
    <w:rsid w:val="00FF760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lang w:val="es-ES" w:eastAsia="es-ES"/>
    </w:rPr>
  </w:style>
  <w:style w:type="paragraph" w:styleId="Ttulo1">
    <w:name w:val="heading 1"/>
    <w:basedOn w:val="Normal"/>
    <w:next w:val="Normal"/>
    <w:qFormat/>
    <w:pPr>
      <w:keepNext/>
      <w:spacing w:line="360" w:lineRule="auto"/>
      <w:jc w:val="both"/>
      <w:outlineLvl w:val="0"/>
    </w:pPr>
    <w:rPr>
      <w:rFonts w:cs="Arial"/>
      <w:b/>
      <w:lang w:val="es-MX"/>
    </w:rPr>
  </w:style>
  <w:style w:type="paragraph" w:styleId="Ttulo2">
    <w:name w:val="heading 2"/>
    <w:basedOn w:val="Normal"/>
    <w:next w:val="Normal"/>
    <w:qFormat/>
    <w:pPr>
      <w:keepNext/>
      <w:spacing w:line="360" w:lineRule="auto"/>
      <w:jc w:val="center"/>
      <w:outlineLvl w:val="1"/>
    </w:pPr>
    <w:rPr>
      <w:rFonts w:cs="Arial"/>
      <w:b/>
      <w:lang w:val="es-MX"/>
    </w:rPr>
  </w:style>
  <w:style w:type="paragraph" w:styleId="Ttulo3">
    <w:name w:val="heading 3"/>
    <w:basedOn w:val="Normal"/>
    <w:next w:val="Normal"/>
    <w:qFormat/>
    <w:pPr>
      <w:keepNext/>
      <w:spacing w:line="360" w:lineRule="auto"/>
      <w:outlineLvl w:val="2"/>
    </w:pPr>
    <w:rPr>
      <w:b/>
      <w:lang w:val="es-MX"/>
    </w:rPr>
  </w:style>
  <w:style w:type="paragraph" w:styleId="Ttulo6">
    <w:name w:val="heading 6"/>
    <w:basedOn w:val="Normal"/>
    <w:next w:val="Normal"/>
    <w:qFormat/>
    <w:pPr>
      <w:keepNext/>
      <w:spacing w:line="360" w:lineRule="auto"/>
      <w:jc w:val="both"/>
      <w:outlineLvl w:val="5"/>
    </w:pPr>
    <w:rPr>
      <w:i/>
      <w:szCs w:val="24"/>
      <w:lang w:val="es-MX"/>
    </w:rPr>
  </w:style>
  <w:style w:type="paragraph" w:styleId="Ttulo9">
    <w:name w:val="heading 9"/>
    <w:basedOn w:val="Normal"/>
    <w:next w:val="Normal"/>
    <w:qFormat/>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semiHidden/>
    <w:pPr>
      <w:tabs>
        <w:tab w:val="center" w:pos="4419"/>
        <w:tab w:val="right" w:pos="8838"/>
      </w:tabs>
    </w:pPr>
  </w:style>
  <w:style w:type="character" w:styleId="Nmerodepgina">
    <w:name w:val="page number"/>
    <w:basedOn w:val="Fuentedeprrafopredeter"/>
    <w:semiHidden/>
  </w:style>
  <w:style w:type="paragraph" w:styleId="Ttulo">
    <w:name w:val="Title"/>
    <w:basedOn w:val="Normal"/>
    <w:qFormat/>
    <w:pPr>
      <w:spacing w:line="360" w:lineRule="auto"/>
      <w:jc w:val="center"/>
    </w:pPr>
    <w:rPr>
      <w:rFonts w:cs="Arial"/>
      <w:b/>
      <w:u w:val="single"/>
      <w:lang w:val="es-MX"/>
    </w:rPr>
  </w:style>
  <w:style w:type="paragraph" w:styleId="Textoindependiente">
    <w:name w:val="Body Text"/>
    <w:basedOn w:val="Normal"/>
    <w:semiHidden/>
    <w:pPr>
      <w:spacing w:line="360" w:lineRule="auto"/>
      <w:jc w:val="both"/>
    </w:pPr>
    <w:rPr>
      <w:rFonts w:cs="Arial"/>
      <w:bCs/>
      <w:lang w:val="es-MX"/>
    </w:rPr>
  </w:style>
  <w:style w:type="paragraph" w:styleId="Textoindependiente2">
    <w:name w:val="Body Text 2"/>
    <w:basedOn w:val="Normal"/>
    <w:semiHidden/>
    <w:rPr>
      <w:b/>
      <w:lang w:val="es-MX"/>
    </w:rPr>
  </w:style>
  <w:style w:type="paragraph" w:styleId="Prrafodelista">
    <w:name w:val="List Paragraph"/>
    <w:basedOn w:val="Normal"/>
    <w:qFormat/>
    <w:pPr>
      <w:ind w:left="708"/>
    </w:pPr>
  </w:style>
  <w:style w:type="paragraph" w:customStyle="1" w:styleId="Prrafodelista1">
    <w:name w:val="Párrafo de lista1"/>
    <w:basedOn w:val="Normal"/>
    <w:pPr>
      <w:ind w:left="720"/>
    </w:pPr>
    <w:rPr>
      <w:rFonts w:cs="Arial"/>
    </w:rPr>
  </w:style>
  <w:style w:type="paragraph" w:styleId="Textodeglobo">
    <w:name w:val="Balloon Text"/>
    <w:basedOn w:val="Normal"/>
    <w:semiHidden/>
    <w:unhideWhenUsed/>
    <w:rPr>
      <w:rFonts w:ascii="Tahoma" w:hAnsi="Tahoma" w:cs="Tahoma"/>
      <w:sz w:val="16"/>
      <w:szCs w:val="16"/>
    </w:rPr>
  </w:style>
  <w:style w:type="character" w:customStyle="1" w:styleId="TextodegloboCar">
    <w:name w:val="Texto de globo Car"/>
    <w:semiHidden/>
    <w:rPr>
      <w:rFonts w:ascii="Tahoma" w:hAnsi="Tahoma" w:cs="Tahoma"/>
      <w:sz w:val="16"/>
      <w:szCs w:val="16"/>
    </w:rPr>
  </w:style>
  <w:style w:type="paragraph" w:styleId="Textoindependiente3">
    <w:name w:val="Body Text 3"/>
    <w:basedOn w:val="Normal"/>
    <w:semiHidden/>
    <w:pPr>
      <w:spacing w:line="360" w:lineRule="auto"/>
      <w:jc w:val="both"/>
    </w:pPr>
    <w:rPr>
      <w:rFonts w:cs="Arial"/>
      <w:b/>
      <w:bCs/>
      <w:lang w:val="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lang w:val="es-ES" w:eastAsia="es-ES"/>
    </w:rPr>
  </w:style>
  <w:style w:type="paragraph" w:styleId="Ttulo1">
    <w:name w:val="heading 1"/>
    <w:basedOn w:val="Normal"/>
    <w:next w:val="Normal"/>
    <w:qFormat/>
    <w:pPr>
      <w:keepNext/>
      <w:spacing w:line="360" w:lineRule="auto"/>
      <w:jc w:val="both"/>
      <w:outlineLvl w:val="0"/>
    </w:pPr>
    <w:rPr>
      <w:rFonts w:cs="Arial"/>
      <w:b/>
      <w:lang w:val="es-MX"/>
    </w:rPr>
  </w:style>
  <w:style w:type="paragraph" w:styleId="Ttulo2">
    <w:name w:val="heading 2"/>
    <w:basedOn w:val="Normal"/>
    <w:next w:val="Normal"/>
    <w:qFormat/>
    <w:pPr>
      <w:keepNext/>
      <w:spacing w:line="360" w:lineRule="auto"/>
      <w:jc w:val="center"/>
      <w:outlineLvl w:val="1"/>
    </w:pPr>
    <w:rPr>
      <w:rFonts w:cs="Arial"/>
      <w:b/>
      <w:lang w:val="es-MX"/>
    </w:rPr>
  </w:style>
  <w:style w:type="paragraph" w:styleId="Ttulo3">
    <w:name w:val="heading 3"/>
    <w:basedOn w:val="Normal"/>
    <w:next w:val="Normal"/>
    <w:qFormat/>
    <w:pPr>
      <w:keepNext/>
      <w:spacing w:line="360" w:lineRule="auto"/>
      <w:outlineLvl w:val="2"/>
    </w:pPr>
    <w:rPr>
      <w:b/>
      <w:lang w:val="es-MX"/>
    </w:rPr>
  </w:style>
  <w:style w:type="paragraph" w:styleId="Ttulo6">
    <w:name w:val="heading 6"/>
    <w:basedOn w:val="Normal"/>
    <w:next w:val="Normal"/>
    <w:qFormat/>
    <w:pPr>
      <w:keepNext/>
      <w:spacing w:line="360" w:lineRule="auto"/>
      <w:jc w:val="both"/>
      <w:outlineLvl w:val="5"/>
    </w:pPr>
    <w:rPr>
      <w:i/>
      <w:szCs w:val="24"/>
      <w:lang w:val="es-MX"/>
    </w:rPr>
  </w:style>
  <w:style w:type="paragraph" w:styleId="Ttulo9">
    <w:name w:val="heading 9"/>
    <w:basedOn w:val="Normal"/>
    <w:next w:val="Normal"/>
    <w:qFormat/>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semiHidden/>
    <w:pPr>
      <w:tabs>
        <w:tab w:val="center" w:pos="4419"/>
        <w:tab w:val="right" w:pos="8838"/>
      </w:tabs>
    </w:pPr>
  </w:style>
  <w:style w:type="character" w:styleId="Nmerodepgina">
    <w:name w:val="page number"/>
    <w:basedOn w:val="Fuentedeprrafopredeter"/>
    <w:semiHidden/>
  </w:style>
  <w:style w:type="paragraph" w:styleId="Ttulo">
    <w:name w:val="Title"/>
    <w:basedOn w:val="Normal"/>
    <w:qFormat/>
    <w:pPr>
      <w:spacing w:line="360" w:lineRule="auto"/>
      <w:jc w:val="center"/>
    </w:pPr>
    <w:rPr>
      <w:rFonts w:cs="Arial"/>
      <w:b/>
      <w:u w:val="single"/>
      <w:lang w:val="es-MX"/>
    </w:rPr>
  </w:style>
  <w:style w:type="paragraph" w:styleId="Textoindependiente">
    <w:name w:val="Body Text"/>
    <w:basedOn w:val="Normal"/>
    <w:semiHidden/>
    <w:pPr>
      <w:spacing w:line="360" w:lineRule="auto"/>
      <w:jc w:val="both"/>
    </w:pPr>
    <w:rPr>
      <w:rFonts w:cs="Arial"/>
      <w:bCs/>
      <w:lang w:val="es-MX"/>
    </w:rPr>
  </w:style>
  <w:style w:type="paragraph" w:styleId="Textoindependiente2">
    <w:name w:val="Body Text 2"/>
    <w:basedOn w:val="Normal"/>
    <w:semiHidden/>
    <w:rPr>
      <w:b/>
      <w:lang w:val="es-MX"/>
    </w:rPr>
  </w:style>
  <w:style w:type="paragraph" w:styleId="Prrafodelista">
    <w:name w:val="List Paragraph"/>
    <w:basedOn w:val="Normal"/>
    <w:qFormat/>
    <w:pPr>
      <w:ind w:left="708"/>
    </w:pPr>
  </w:style>
  <w:style w:type="paragraph" w:customStyle="1" w:styleId="Prrafodelista1">
    <w:name w:val="Párrafo de lista1"/>
    <w:basedOn w:val="Normal"/>
    <w:pPr>
      <w:ind w:left="720"/>
    </w:pPr>
    <w:rPr>
      <w:rFonts w:cs="Arial"/>
    </w:rPr>
  </w:style>
  <w:style w:type="paragraph" w:styleId="Textodeglobo">
    <w:name w:val="Balloon Text"/>
    <w:basedOn w:val="Normal"/>
    <w:semiHidden/>
    <w:unhideWhenUsed/>
    <w:rPr>
      <w:rFonts w:ascii="Tahoma" w:hAnsi="Tahoma" w:cs="Tahoma"/>
      <w:sz w:val="16"/>
      <w:szCs w:val="16"/>
    </w:rPr>
  </w:style>
  <w:style w:type="character" w:customStyle="1" w:styleId="TextodegloboCar">
    <w:name w:val="Texto de globo Car"/>
    <w:semiHidden/>
    <w:rPr>
      <w:rFonts w:ascii="Tahoma" w:hAnsi="Tahoma" w:cs="Tahoma"/>
      <w:sz w:val="16"/>
      <w:szCs w:val="16"/>
    </w:rPr>
  </w:style>
  <w:style w:type="paragraph" w:styleId="Textoindependiente3">
    <w:name w:val="Body Text 3"/>
    <w:basedOn w:val="Normal"/>
    <w:semiHidden/>
    <w:pPr>
      <w:spacing w:line="360" w:lineRule="auto"/>
      <w:jc w:val="both"/>
    </w:pPr>
    <w:rPr>
      <w:rFonts w:cs="Arial"/>
      <w:b/>
      <w:bCs/>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E004F-941F-408D-8CC7-5658BFCDF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1140</Words>
  <Characters>6191</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Licitación Publica o abreviada</vt:lpstr>
    </vt:vector>
  </TitlesOfParts>
  <Company>Tribunal de Cuentas</Company>
  <LinksUpToDate>false</LinksUpToDate>
  <CharactersWithSpaces>7317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Licitación Publica o abreviada</dc:title>
  <dc:creator>Tribunal1</dc:creator>
  <cp:lastModifiedBy>Tribunal1</cp:lastModifiedBy>
  <cp:revision>9</cp:revision>
  <cp:lastPrinted>2019-04-12T16:10:00Z</cp:lastPrinted>
  <dcterms:created xsi:type="dcterms:W3CDTF">2019-05-30T14:45:00Z</dcterms:created>
  <dcterms:modified xsi:type="dcterms:W3CDTF">2019-06-14T17:53:00Z</dcterms:modified>
</cp:coreProperties>
</file>