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38" w:rsidRPr="007A7443" w:rsidRDefault="00C91E38" w:rsidP="00C91E38">
      <w:pPr>
        <w:tabs>
          <w:tab w:val="center" w:pos="4253"/>
        </w:tabs>
        <w:suppressAutoHyphens/>
        <w:spacing w:line="480" w:lineRule="auto"/>
        <w:jc w:val="right"/>
        <w:rPr>
          <w:rFonts w:ascii="Arial" w:hAnsi="Arial" w:cs="Arial"/>
          <w:b w:val="0"/>
          <w:sz w:val="28"/>
          <w:szCs w:val="28"/>
        </w:rPr>
      </w:pPr>
      <w:bookmarkStart w:id="0" w:name="_GoBack"/>
      <w:bookmarkEnd w:id="0"/>
      <w:r w:rsidRPr="007A7443">
        <w:rPr>
          <w:rFonts w:ascii="Arial" w:hAnsi="Arial" w:cs="Arial"/>
          <w:sz w:val="28"/>
          <w:szCs w:val="28"/>
        </w:rPr>
        <w:t xml:space="preserve">RES. </w:t>
      </w:r>
      <w:r>
        <w:rPr>
          <w:rFonts w:ascii="Arial" w:hAnsi="Arial" w:cs="Arial"/>
          <w:sz w:val="28"/>
          <w:szCs w:val="28"/>
        </w:rPr>
        <w:t>1302</w:t>
      </w:r>
      <w:r w:rsidRPr="007A7443">
        <w:rPr>
          <w:rFonts w:ascii="Arial" w:hAnsi="Arial" w:cs="Arial"/>
          <w:sz w:val="28"/>
          <w:szCs w:val="28"/>
        </w:rPr>
        <w:t>/19</w:t>
      </w:r>
    </w:p>
    <w:p w:rsidR="00C91E38" w:rsidRPr="000F48AC" w:rsidRDefault="00C91E38" w:rsidP="00C91E38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 w:val="0"/>
          <w:szCs w:val="24"/>
          <w:lang w:val="es-ES_tradnl"/>
        </w:rPr>
      </w:pPr>
      <w:r w:rsidRPr="000F48AC">
        <w:rPr>
          <w:rFonts w:ascii="Arial" w:hAnsi="Arial" w:cs="Arial"/>
          <w:szCs w:val="24"/>
          <w:lang w:val="es-ES_tradnl"/>
        </w:rPr>
        <w:t>RESOLUCION ADOPTADA POR EL</w:t>
      </w:r>
    </w:p>
    <w:p w:rsidR="00C91E38" w:rsidRPr="000F48AC" w:rsidRDefault="00C91E38" w:rsidP="00C91E38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 w:val="0"/>
          <w:szCs w:val="24"/>
          <w:lang w:val="es-ES_tradnl"/>
        </w:rPr>
      </w:pPr>
      <w:r w:rsidRPr="000F48AC">
        <w:rPr>
          <w:rFonts w:ascii="Arial" w:hAnsi="Arial" w:cs="Arial"/>
          <w:szCs w:val="24"/>
          <w:lang w:val="es-ES_tradnl"/>
        </w:rPr>
        <w:t>TRIBUNAL DE CUENTAS</w:t>
      </w:r>
    </w:p>
    <w:p w:rsidR="00C91E38" w:rsidRPr="000F48AC" w:rsidRDefault="00C91E38" w:rsidP="00C91E38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 w:val="0"/>
          <w:szCs w:val="24"/>
          <w:lang w:val="es-ES_tradnl"/>
        </w:rPr>
      </w:pPr>
      <w:r w:rsidRPr="000F48AC">
        <w:rPr>
          <w:rFonts w:ascii="Arial" w:hAnsi="Arial" w:cs="Arial"/>
          <w:szCs w:val="24"/>
          <w:lang w:val="es-ES_tradnl"/>
        </w:rPr>
        <w:t xml:space="preserve">EN SESION DE FECHA </w:t>
      </w:r>
      <w:r>
        <w:rPr>
          <w:rFonts w:ascii="Arial" w:hAnsi="Arial" w:cs="Arial"/>
          <w:szCs w:val="24"/>
          <w:lang w:val="es-ES_tradnl"/>
        </w:rPr>
        <w:t>29 DE MAYO DE 2019</w:t>
      </w:r>
    </w:p>
    <w:p w:rsidR="00C91E38" w:rsidRDefault="00C91E38" w:rsidP="00C91E38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szCs w:val="24"/>
        </w:rPr>
      </w:pPr>
      <w:r w:rsidRPr="00BB4DEC">
        <w:rPr>
          <w:rFonts w:ascii="Arial" w:hAnsi="Arial" w:cs="Arial"/>
          <w:szCs w:val="24"/>
        </w:rPr>
        <w:t>(E.</w:t>
      </w:r>
      <w:r>
        <w:rPr>
          <w:rFonts w:ascii="Arial" w:hAnsi="Arial" w:cs="Arial"/>
          <w:szCs w:val="24"/>
        </w:rPr>
        <w:t xml:space="preserve"> E. Nº 2018-17-1-0007053, </w:t>
      </w:r>
      <w:proofErr w:type="spellStart"/>
      <w:r>
        <w:rPr>
          <w:rFonts w:ascii="Arial" w:hAnsi="Arial" w:cs="Arial"/>
          <w:szCs w:val="24"/>
        </w:rPr>
        <w:t>Ent</w:t>
      </w:r>
      <w:proofErr w:type="spellEnd"/>
      <w:r>
        <w:rPr>
          <w:rFonts w:ascii="Arial" w:hAnsi="Arial" w:cs="Arial"/>
          <w:szCs w:val="24"/>
        </w:rPr>
        <w:t>. N° 1759/19</w:t>
      </w:r>
      <w:r w:rsidRPr="00BB4DEC">
        <w:rPr>
          <w:rFonts w:ascii="Arial" w:hAnsi="Arial" w:cs="Arial"/>
          <w:szCs w:val="24"/>
        </w:rPr>
        <w:t>)</w:t>
      </w:r>
    </w:p>
    <w:p w:rsidR="00974FBA" w:rsidRDefault="00974FBA" w:rsidP="00C91E38">
      <w:pPr>
        <w:spacing w:line="360" w:lineRule="auto"/>
        <w:jc w:val="both"/>
        <w:rPr>
          <w:rFonts w:ascii="Arial" w:hAnsi="Arial" w:cs="Arial"/>
          <w:b w:val="0"/>
          <w:szCs w:val="24"/>
        </w:rPr>
      </w:pPr>
    </w:p>
    <w:p w:rsidR="0024192F" w:rsidRDefault="0024192F" w:rsidP="00974FBA">
      <w:pPr>
        <w:spacing w:line="360" w:lineRule="auto"/>
        <w:ind w:firstLine="851"/>
        <w:jc w:val="both"/>
        <w:rPr>
          <w:rFonts w:ascii="Arial" w:hAnsi="Arial"/>
          <w:b w:val="0"/>
          <w:color w:val="auto"/>
          <w:szCs w:val="24"/>
          <w:lang w:val="es-UY"/>
        </w:rPr>
      </w:pPr>
      <w:r>
        <w:rPr>
          <w:rFonts w:ascii="Arial" w:hAnsi="Arial"/>
          <w:color w:val="auto"/>
          <w:szCs w:val="24"/>
          <w:lang w:val="es-UY"/>
        </w:rPr>
        <w:t xml:space="preserve">VISTO: </w:t>
      </w:r>
      <w:r>
        <w:rPr>
          <w:rFonts w:ascii="Arial" w:hAnsi="Arial"/>
          <w:b w:val="0"/>
          <w:color w:val="auto"/>
          <w:szCs w:val="24"/>
          <w:lang w:val="es-UY"/>
        </w:rPr>
        <w:t xml:space="preserve">las actuaciones remitidas por la Contadora Delegada ante la Intendencia de Florida, relacionadas con la </w:t>
      </w:r>
      <w:r w:rsidR="00F505AA">
        <w:rPr>
          <w:rFonts w:ascii="Arial" w:hAnsi="Arial"/>
          <w:b w:val="0"/>
          <w:color w:val="auto"/>
          <w:szCs w:val="24"/>
          <w:lang w:val="es-UY"/>
        </w:rPr>
        <w:t xml:space="preserve">reiteración del gasto emergente de la </w:t>
      </w:r>
      <w:r>
        <w:rPr>
          <w:rFonts w:ascii="Arial" w:hAnsi="Arial"/>
          <w:b w:val="0"/>
          <w:color w:val="auto"/>
          <w:szCs w:val="24"/>
          <w:lang w:val="es-UY"/>
        </w:rPr>
        <w:t>ampliación de la Licitación Pública Nº 2/2016</w:t>
      </w:r>
      <w:r w:rsidR="00F505AA">
        <w:rPr>
          <w:rFonts w:ascii="Arial" w:hAnsi="Arial"/>
          <w:b w:val="0"/>
          <w:color w:val="auto"/>
          <w:szCs w:val="24"/>
          <w:lang w:val="es-UY"/>
        </w:rPr>
        <w:t>,</w:t>
      </w:r>
      <w:r>
        <w:rPr>
          <w:rFonts w:ascii="Arial" w:hAnsi="Arial"/>
          <w:b w:val="0"/>
          <w:color w:val="auto"/>
          <w:szCs w:val="24"/>
          <w:lang w:val="es-UY"/>
        </w:rPr>
        <w:t xml:space="preserve"> convocada para la “Recuperación, estabilizado y construcción de pavimentos bituminosos</w:t>
      </w:r>
      <w:r w:rsidR="00974FBA">
        <w:rPr>
          <w:rFonts w:ascii="Arial" w:hAnsi="Arial"/>
          <w:b w:val="0"/>
          <w:color w:val="auto"/>
          <w:szCs w:val="24"/>
          <w:lang w:val="es-UY"/>
        </w:rPr>
        <w:t xml:space="preserve"> en la localidad de La Macana”;</w:t>
      </w:r>
    </w:p>
    <w:p w:rsidR="0024192F" w:rsidRDefault="00974FBA" w:rsidP="00974FBA">
      <w:pPr>
        <w:spacing w:line="360" w:lineRule="auto"/>
        <w:ind w:firstLine="851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color w:val="auto"/>
          <w:szCs w:val="24"/>
          <w:lang w:val="es-UY"/>
        </w:rPr>
        <w:t>RESULTANDO: 1)</w:t>
      </w:r>
      <w:r w:rsidR="0024192F">
        <w:rPr>
          <w:rFonts w:ascii="Arial" w:hAnsi="Arial" w:cs="Arial"/>
          <w:bCs/>
          <w:lang w:val="es-ES_tradnl"/>
        </w:rPr>
        <w:t xml:space="preserve"> </w:t>
      </w:r>
      <w:r w:rsidR="0024192F">
        <w:rPr>
          <w:rFonts w:ascii="Arial" w:hAnsi="Arial" w:cs="Arial"/>
          <w:b w:val="0"/>
          <w:bCs/>
          <w:lang w:val="es-ES_tradnl"/>
        </w:rPr>
        <w:t xml:space="preserve">que </w:t>
      </w:r>
      <w:r w:rsidR="00F505AA">
        <w:rPr>
          <w:rFonts w:ascii="Arial" w:hAnsi="Arial" w:cs="Arial"/>
          <w:b w:val="0"/>
          <w:bCs/>
          <w:lang w:val="es-ES_tradnl"/>
        </w:rPr>
        <w:t>mediante</w:t>
      </w:r>
      <w:r w:rsidR="00F505AA">
        <w:rPr>
          <w:rFonts w:ascii="Arial" w:hAnsi="Arial"/>
          <w:b w:val="0"/>
          <w:bCs/>
          <w:color w:val="auto"/>
          <w:szCs w:val="24"/>
          <w:lang w:val="es-UY"/>
        </w:rPr>
        <w:t xml:space="preserve"> Resolución Nº 5016/16, de fecha 26/10/016, el Ejecutivo Departamental dispuso la adjudicación de la Licitación a la firma HERNÁNDEZ Y GONZÁLEZ S.A., por un total de $ 9:913.337, (I.V.A. y Leyes Sociales incluidos), en los términos aconsejados por la Comisión Asesora de Adjudicaciones, notificándose de la misma a las firmas oferentes</w:t>
      </w:r>
      <w:r w:rsidR="00E942B1">
        <w:rPr>
          <w:rFonts w:ascii="Arial" w:hAnsi="Arial"/>
          <w:b w:val="0"/>
          <w:bCs/>
          <w:color w:val="auto"/>
          <w:szCs w:val="24"/>
          <w:lang w:val="es-UY"/>
        </w:rPr>
        <w:t>,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con fecha 27/10/016;</w:t>
      </w:r>
    </w:p>
    <w:p w:rsidR="00F505AA" w:rsidRDefault="00974FBA" w:rsidP="00974FBA">
      <w:pPr>
        <w:spacing w:line="360" w:lineRule="auto"/>
        <w:ind w:firstLine="2694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 xml:space="preserve"> </w:t>
      </w:r>
      <w:r w:rsidR="00F505AA">
        <w:rPr>
          <w:rFonts w:ascii="Arial" w:hAnsi="Arial"/>
          <w:bCs/>
          <w:color w:val="auto"/>
          <w:szCs w:val="24"/>
          <w:lang w:val="es-UY"/>
        </w:rPr>
        <w:t>2</w:t>
      </w:r>
      <w:r w:rsidR="0024192F">
        <w:rPr>
          <w:rFonts w:ascii="Arial" w:hAnsi="Arial"/>
          <w:bCs/>
          <w:color w:val="auto"/>
          <w:szCs w:val="24"/>
          <w:lang w:val="es-UY"/>
        </w:rPr>
        <w:t xml:space="preserve">) </w:t>
      </w:r>
      <w:r w:rsidR="0024192F">
        <w:rPr>
          <w:rFonts w:ascii="Arial" w:hAnsi="Arial"/>
          <w:b w:val="0"/>
          <w:bCs/>
          <w:color w:val="auto"/>
          <w:szCs w:val="24"/>
          <w:lang w:val="es-UY"/>
        </w:rPr>
        <w:t>que el Tribunal de Cuentas, en sesión de fecha 28/12/16</w:t>
      </w:r>
      <w:r w:rsidR="0022599D">
        <w:rPr>
          <w:rFonts w:ascii="Arial" w:hAnsi="Arial"/>
          <w:b w:val="0"/>
          <w:bCs/>
          <w:color w:val="auto"/>
          <w:szCs w:val="24"/>
          <w:lang w:val="es-UY"/>
        </w:rPr>
        <w:t xml:space="preserve"> (Res. N°4654/16)</w:t>
      </w:r>
      <w:r w:rsidR="00F505AA">
        <w:rPr>
          <w:rFonts w:ascii="Arial" w:hAnsi="Arial"/>
          <w:b w:val="0"/>
          <w:bCs/>
          <w:color w:val="auto"/>
          <w:szCs w:val="24"/>
          <w:lang w:val="es-UY"/>
        </w:rPr>
        <w:t>,</w:t>
      </w:r>
      <w:r w:rsidR="0024192F">
        <w:rPr>
          <w:rFonts w:ascii="Arial" w:hAnsi="Arial"/>
          <w:b w:val="0"/>
          <w:bCs/>
          <w:color w:val="auto"/>
          <w:szCs w:val="24"/>
          <w:lang w:val="es-UY"/>
        </w:rPr>
        <w:t xml:space="preserve"> o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bservó el gasto por cuanto</w:t>
      </w:r>
      <w:r w:rsidR="00F505AA">
        <w:rPr>
          <w:rFonts w:ascii="Arial" w:hAnsi="Arial"/>
          <w:b w:val="0"/>
          <w:bCs/>
          <w:color w:val="auto"/>
          <w:szCs w:val="24"/>
          <w:lang w:val="es-UY"/>
        </w:rPr>
        <w:t>:</w:t>
      </w:r>
    </w:p>
    <w:p w:rsidR="00E942B1" w:rsidRDefault="00F505AA" w:rsidP="0024192F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F505AA">
        <w:rPr>
          <w:rFonts w:ascii="Arial" w:hAnsi="Arial"/>
          <w:bCs/>
          <w:color w:val="auto"/>
          <w:szCs w:val="24"/>
          <w:lang w:val="es-UY"/>
        </w:rPr>
        <w:t>2.1)</w:t>
      </w:r>
      <w:r w:rsidR="0024192F">
        <w:rPr>
          <w:rFonts w:ascii="Arial" w:hAnsi="Arial"/>
          <w:b w:val="0"/>
          <w:bCs/>
          <w:color w:val="auto"/>
          <w:szCs w:val="24"/>
          <w:lang w:val="es-UY"/>
        </w:rPr>
        <w:t xml:space="preserve"> el rubro de imput</w:t>
      </w:r>
      <w:r w:rsidR="0022599D">
        <w:rPr>
          <w:rFonts w:ascii="Arial" w:hAnsi="Arial"/>
          <w:b w:val="0"/>
          <w:bCs/>
          <w:color w:val="auto"/>
          <w:szCs w:val="24"/>
          <w:lang w:val="es-UY"/>
        </w:rPr>
        <w:t>ación carecía</w:t>
      </w:r>
      <w:r w:rsidR="0024192F">
        <w:rPr>
          <w:rFonts w:ascii="Arial" w:hAnsi="Arial"/>
          <w:b w:val="0"/>
          <w:bCs/>
          <w:color w:val="auto"/>
          <w:szCs w:val="24"/>
          <w:lang w:val="es-UY"/>
        </w:rPr>
        <w:t xml:space="preserve"> de disponibilidad presupuestal, </w:t>
      </w:r>
      <w:r w:rsidR="00E942B1">
        <w:rPr>
          <w:rFonts w:ascii="Arial" w:hAnsi="Arial"/>
          <w:b w:val="0"/>
          <w:bCs/>
          <w:color w:val="auto"/>
          <w:szCs w:val="24"/>
          <w:lang w:val="es-UY"/>
        </w:rPr>
        <w:t>contraviniéndose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 xml:space="preserve"> l</w:t>
      </w:r>
      <w:r w:rsidR="00E942B1">
        <w:rPr>
          <w:rFonts w:ascii="Arial" w:hAnsi="Arial"/>
          <w:b w:val="0"/>
          <w:bCs/>
          <w:color w:val="auto"/>
          <w:szCs w:val="24"/>
          <w:lang w:val="es-UY"/>
        </w:rPr>
        <w:t>o dispuesto por el ar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tículo 15 del T.O.C.A.F.</w:t>
      </w:r>
      <w:r w:rsidR="00343FEB">
        <w:rPr>
          <w:rFonts w:ascii="Arial" w:hAnsi="Arial"/>
          <w:b w:val="0"/>
          <w:bCs/>
          <w:color w:val="auto"/>
          <w:szCs w:val="24"/>
          <w:lang w:val="es-UY"/>
        </w:rPr>
        <w:t>,</w:t>
      </w:r>
    </w:p>
    <w:p w:rsidR="00974FBA" w:rsidRDefault="00F505AA" w:rsidP="0024192F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162DBF">
        <w:rPr>
          <w:rFonts w:ascii="Arial" w:hAnsi="Arial"/>
          <w:bCs/>
          <w:color w:val="auto"/>
          <w:szCs w:val="24"/>
          <w:lang w:val="es-UY"/>
        </w:rPr>
        <w:t>2.2)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24192F">
        <w:rPr>
          <w:rFonts w:ascii="Arial" w:hAnsi="Arial"/>
          <w:b w:val="0"/>
          <w:bCs/>
          <w:color w:val="auto"/>
          <w:szCs w:val="24"/>
          <w:lang w:val="es-UY"/>
        </w:rPr>
        <w:t>la resolución disponiendo la adjudicación de la convocatoria ya había sido  notificada a la firma adjudicataria, en contraven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 xml:space="preserve">ción a lo dispuesto por el </w:t>
      </w:r>
      <w:r w:rsidR="00E942B1">
        <w:rPr>
          <w:rFonts w:ascii="Arial" w:hAnsi="Arial"/>
          <w:b w:val="0"/>
          <w:bCs/>
          <w:color w:val="auto"/>
          <w:szCs w:val="24"/>
          <w:lang w:val="es-UY"/>
        </w:rPr>
        <w:t>a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rt</w:t>
      </w:r>
      <w:r w:rsidR="00A34504">
        <w:rPr>
          <w:rFonts w:ascii="Arial" w:hAnsi="Arial"/>
          <w:b w:val="0"/>
          <w:bCs/>
          <w:color w:val="auto"/>
          <w:szCs w:val="24"/>
          <w:lang w:val="es-UY"/>
        </w:rPr>
        <w:t>.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24192F">
        <w:rPr>
          <w:rFonts w:ascii="Arial" w:hAnsi="Arial"/>
          <w:b w:val="0"/>
          <w:bCs/>
          <w:color w:val="auto"/>
          <w:szCs w:val="24"/>
          <w:lang w:val="es-UY"/>
        </w:rPr>
        <w:t xml:space="preserve">211 </w:t>
      </w:r>
      <w:proofErr w:type="spellStart"/>
      <w:r w:rsidR="00E942B1">
        <w:rPr>
          <w:rFonts w:ascii="Arial" w:hAnsi="Arial"/>
          <w:b w:val="0"/>
          <w:bCs/>
          <w:color w:val="auto"/>
          <w:szCs w:val="24"/>
          <w:lang w:val="es-UY"/>
        </w:rPr>
        <w:t>l</w:t>
      </w:r>
      <w:r w:rsidR="0024192F">
        <w:rPr>
          <w:rFonts w:ascii="Arial" w:hAnsi="Arial"/>
          <w:b w:val="0"/>
          <w:bCs/>
          <w:color w:val="auto"/>
          <w:szCs w:val="24"/>
          <w:lang w:val="es-UY"/>
        </w:rPr>
        <w:t>it.</w:t>
      </w:r>
      <w:proofErr w:type="spellEnd"/>
      <w:r w:rsidR="0024192F">
        <w:rPr>
          <w:rFonts w:ascii="Arial" w:hAnsi="Arial"/>
          <w:b w:val="0"/>
          <w:bCs/>
          <w:color w:val="auto"/>
          <w:szCs w:val="24"/>
          <w:lang w:val="es-UY"/>
        </w:rPr>
        <w:t xml:space="preserve"> B) de l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a Constitución de la República;</w:t>
      </w:r>
    </w:p>
    <w:p w:rsidR="00974FBA" w:rsidRDefault="00974FBA" w:rsidP="00974FBA">
      <w:pPr>
        <w:spacing w:line="360" w:lineRule="auto"/>
        <w:ind w:firstLine="2694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A34504">
        <w:rPr>
          <w:rFonts w:ascii="Arial" w:hAnsi="Arial"/>
          <w:bCs/>
          <w:color w:val="auto"/>
          <w:szCs w:val="24"/>
          <w:lang w:val="es-UY"/>
        </w:rPr>
        <w:t>3</w:t>
      </w:r>
      <w:r w:rsidR="0024192F">
        <w:rPr>
          <w:rFonts w:ascii="Arial" w:hAnsi="Arial"/>
          <w:bCs/>
          <w:color w:val="auto"/>
          <w:szCs w:val="24"/>
          <w:lang w:val="es-UY"/>
        </w:rPr>
        <w:t xml:space="preserve">) </w:t>
      </w:r>
      <w:r w:rsidR="0024192F">
        <w:rPr>
          <w:rFonts w:ascii="Arial" w:hAnsi="Arial"/>
          <w:b w:val="0"/>
          <w:bCs/>
          <w:color w:val="auto"/>
          <w:szCs w:val="24"/>
          <w:lang w:val="es-UY"/>
        </w:rPr>
        <w:t xml:space="preserve">que </w:t>
      </w:r>
      <w:r w:rsidR="00A34504">
        <w:rPr>
          <w:rFonts w:ascii="Arial" w:hAnsi="Arial"/>
          <w:b w:val="0"/>
          <w:bCs/>
          <w:color w:val="auto"/>
          <w:szCs w:val="24"/>
          <w:lang w:val="es-UY"/>
        </w:rPr>
        <w:t>mediante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 xml:space="preserve"> Resolución N</w:t>
      </w:r>
      <w:r w:rsidR="0024192F">
        <w:rPr>
          <w:rFonts w:ascii="Arial" w:hAnsi="Arial"/>
          <w:b w:val="0"/>
          <w:bCs/>
          <w:color w:val="auto"/>
          <w:szCs w:val="24"/>
          <w:lang w:val="es-UY"/>
        </w:rPr>
        <w:t>° 1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1.907/18, de fecha  16/11/</w:t>
      </w:r>
      <w:r w:rsidR="00A34504">
        <w:rPr>
          <w:rFonts w:ascii="Arial" w:hAnsi="Arial"/>
          <w:b w:val="0"/>
          <w:bCs/>
          <w:color w:val="auto"/>
          <w:szCs w:val="24"/>
          <w:lang w:val="es-UY"/>
        </w:rPr>
        <w:t>0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18</w:t>
      </w:r>
      <w:r w:rsidR="00A34504">
        <w:rPr>
          <w:rFonts w:ascii="Arial" w:hAnsi="Arial"/>
          <w:b w:val="0"/>
          <w:bCs/>
          <w:color w:val="auto"/>
          <w:szCs w:val="24"/>
          <w:lang w:val="es-UY"/>
        </w:rPr>
        <w:t>,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A34504">
        <w:rPr>
          <w:rFonts w:ascii="Arial" w:hAnsi="Arial"/>
          <w:b w:val="0"/>
          <w:bCs/>
          <w:color w:val="auto"/>
          <w:szCs w:val="24"/>
          <w:lang w:val="es-UY"/>
        </w:rPr>
        <w:t xml:space="preserve">el Intendente 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>dispuso ampliar en un 100% la L</w:t>
      </w:r>
      <w:r w:rsidR="0024192F">
        <w:rPr>
          <w:rFonts w:ascii="Arial" w:hAnsi="Arial"/>
          <w:b w:val="0"/>
          <w:bCs/>
          <w:color w:val="auto"/>
          <w:szCs w:val="24"/>
          <w:lang w:val="es-UY"/>
        </w:rPr>
        <w:t>icitación Pública de referencia</w:t>
      </w:r>
      <w:r w:rsidR="004F3FF4">
        <w:rPr>
          <w:rFonts w:ascii="Arial" w:hAnsi="Arial"/>
          <w:b w:val="0"/>
          <w:bCs/>
          <w:color w:val="auto"/>
          <w:szCs w:val="24"/>
          <w:lang w:val="es-UY"/>
        </w:rPr>
        <w:t>, habiéndose recabado la conformidad de la firma adjudicataria;</w:t>
      </w:r>
    </w:p>
    <w:p w:rsidR="00974FBA" w:rsidRDefault="00974FBA" w:rsidP="00974FBA">
      <w:pPr>
        <w:spacing w:line="360" w:lineRule="auto"/>
        <w:ind w:firstLine="2694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 w:val="0"/>
          <w:bCs/>
          <w:color w:val="auto"/>
          <w:szCs w:val="24"/>
          <w:lang w:val="es-UY"/>
        </w:rPr>
        <w:lastRenderedPageBreak/>
        <w:t xml:space="preserve"> </w:t>
      </w:r>
      <w:r w:rsidR="00A34504">
        <w:rPr>
          <w:rFonts w:ascii="Arial" w:hAnsi="Arial"/>
          <w:bCs/>
          <w:color w:val="auto"/>
          <w:szCs w:val="24"/>
          <w:lang w:val="es-UY"/>
        </w:rPr>
        <w:t>4</w:t>
      </w:r>
      <w:r w:rsidR="004F3FF4">
        <w:rPr>
          <w:rFonts w:ascii="Arial" w:hAnsi="Arial"/>
          <w:bCs/>
          <w:color w:val="auto"/>
          <w:szCs w:val="24"/>
          <w:lang w:val="es-UY"/>
        </w:rPr>
        <w:t xml:space="preserve">) </w:t>
      </w:r>
      <w:r w:rsidR="00177E58">
        <w:rPr>
          <w:rFonts w:ascii="Arial" w:hAnsi="Arial"/>
          <w:b w:val="0"/>
          <w:bCs/>
          <w:color w:val="auto"/>
          <w:szCs w:val="24"/>
          <w:lang w:val="es-UY"/>
        </w:rPr>
        <w:t xml:space="preserve">que </w:t>
      </w:r>
      <w:r w:rsidR="00A34504">
        <w:rPr>
          <w:rFonts w:ascii="Arial" w:hAnsi="Arial"/>
          <w:b w:val="0"/>
          <w:bCs/>
          <w:color w:val="auto"/>
          <w:szCs w:val="24"/>
          <w:lang w:val="es-UY"/>
        </w:rPr>
        <w:t xml:space="preserve">mediante </w:t>
      </w:r>
      <w:r w:rsidR="00A34504" w:rsidRPr="00A34504">
        <w:rPr>
          <w:rFonts w:ascii="Arial" w:hAnsi="Arial"/>
          <w:b w:val="0"/>
          <w:bCs/>
          <w:color w:val="auto"/>
          <w:szCs w:val="24"/>
          <w:lang w:val="es-UY"/>
        </w:rPr>
        <w:t>Res</w:t>
      </w:r>
      <w:r w:rsidR="00A34504">
        <w:rPr>
          <w:rFonts w:ascii="Arial" w:hAnsi="Arial"/>
          <w:b w:val="0"/>
          <w:bCs/>
          <w:color w:val="auto"/>
          <w:szCs w:val="24"/>
          <w:lang w:val="es-UY"/>
        </w:rPr>
        <w:t>olución</w:t>
      </w:r>
      <w:r w:rsidR="00A34504" w:rsidRPr="00A34504">
        <w:rPr>
          <w:rFonts w:ascii="Arial" w:hAnsi="Arial"/>
          <w:b w:val="0"/>
          <w:bCs/>
          <w:color w:val="auto"/>
          <w:szCs w:val="24"/>
          <w:lang w:val="es-UY"/>
        </w:rPr>
        <w:t xml:space="preserve"> N°</w:t>
      </w:r>
      <w:r w:rsidR="00A603D3">
        <w:rPr>
          <w:rFonts w:ascii="Arial" w:hAnsi="Arial"/>
          <w:b w:val="0"/>
          <w:bCs/>
          <w:color w:val="auto"/>
          <w:szCs w:val="24"/>
          <w:lang w:val="es-UY"/>
        </w:rPr>
        <w:t xml:space="preserve"> 3872</w:t>
      </w:r>
      <w:r w:rsidR="00A34504" w:rsidRPr="00A34504">
        <w:rPr>
          <w:rFonts w:ascii="Arial" w:hAnsi="Arial"/>
          <w:b w:val="0"/>
          <w:bCs/>
          <w:color w:val="auto"/>
          <w:szCs w:val="24"/>
          <w:lang w:val="es-UY"/>
        </w:rPr>
        <w:t>/1</w:t>
      </w:r>
      <w:r w:rsidR="00D72744">
        <w:rPr>
          <w:rFonts w:ascii="Arial" w:hAnsi="Arial"/>
          <w:b w:val="0"/>
          <w:bCs/>
          <w:color w:val="auto"/>
          <w:szCs w:val="24"/>
          <w:lang w:val="es-UY"/>
        </w:rPr>
        <w:t>8</w:t>
      </w:r>
      <w:r w:rsidR="00A34504">
        <w:rPr>
          <w:rFonts w:ascii="Arial" w:hAnsi="Arial"/>
          <w:b w:val="0"/>
          <w:bCs/>
          <w:color w:val="auto"/>
          <w:szCs w:val="24"/>
          <w:lang w:val="es-UY"/>
        </w:rPr>
        <w:t xml:space="preserve">, adoptada </w:t>
      </w:r>
      <w:r w:rsidR="00A34504" w:rsidRPr="00A34504">
        <w:rPr>
          <w:rFonts w:ascii="Arial" w:hAnsi="Arial"/>
          <w:b w:val="0"/>
          <w:bCs/>
          <w:color w:val="auto"/>
          <w:szCs w:val="24"/>
          <w:lang w:val="es-UY"/>
        </w:rPr>
        <w:t xml:space="preserve">en sesión de fecha </w:t>
      </w:r>
      <w:r w:rsidR="00A603D3">
        <w:rPr>
          <w:rFonts w:ascii="Arial" w:hAnsi="Arial"/>
          <w:b w:val="0"/>
          <w:bCs/>
          <w:color w:val="auto"/>
          <w:szCs w:val="24"/>
          <w:lang w:val="es-UY"/>
        </w:rPr>
        <w:t>19</w:t>
      </w:r>
      <w:r w:rsidR="00A34504" w:rsidRPr="00A34504">
        <w:rPr>
          <w:rFonts w:ascii="Arial" w:hAnsi="Arial"/>
          <w:b w:val="0"/>
          <w:bCs/>
          <w:color w:val="auto"/>
          <w:szCs w:val="24"/>
          <w:lang w:val="es-UY"/>
        </w:rPr>
        <w:t>/12/</w:t>
      </w:r>
      <w:r w:rsidR="00A34504">
        <w:rPr>
          <w:rFonts w:ascii="Arial" w:hAnsi="Arial"/>
          <w:b w:val="0"/>
          <w:bCs/>
          <w:color w:val="auto"/>
          <w:szCs w:val="24"/>
          <w:lang w:val="es-UY"/>
        </w:rPr>
        <w:t>0</w:t>
      </w:r>
      <w:r w:rsidR="00A34504" w:rsidRPr="00A34504">
        <w:rPr>
          <w:rFonts w:ascii="Arial" w:hAnsi="Arial"/>
          <w:b w:val="0"/>
          <w:bCs/>
          <w:color w:val="auto"/>
          <w:szCs w:val="24"/>
          <w:lang w:val="es-UY"/>
        </w:rPr>
        <w:t>1</w:t>
      </w:r>
      <w:r w:rsidR="00A603D3">
        <w:rPr>
          <w:rFonts w:ascii="Arial" w:hAnsi="Arial"/>
          <w:b w:val="0"/>
          <w:bCs/>
          <w:color w:val="auto"/>
          <w:szCs w:val="24"/>
          <w:lang w:val="es-UY"/>
        </w:rPr>
        <w:t>8</w:t>
      </w:r>
      <w:r w:rsidR="00A34504" w:rsidRPr="00A34504">
        <w:rPr>
          <w:rFonts w:ascii="Arial" w:hAnsi="Arial"/>
          <w:b w:val="0"/>
          <w:bCs/>
          <w:color w:val="auto"/>
          <w:szCs w:val="24"/>
          <w:lang w:val="es-UY"/>
        </w:rPr>
        <w:t>, el Tribunal de Cuentas, observó el gasto</w:t>
      </w:r>
      <w:r w:rsidR="000D46A4">
        <w:rPr>
          <w:rFonts w:ascii="Arial" w:hAnsi="Arial"/>
          <w:b w:val="0"/>
          <w:bCs/>
          <w:color w:val="auto"/>
          <w:szCs w:val="24"/>
          <w:lang w:val="es-UY"/>
        </w:rPr>
        <w:t xml:space="preserve"> emergente de la ampliación por contravenir </w:t>
      </w:r>
      <w:r w:rsidR="000D46A4" w:rsidRPr="000D46A4">
        <w:rPr>
          <w:rFonts w:ascii="Arial" w:hAnsi="Arial"/>
          <w:b w:val="0"/>
          <w:bCs/>
          <w:color w:val="auto"/>
          <w:szCs w:val="24"/>
          <w:lang w:val="es-UY"/>
        </w:rPr>
        <w:t>lo dispuesto por el Art</w:t>
      </w:r>
      <w:r w:rsidR="000D46A4">
        <w:rPr>
          <w:rFonts w:ascii="Arial" w:hAnsi="Arial"/>
          <w:b w:val="0"/>
          <w:bCs/>
          <w:color w:val="auto"/>
          <w:szCs w:val="24"/>
          <w:lang w:val="es-UY"/>
        </w:rPr>
        <w:t>.</w:t>
      </w:r>
      <w:r w:rsidR="000D46A4" w:rsidRPr="000D46A4">
        <w:rPr>
          <w:rFonts w:ascii="Arial" w:hAnsi="Arial"/>
          <w:b w:val="0"/>
          <w:bCs/>
          <w:color w:val="auto"/>
          <w:szCs w:val="24"/>
          <w:lang w:val="es-UY"/>
        </w:rPr>
        <w:t xml:space="preserve"> 15 del T</w:t>
      </w:r>
      <w:r w:rsidR="000D46A4">
        <w:rPr>
          <w:rFonts w:ascii="Arial" w:hAnsi="Arial"/>
          <w:b w:val="0"/>
          <w:bCs/>
          <w:color w:val="auto"/>
          <w:szCs w:val="24"/>
          <w:lang w:val="es-UY"/>
        </w:rPr>
        <w:t>.</w:t>
      </w:r>
      <w:r w:rsidR="000D46A4" w:rsidRPr="000D46A4">
        <w:rPr>
          <w:rFonts w:ascii="Arial" w:hAnsi="Arial"/>
          <w:b w:val="0"/>
          <w:bCs/>
          <w:color w:val="auto"/>
          <w:szCs w:val="24"/>
          <w:lang w:val="es-UY"/>
        </w:rPr>
        <w:t>O</w:t>
      </w:r>
      <w:r w:rsidR="000D46A4">
        <w:rPr>
          <w:rFonts w:ascii="Arial" w:hAnsi="Arial"/>
          <w:b w:val="0"/>
          <w:bCs/>
          <w:color w:val="auto"/>
          <w:szCs w:val="24"/>
          <w:lang w:val="es-UY"/>
        </w:rPr>
        <w:t>.</w:t>
      </w:r>
      <w:r w:rsidR="000D46A4" w:rsidRPr="000D46A4">
        <w:rPr>
          <w:rFonts w:ascii="Arial" w:hAnsi="Arial"/>
          <w:b w:val="0"/>
          <w:bCs/>
          <w:color w:val="auto"/>
          <w:szCs w:val="24"/>
          <w:lang w:val="es-UY"/>
        </w:rPr>
        <w:t>C</w:t>
      </w:r>
      <w:r w:rsidR="000D46A4">
        <w:rPr>
          <w:rFonts w:ascii="Arial" w:hAnsi="Arial"/>
          <w:b w:val="0"/>
          <w:bCs/>
          <w:color w:val="auto"/>
          <w:szCs w:val="24"/>
          <w:lang w:val="es-UY"/>
        </w:rPr>
        <w:t>.</w:t>
      </w:r>
      <w:r w:rsidR="000D46A4" w:rsidRPr="000D46A4">
        <w:rPr>
          <w:rFonts w:ascii="Arial" w:hAnsi="Arial"/>
          <w:b w:val="0"/>
          <w:bCs/>
          <w:color w:val="auto"/>
          <w:szCs w:val="24"/>
          <w:lang w:val="es-UY"/>
        </w:rPr>
        <w:t>A</w:t>
      </w:r>
      <w:r w:rsidR="000D46A4">
        <w:rPr>
          <w:rFonts w:ascii="Arial" w:hAnsi="Arial"/>
          <w:b w:val="0"/>
          <w:bCs/>
          <w:color w:val="auto"/>
          <w:szCs w:val="24"/>
          <w:lang w:val="es-UY"/>
        </w:rPr>
        <w:t>.</w:t>
      </w:r>
      <w:r w:rsidR="000D46A4" w:rsidRPr="000D46A4">
        <w:rPr>
          <w:rFonts w:ascii="Arial" w:hAnsi="Arial"/>
          <w:b w:val="0"/>
          <w:bCs/>
          <w:color w:val="auto"/>
          <w:szCs w:val="24"/>
          <w:lang w:val="es-UY"/>
        </w:rPr>
        <w:t>F</w:t>
      </w:r>
      <w:r w:rsidR="000D46A4">
        <w:rPr>
          <w:rFonts w:ascii="Arial" w:hAnsi="Arial"/>
          <w:b w:val="0"/>
          <w:bCs/>
          <w:color w:val="auto"/>
          <w:szCs w:val="24"/>
          <w:lang w:val="es-UY"/>
        </w:rPr>
        <w:t>.</w:t>
      </w:r>
      <w:r w:rsidR="000D46A4" w:rsidRPr="000D46A4">
        <w:rPr>
          <w:rFonts w:ascii="Arial" w:hAnsi="Arial"/>
          <w:b w:val="0"/>
          <w:bCs/>
          <w:color w:val="auto"/>
          <w:szCs w:val="24"/>
          <w:lang w:val="es-UY"/>
        </w:rPr>
        <w:t>,</w:t>
      </w:r>
      <w:r w:rsidR="000D46A4">
        <w:rPr>
          <w:rFonts w:ascii="Arial" w:hAnsi="Arial"/>
          <w:b w:val="0"/>
          <w:bCs/>
          <w:color w:val="auto"/>
          <w:szCs w:val="24"/>
          <w:lang w:val="es-UY"/>
        </w:rPr>
        <w:t xml:space="preserve"> en virtud de que se </w:t>
      </w:r>
      <w:r w:rsidR="000D46A4" w:rsidRPr="000D46A4">
        <w:rPr>
          <w:rFonts w:ascii="Arial" w:hAnsi="Arial"/>
          <w:b w:val="0"/>
          <w:bCs/>
          <w:color w:val="auto"/>
          <w:szCs w:val="24"/>
          <w:lang w:val="es-UY"/>
        </w:rPr>
        <w:t>compromet</w:t>
      </w:r>
      <w:r w:rsidR="000D46A4">
        <w:rPr>
          <w:rFonts w:ascii="Arial" w:hAnsi="Arial"/>
          <w:b w:val="0"/>
          <w:bCs/>
          <w:color w:val="auto"/>
          <w:szCs w:val="24"/>
          <w:lang w:val="es-UY"/>
        </w:rPr>
        <w:t>ió</w:t>
      </w:r>
      <w:r w:rsidR="000D46A4" w:rsidRPr="000D46A4">
        <w:rPr>
          <w:rFonts w:ascii="Arial" w:hAnsi="Arial"/>
          <w:b w:val="0"/>
          <w:bCs/>
          <w:color w:val="auto"/>
          <w:szCs w:val="24"/>
          <w:lang w:val="es-UY"/>
        </w:rPr>
        <w:t xml:space="preserve"> un gasto sin que </w:t>
      </w:r>
      <w:r>
        <w:rPr>
          <w:rFonts w:ascii="Arial" w:hAnsi="Arial"/>
          <w:b w:val="0"/>
          <w:bCs/>
          <w:color w:val="auto"/>
          <w:szCs w:val="24"/>
          <w:lang w:val="es-UY"/>
        </w:rPr>
        <w:t>existiera</w:t>
      </w:r>
      <w:r w:rsidR="000D46A4" w:rsidRPr="000D46A4">
        <w:rPr>
          <w:rFonts w:ascii="Arial" w:hAnsi="Arial"/>
          <w:b w:val="0"/>
          <w:bCs/>
          <w:color w:val="auto"/>
          <w:szCs w:val="24"/>
          <w:lang w:val="es-UY"/>
        </w:rPr>
        <w:t xml:space="preserve"> crédito </w:t>
      </w:r>
      <w:r w:rsidR="000D46A4">
        <w:rPr>
          <w:rFonts w:ascii="Arial" w:hAnsi="Arial"/>
          <w:b w:val="0"/>
          <w:bCs/>
          <w:color w:val="auto"/>
          <w:szCs w:val="24"/>
          <w:lang w:val="es-UY"/>
        </w:rPr>
        <w:t xml:space="preserve">presupuestal </w:t>
      </w:r>
      <w:r w:rsidR="000D46A4" w:rsidRPr="000D46A4">
        <w:rPr>
          <w:rFonts w:ascii="Arial" w:hAnsi="Arial"/>
          <w:b w:val="0"/>
          <w:bCs/>
          <w:color w:val="auto"/>
          <w:szCs w:val="24"/>
          <w:lang w:val="es-UY"/>
        </w:rPr>
        <w:t xml:space="preserve">disponible </w:t>
      </w:r>
      <w:r w:rsidR="000D46A4">
        <w:rPr>
          <w:rFonts w:ascii="Arial" w:hAnsi="Arial"/>
          <w:b w:val="0"/>
          <w:bCs/>
          <w:color w:val="auto"/>
          <w:szCs w:val="24"/>
          <w:lang w:val="es-UY"/>
        </w:rPr>
        <w:t>en el rubro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de imputación correspondiente;</w:t>
      </w:r>
    </w:p>
    <w:p w:rsidR="004248BB" w:rsidRDefault="00974FBA" w:rsidP="00974FBA">
      <w:pPr>
        <w:spacing w:line="360" w:lineRule="auto"/>
        <w:ind w:firstLine="2694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4248BB" w:rsidRPr="004248BB">
        <w:rPr>
          <w:rFonts w:ascii="Arial" w:hAnsi="Arial"/>
          <w:bCs/>
          <w:color w:val="auto"/>
          <w:szCs w:val="24"/>
          <w:lang w:val="es-UY"/>
        </w:rPr>
        <w:t>5)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que mediante Resolución</w:t>
      </w:r>
      <w:r w:rsidR="004248BB" w:rsidRPr="004248BB">
        <w:rPr>
          <w:rFonts w:ascii="Arial" w:hAnsi="Arial"/>
          <w:b w:val="0"/>
          <w:bCs/>
          <w:color w:val="auto"/>
          <w:szCs w:val="24"/>
          <w:lang w:val="es-UY"/>
        </w:rPr>
        <w:t xml:space="preserve"> N° 1</w:t>
      </w:r>
      <w:r w:rsidR="004248BB">
        <w:rPr>
          <w:rFonts w:ascii="Arial" w:hAnsi="Arial"/>
          <w:b w:val="0"/>
          <w:bCs/>
          <w:color w:val="auto"/>
          <w:szCs w:val="24"/>
          <w:lang w:val="es-UY"/>
        </w:rPr>
        <w:t>2</w:t>
      </w:r>
      <w:r w:rsidR="004248BB" w:rsidRPr="004248BB">
        <w:rPr>
          <w:rFonts w:ascii="Arial" w:hAnsi="Arial"/>
          <w:b w:val="0"/>
          <w:bCs/>
          <w:color w:val="auto"/>
          <w:szCs w:val="24"/>
          <w:lang w:val="es-UY"/>
        </w:rPr>
        <w:t>.</w:t>
      </w:r>
      <w:r w:rsidR="004248BB">
        <w:rPr>
          <w:rFonts w:ascii="Arial" w:hAnsi="Arial"/>
          <w:b w:val="0"/>
          <w:bCs/>
          <w:color w:val="auto"/>
          <w:szCs w:val="24"/>
          <w:lang w:val="es-UY"/>
        </w:rPr>
        <w:t>37</w:t>
      </w:r>
      <w:r w:rsidR="004248BB" w:rsidRPr="004248BB">
        <w:rPr>
          <w:rFonts w:ascii="Arial" w:hAnsi="Arial"/>
          <w:b w:val="0"/>
          <w:bCs/>
          <w:color w:val="auto"/>
          <w:szCs w:val="24"/>
          <w:lang w:val="es-UY"/>
        </w:rPr>
        <w:t>7/1</w:t>
      </w:r>
      <w:r w:rsidR="004248BB">
        <w:rPr>
          <w:rFonts w:ascii="Arial" w:hAnsi="Arial"/>
          <w:b w:val="0"/>
          <w:bCs/>
          <w:color w:val="auto"/>
          <w:szCs w:val="24"/>
          <w:lang w:val="es-UY"/>
        </w:rPr>
        <w:t>9</w:t>
      </w:r>
      <w:r w:rsidR="004248BB" w:rsidRPr="004248BB">
        <w:rPr>
          <w:rFonts w:ascii="Arial" w:hAnsi="Arial"/>
          <w:b w:val="0"/>
          <w:bCs/>
          <w:color w:val="auto"/>
          <w:szCs w:val="24"/>
          <w:lang w:val="es-UY"/>
        </w:rPr>
        <w:t xml:space="preserve">, de fecha  </w:t>
      </w:r>
      <w:r w:rsidR="004248BB">
        <w:rPr>
          <w:rFonts w:ascii="Arial" w:hAnsi="Arial"/>
          <w:b w:val="0"/>
          <w:bCs/>
          <w:color w:val="auto"/>
          <w:szCs w:val="24"/>
          <w:lang w:val="es-UY"/>
        </w:rPr>
        <w:t>4</w:t>
      </w:r>
      <w:r w:rsidR="004248BB" w:rsidRPr="004248BB">
        <w:rPr>
          <w:rFonts w:ascii="Arial" w:hAnsi="Arial"/>
          <w:b w:val="0"/>
          <w:bCs/>
          <w:color w:val="auto"/>
          <w:szCs w:val="24"/>
          <w:lang w:val="es-UY"/>
        </w:rPr>
        <w:t>/</w:t>
      </w:r>
      <w:r w:rsidR="004248BB">
        <w:rPr>
          <w:rFonts w:ascii="Arial" w:hAnsi="Arial"/>
          <w:b w:val="0"/>
          <w:bCs/>
          <w:color w:val="auto"/>
          <w:szCs w:val="24"/>
          <w:lang w:val="es-UY"/>
        </w:rPr>
        <w:t>01</w:t>
      </w:r>
      <w:r w:rsidR="004248BB" w:rsidRPr="004248BB">
        <w:rPr>
          <w:rFonts w:ascii="Arial" w:hAnsi="Arial"/>
          <w:b w:val="0"/>
          <w:bCs/>
          <w:color w:val="auto"/>
          <w:szCs w:val="24"/>
          <w:lang w:val="es-UY"/>
        </w:rPr>
        <w:t>/01</w:t>
      </w:r>
      <w:r w:rsidR="004248BB">
        <w:rPr>
          <w:rFonts w:ascii="Arial" w:hAnsi="Arial"/>
          <w:b w:val="0"/>
          <w:bCs/>
          <w:color w:val="auto"/>
          <w:szCs w:val="24"/>
          <w:lang w:val="es-UY"/>
        </w:rPr>
        <w:t>9</w:t>
      </w:r>
      <w:r w:rsidR="004248BB" w:rsidRPr="004248BB">
        <w:rPr>
          <w:rFonts w:ascii="Arial" w:hAnsi="Arial"/>
          <w:b w:val="0"/>
          <w:bCs/>
          <w:color w:val="auto"/>
          <w:szCs w:val="24"/>
          <w:lang w:val="es-UY"/>
        </w:rPr>
        <w:t xml:space="preserve">, el </w:t>
      </w:r>
      <w:r w:rsidR="004248BB">
        <w:rPr>
          <w:rFonts w:ascii="Arial" w:hAnsi="Arial"/>
          <w:b w:val="0"/>
          <w:bCs/>
          <w:color w:val="auto"/>
          <w:szCs w:val="24"/>
          <w:lang w:val="es-UY"/>
        </w:rPr>
        <w:t>Ejecutivo Departamental</w:t>
      </w:r>
      <w:r w:rsidR="004248BB" w:rsidRPr="004248BB">
        <w:rPr>
          <w:rFonts w:ascii="Arial" w:hAnsi="Arial"/>
          <w:b w:val="0"/>
          <w:bCs/>
          <w:color w:val="auto"/>
          <w:szCs w:val="24"/>
          <w:lang w:val="es-UY"/>
        </w:rPr>
        <w:t xml:space="preserve"> dispuso </w:t>
      </w:r>
      <w:r w:rsidR="004248BB">
        <w:rPr>
          <w:rFonts w:ascii="Arial" w:hAnsi="Arial"/>
          <w:b w:val="0"/>
          <w:bCs/>
          <w:color w:val="auto"/>
          <w:szCs w:val="24"/>
          <w:lang w:val="es-UY"/>
        </w:rPr>
        <w:t>la reiteración del gasto, alegando raz</w:t>
      </w:r>
      <w:r>
        <w:rPr>
          <w:rFonts w:ascii="Arial" w:hAnsi="Arial"/>
          <w:b w:val="0"/>
          <w:bCs/>
          <w:color w:val="auto"/>
          <w:szCs w:val="24"/>
          <w:lang w:val="es-UY"/>
        </w:rPr>
        <w:t>ones de necesidad del servicio;</w:t>
      </w:r>
    </w:p>
    <w:p w:rsidR="00974FBA" w:rsidRDefault="004F3FF4" w:rsidP="00974FBA">
      <w:pPr>
        <w:spacing w:line="360" w:lineRule="auto"/>
        <w:ind w:firstLine="851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 xml:space="preserve">CONSIDERANDO: </w:t>
      </w:r>
      <w:r w:rsidR="00CD014A" w:rsidRPr="00CD014A">
        <w:rPr>
          <w:rFonts w:ascii="Arial" w:hAnsi="Arial"/>
          <w:bCs/>
          <w:color w:val="auto"/>
          <w:szCs w:val="24"/>
          <w:lang w:val="es-UY"/>
        </w:rPr>
        <w:t xml:space="preserve">1) </w:t>
      </w:r>
      <w:r w:rsidR="00CD014A" w:rsidRPr="00CD014A">
        <w:rPr>
          <w:rFonts w:ascii="Arial" w:hAnsi="Arial"/>
          <w:b w:val="0"/>
          <w:bCs/>
          <w:color w:val="auto"/>
          <w:szCs w:val="24"/>
          <w:lang w:val="es-UY"/>
        </w:rPr>
        <w:t xml:space="preserve">que el </w:t>
      </w:r>
      <w:r w:rsidR="00E942B1">
        <w:rPr>
          <w:rFonts w:ascii="Arial" w:hAnsi="Arial"/>
          <w:b w:val="0"/>
          <w:bCs/>
          <w:color w:val="auto"/>
          <w:szCs w:val="24"/>
          <w:lang w:val="es-UY"/>
        </w:rPr>
        <w:t>a</w:t>
      </w:r>
      <w:r w:rsidR="00CD014A" w:rsidRPr="00CD014A">
        <w:rPr>
          <w:rFonts w:ascii="Arial" w:hAnsi="Arial"/>
          <w:b w:val="0"/>
          <w:bCs/>
          <w:color w:val="auto"/>
          <w:szCs w:val="24"/>
          <w:lang w:val="es-UY"/>
        </w:rPr>
        <w:t xml:space="preserve">rt. 475 de la Ley 17.296 establece que los Ordenadores de gastos y pagos, al ejercer la facultad de insistencia o reiteración que les acuerda el </w:t>
      </w:r>
      <w:proofErr w:type="spellStart"/>
      <w:r w:rsidR="00E942B1">
        <w:rPr>
          <w:rFonts w:ascii="Arial" w:hAnsi="Arial"/>
          <w:b w:val="0"/>
          <w:bCs/>
          <w:color w:val="auto"/>
          <w:szCs w:val="24"/>
          <w:lang w:val="es-UY"/>
        </w:rPr>
        <w:t>l</w:t>
      </w:r>
      <w:r w:rsidR="00CD014A" w:rsidRPr="00CD014A">
        <w:rPr>
          <w:rFonts w:ascii="Arial" w:hAnsi="Arial"/>
          <w:b w:val="0"/>
          <w:bCs/>
          <w:color w:val="auto"/>
          <w:szCs w:val="24"/>
          <w:lang w:val="es-UY"/>
        </w:rPr>
        <w:t>it.</w:t>
      </w:r>
      <w:proofErr w:type="spellEnd"/>
      <w:r w:rsidR="00CD014A" w:rsidRPr="00CD014A">
        <w:rPr>
          <w:rFonts w:ascii="Arial" w:hAnsi="Arial"/>
          <w:b w:val="0"/>
          <w:bCs/>
          <w:color w:val="auto"/>
          <w:szCs w:val="24"/>
          <w:lang w:val="es-UY"/>
        </w:rPr>
        <w:t xml:space="preserve"> B) del </w:t>
      </w:r>
      <w:r w:rsidR="00E942B1">
        <w:rPr>
          <w:rFonts w:ascii="Arial" w:hAnsi="Arial"/>
          <w:b w:val="0"/>
          <w:bCs/>
          <w:color w:val="auto"/>
          <w:szCs w:val="24"/>
          <w:lang w:val="es-UY"/>
        </w:rPr>
        <w:t>a</w:t>
      </w:r>
      <w:r w:rsidR="00CD014A" w:rsidRPr="00CD014A">
        <w:rPr>
          <w:rFonts w:ascii="Arial" w:hAnsi="Arial"/>
          <w:b w:val="0"/>
          <w:bCs/>
          <w:color w:val="auto"/>
          <w:szCs w:val="24"/>
          <w:lang w:val="es-UY"/>
        </w:rPr>
        <w:t xml:space="preserve">rt. 211 de la Constitución de la República, </w:t>
      </w:r>
      <w:r w:rsidR="00974FBA">
        <w:rPr>
          <w:rFonts w:ascii="Arial" w:hAnsi="Arial"/>
          <w:b w:val="0"/>
          <w:bCs/>
          <w:color w:val="auto"/>
          <w:szCs w:val="24"/>
          <w:lang w:val="es-UY"/>
        </w:rPr>
        <w:t>deben hacerlo en forma fundada,</w:t>
      </w:r>
      <w:r w:rsidR="00CD014A" w:rsidRPr="00CD014A">
        <w:rPr>
          <w:rFonts w:ascii="Arial" w:hAnsi="Arial"/>
          <w:b w:val="0"/>
          <w:bCs/>
          <w:color w:val="auto"/>
          <w:szCs w:val="24"/>
          <w:lang w:val="es-UY"/>
        </w:rPr>
        <w:t xml:space="preserve"> expresando de manera detallada los motivos que justifican a su juicio seguir el curso del gasto del pago;</w:t>
      </w:r>
    </w:p>
    <w:p w:rsidR="0024192F" w:rsidRDefault="00974FBA" w:rsidP="00974FBA">
      <w:pPr>
        <w:spacing w:line="360" w:lineRule="auto"/>
        <w:ind w:firstLine="2977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CD014A" w:rsidRPr="00CD014A">
        <w:rPr>
          <w:rFonts w:ascii="Arial" w:hAnsi="Arial"/>
          <w:bCs/>
          <w:color w:val="auto"/>
          <w:szCs w:val="24"/>
          <w:lang w:val="es-UY"/>
        </w:rPr>
        <w:t xml:space="preserve">2) </w:t>
      </w:r>
      <w:r w:rsidR="00CD014A" w:rsidRPr="00CD014A">
        <w:rPr>
          <w:rFonts w:ascii="Arial" w:hAnsi="Arial"/>
          <w:b w:val="0"/>
          <w:bCs/>
          <w:color w:val="auto"/>
          <w:szCs w:val="24"/>
          <w:lang w:val="es-UY"/>
        </w:rPr>
        <w:t>que los argumentos esgrimidos por el ordenador no enervan los fundamentos de la observación formulada por este Tribunal;</w:t>
      </w:r>
    </w:p>
    <w:p w:rsidR="0024192F" w:rsidRDefault="0024192F" w:rsidP="00974FBA">
      <w:pPr>
        <w:keepNext/>
        <w:spacing w:line="360" w:lineRule="auto"/>
        <w:ind w:firstLine="851"/>
        <w:jc w:val="both"/>
        <w:outlineLvl w:val="1"/>
        <w:rPr>
          <w:rFonts w:ascii="Arial" w:hAnsi="Arial"/>
          <w:color w:val="auto"/>
          <w:szCs w:val="24"/>
          <w:lang w:val="es-UY"/>
        </w:rPr>
      </w:pPr>
      <w:r>
        <w:rPr>
          <w:rFonts w:ascii="Arial" w:hAnsi="Arial" w:cs="Arial"/>
          <w:lang w:val="es-UY"/>
        </w:rPr>
        <w:t xml:space="preserve">ATENTO: </w:t>
      </w:r>
      <w:r>
        <w:rPr>
          <w:rFonts w:ascii="Arial" w:hAnsi="Arial" w:cs="Arial"/>
          <w:b w:val="0"/>
          <w:bCs/>
          <w:lang w:val="es-UY"/>
        </w:rPr>
        <w:t>a lo precedentemente expuesto</w:t>
      </w:r>
      <w:r w:rsidR="00177E58">
        <w:rPr>
          <w:rFonts w:ascii="Arial" w:hAnsi="Arial" w:cs="Arial"/>
          <w:b w:val="0"/>
          <w:bCs/>
          <w:lang w:val="es-UY"/>
        </w:rPr>
        <w:t xml:space="preserve"> y a lo dispuesto por el </w:t>
      </w:r>
      <w:r w:rsidR="00E942B1">
        <w:rPr>
          <w:rFonts w:ascii="Arial" w:hAnsi="Arial" w:cs="Arial"/>
          <w:b w:val="0"/>
          <w:bCs/>
          <w:lang w:val="es-UY"/>
        </w:rPr>
        <w:t>a</w:t>
      </w:r>
      <w:r w:rsidR="00177E58">
        <w:rPr>
          <w:rFonts w:ascii="Arial" w:hAnsi="Arial" w:cs="Arial"/>
          <w:b w:val="0"/>
          <w:bCs/>
          <w:lang w:val="es-UY"/>
        </w:rPr>
        <w:t>rt</w:t>
      </w:r>
      <w:r w:rsidR="00CD014A">
        <w:rPr>
          <w:rFonts w:ascii="Arial" w:hAnsi="Arial" w:cs="Arial"/>
          <w:b w:val="0"/>
          <w:bCs/>
          <w:lang w:val="es-UY"/>
        </w:rPr>
        <w:t>.</w:t>
      </w:r>
      <w:r w:rsidR="00177E58">
        <w:rPr>
          <w:rFonts w:ascii="Arial" w:hAnsi="Arial" w:cs="Arial"/>
          <w:b w:val="0"/>
          <w:bCs/>
          <w:lang w:val="es-UY"/>
        </w:rPr>
        <w:t xml:space="preserve"> 211 </w:t>
      </w:r>
      <w:proofErr w:type="spellStart"/>
      <w:r w:rsidR="00E942B1">
        <w:rPr>
          <w:rFonts w:ascii="Arial" w:hAnsi="Arial" w:cs="Arial"/>
          <w:b w:val="0"/>
          <w:bCs/>
          <w:lang w:val="es-UY"/>
        </w:rPr>
        <w:t>l</w:t>
      </w:r>
      <w:r w:rsidR="00177E58">
        <w:rPr>
          <w:rFonts w:ascii="Arial" w:hAnsi="Arial" w:cs="Arial"/>
          <w:b w:val="0"/>
          <w:bCs/>
          <w:lang w:val="es-UY"/>
        </w:rPr>
        <w:t>it</w:t>
      </w:r>
      <w:r w:rsidR="00CD014A">
        <w:rPr>
          <w:rFonts w:ascii="Arial" w:hAnsi="Arial" w:cs="Arial"/>
          <w:b w:val="0"/>
          <w:bCs/>
          <w:lang w:val="es-UY"/>
        </w:rPr>
        <w:t>.</w:t>
      </w:r>
      <w:proofErr w:type="spellEnd"/>
      <w:r w:rsidR="00177E58">
        <w:rPr>
          <w:rFonts w:ascii="Arial" w:hAnsi="Arial" w:cs="Arial"/>
          <w:b w:val="0"/>
          <w:bCs/>
          <w:lang w:val="es-UY"/>
        </w:rPr>
        <w:t xml:space="preserve"> B</w:t>
      </w:r>
      <w:r w:rsidR="00974FBA">
        <w:rPr>
          <w:rFonts w:ascii="Arial" w:hAnsi="Arial" w:cs="Arial"/>
          <w:b w:val="0"/>
          <w:bCs/>
          <w:lang w:val="es-UY"/>
        </w:rPr>
        <w:t>)</w:t>
      </w:r>
      <w:r w:rsidR="00177E58">
        <w:rPr>
          <w:rFonts w:ascii="Arial" w:hAnsi="Arial" w:cs="Arial"/>
          <w:b w:val="0"/>
          <w:bCs/>
          <w:lang w:val="es-UY"/>
        </w:rPr>
        <w:t xml:space="preserve"> de la Constitución de la República</w:t>
      </w:r>
      <w:r>
        <w:rPr>
          <w:rFonts w:ascii="Arial" w:hAnsi="Arial" w:cs="Arial"/>
          <w:b w:val="0"/>
          <w:bCs/>
          <w:lang w:val="es-UY"/>
        </w:rPr>
        <w:t>;</w:t>
      </w:r>
    </w:p>
    <w:p w:rsidR="0024192F" w:rsidRDefault="0024192F" w:rsidP="0024192F">
      <w:pPr>
        <w:spacing w:line="360" w:lineRule="auto"/>
        <w:ind w:firstLine="708"/>
        <w:jc w:val="center"/>
        <w:rPr>
          <w:rFonts w:ascii="Arial" w:hAnsi="Arial"/>
          <w:color w:val="auto"/>
          <w:szCs w:val="24"/>
          <w:lang w:val="es-UY"/>
        </w:rPr>
      </w:pPr>
      <w:r>
        <w:rPr>
          <w:rFonts w:ascii="Arial" w:hAnsi="Arial"/>
          <w:color w:val="auto"/>
          <w:szCs w:val="24"/>
          <w:lang w:val="es-UY"/>
        </w:rPr>
        <w:t>EL TRIBUNAL ACUERDA</w:t>
      </w:r>
    </w:p>
    <w:p w:rsidR="00676D9F" w:rsidRPr="00676D9F" w:rsidRDefault="00974FBA" w:rsidP="00974FBA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  <w:bCs/>
          <w:lang w:val="es-UY"/>
        </w:rPr>
        <w:t xml:space="preserve">1) </w:t>
      </w:r>
      <w:r w:rsidR="00676D9F" w:rsidRPr="00676D9F">
        <w:rPr>
          <w:rFonts w:ascii="Arial" w:hAnsi="Arial" w:cs="Arial"/>
          <w:b w:val="0"/>
          <w:bCs/>
          <w:lang w:val="es-ES_tradnl"/>
        </w:rPr>
        <w:t>Mantener la observación del gasto</w:t>
      </w:r>
      <w:r w:rsidR="00A603D3">
        <w:rPr>
          <w:rFonts w:ascii="Arial" w:hAnsi="Arial" w:cs="Arial"/>
          <w:b w:val="0"/>
          <w:bCs/>
          <w:lang w:val="es-ES_tradnl"/>
        </w:rPr>
        <w:t xml:space="preserve"> dispuesta</w:t>
      </w:r>
      <w:r w:rsidR="00676D9F" w:rsidRPr="00676D9F">
        <w:rPr>
          <w:rFonts w:ascii="Arial" w:hAnsi="Arial" w:cs="Arial"/>
          <w:b w:val="0"/>
          <w:bCs/>
          <w:lang w:val="es-ES_tradnl"/>
        </w:rPr>
        <w:t xml:space="preserve"> </w:t>
      </w:r>
      <w:r>
        <w:rPr>
          <w:rFonts w:ascii="Arial" w:hAnsi="Arial" w:cs="Arial"/>
          <w:b w:val="0"/>
          <w:bCs/>
          <w:lang w:val="es-ES_tradnl"/>
        </w:rPr>
        <w:t xml:space="preserve">mediante Resolución               N° </w:t>
      </w:r>
      <w:r w:rsidR="00A603D3" w:rsidRPr="00A603D3">
        <w:rPr>
          <w:rFonts w:ascii="Arial" w:hAnsi="Arial" w:cs="Arial"/>
          <w:b w:val="0"/>
          <w:bCs/>
          <w:lang w:val="es-ES_tradnl"/>
        </w:rPr>
        <w:t>3872/1</w:t>
      </w:r>
      <w:r w:rsidR="00D72744">
        <w:rPr>
          <w:rFonts w:ascii="Arial" w:hAnsi="Arial" w:cs="Arial"/>
          <w:b w:val="0"/>
          <w:bCs/>
          <w:lang w:val="es-ES_tradnl"/>
        </w:rPr>
        <w:t>8</w:t>
      </w:r>
      <w:r w:rsidR="005F06E8">
        <w:rPr>
          <w:rFonts w:ascii="Arial" w:hAnsi="Arial" w:cs="Arial"/>
          <w:b w:val="0"/>
          <w:bCs/>
          <w:lang w:val="es-ES_tradnl"/>
        </w:rPr>
        <w:t>, adoptada en sesión de fecha 19/12/018</w:t>
      </w:r>
      <w:r w:rsidR="00676D9F" w:rsidRPr="00676D9F">
        <w:rPr>
          <w:rFonts w:ascii="Arial" w:hAnsi="Arial" w:cs="Arial"/>
          <w:b w:val="0"/>
          <w:bCs/>
          <w:lang w:val="es-ES_tradnl"/>
        </w:rPr>
        <w:t>;</w:t>
      </w:r>
    </w:p>
    <w:p w:rsidR="00676D9F" w:rsidRPr="00676D9F" w:rsidRDefault="00676D9F" w:rsidP="00676D9F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r w:rsidRPr="00676D9F">
        <w:rPr>
          <w:rFonts w:ascii="Arial" w:hAnsi="Arial" w:cs="Arial"/>
          <w:bCs/>
          <w:lang w:val="es-ES_tradnl"/>
        </w:rPr>
        <w:t>2)</w:t>
      </w:r>
      <w:r w:rsidR="00974FBA">
        <w:rPr>
          <w:rFonts w:ascii="Arial" w:hAnsi="Arial" w:cs="Arial"/>
          <w:b w:val="0"/>
          <w:bCs/>
          <w:lang w:val="es-ES_tradnl"/>
        </w:rPr>
        <w:t xml:space="preserve"> Dar cuenta</w:t>
      </w:r>
      <w:r w:rsidRPr="00676D9F">
        <w:rPr>
          <w:rFonts w:ascii="Arial" w:hAnsi="Arial" w:cs="Arial"/>
          <w:b w:val="0"/>
          <w:bCs/>
          <w:lang w:val="es-ES_tradnl"/>
        </w:rPr>
        <w:t xml:space="preserve"> a la Junta Departamental de Florida; y</w:t>
      </w:r>
    </w:p>
    <w:p w:rsidR="00676D9F" w:rsidRPr="00676D9F" w:rsidRDefault="00676D9F" w:rsidP="00A603D3">
      <w:pPr>
        <w:spacing w:line="360" w:lineRule="auto"/>
        <w:ind w:left="708" w:hanging="708"/>
        <w:jc w:val="both"/>
        <w:rPr>
          <w:rFonts w:ascii="Arial" w:hAnsi="Arial" w:cs="Arial"/>
          <w:b w:val="0"/>
          <w:bCs/>
          <w:lang w:val="es-ES_tradnl"/>
        </w:rPr>
      </w:pPr>
      <w:r w:rsidRPr="00676D9F">
        <w:rPr>
          <w:rFonts w:ascii="Arial" w:hAnsi="Arial" w:cs="Arial"/>
          <w:bCs/>
          <w:lang w:val="es-ES_tradnl"/>
        </w:rPr>
        <w:t>3)</w:t>
      </w:r>
      <w:r w:rsidR="00974FBA">
        <w:rPr>
          <w:rFonts w:ascii="Arial" w:hAnsi="Arial" w:cs="Arial"/>
          <w:b w:val="0"/>
          <w:bCs/>
          <w:lang w:val="es-ES_tradnl"/>
        </w:rPr>
        <w:t xml:space="preserve"> </w:t>
      </w:r>
      <w:r w:rsidRPr="00676D9F">
        <w:rPr>
          <w:rFonts w:ascii="Arial" w:hAnsi="Arial" w:cs="Arial"/>
          <w:b w:val="0"/>
          <w:bCs/>
          <w:lang w:val="es-ES_tradnl"/>
        </w:rPr>
        <w:t>Comunicar a la Intendencia de Florida y a</w:t>
      </w:r>
      <w:r w:rsidR="00974FBA">
        <w:rPr>
          <w:rFonts w:ascii="Arial" w:hAnsi="Arial" w:cs="Arial"/>
          <w:b w:val="0"/>
          <w:bCs/>
          <w:lang w:val="es-ES_tradnl"/>
        </w:rPr>
        <w:t xml:space="preserve"> la Contadora Delegada actuante.</w:t>
      </w:r>
    </w:p>
    <w:p w:rsidR="00A603D3" w:rsidRDefault="00A603D3" w:rsidP="0024192F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24192F" w:rsidRDefault="0022692C" w:rsidP="0024192F">
      <w:pPr>
        <w:spacing w:line="360" w:lineRule="auto"/>
        <w:jc w:val="both"/>
        <w:rPr>
          <w:rFonts w:ascii="Arial" w:hAnsi="Arial" w:cs="Arial"/>
          <w:b w:val="0"/>
          <w:bCs/>
          <w:highlight w:val="yellow"/>
          <w:lang w:val="es-ES_tradnl"/>
        </w:rPr>
      </w:pPr>
      <w:proofErr w:type="gramStart"/>
      <w:r>
        <w:rPr>
          <w:rFonts w:ascii="Arial" w:hAnsi="Arial" w:cs="Arial"/>
          <w:b w:val="0"/>
          <w:bCs/>
          <w:lang w:val="es-ES_tradnl"/>
        </w:rPr>
        <w:t>lm</w:t>
      </w:r>
      <w:proofErr w:type="gramEnd"/>
    </w:p>
    <w:sectPr w:rsidR="0024192F" w:rsidSect="00974FBA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D8" w:rsidRDefault="00A725D8" w:rsidP="00A725D8">
      <w:r>
        <w:separator/>
      </w:r>
    </w:p>
  </w:endnote>
  <w:endnote w:type="continuationSeparator" w:id="0">
    <w:p w:rsidR="00A725D8" w:rsidRDefault="00A725D8" w:rsidP="00A7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843347"/>
      <w:docPartObj>
        <w:docPartGallery w:val="Page Numbers (Bottom of Page)"/>
        <w:docPartUnique/>
      </w:docPartObj>
    </w:sdtPr>
    <w:sdtEndPr/>
    <w:sdtContent>
      <w:p w:rsidR="00C91E38" w:rsidRDefault="00C91E3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FE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D8" w:rsidRDefault="00A725D8" w:rsidP="00A725D8">
      <w:r>
        <w:separator/>
      </w:r>
    </w:p>
  </w:footnote>
  <w:footnote w:type="continuationSeparator" w:id="0">
    <w:p w:rsidR="00A725D8" w:rsidRDefault="00A725D8" w:rsidP="00A7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2F"/>
    <w:rsid w:val="0003085A"/>
    <w:rsid w:val="000D46A4"/>
    <w:rsid w:val="001241A6"/>
    <w:rsid w:val="00162DBF"/>
    <w:rsid w:val="00177E58"/>
    <w:rsid w:val="0022599D"/>
    <w:rsid w:val="0022692C"/>
    <w:rsid w:val="0024192F"/>
    <w:rsid w:val="003147B6"/>
    <w:rsid w:val="00343FEB"/>
    <w:rsid w:val="003872AC"/>
    <w:rsid w:val="003A7A92"/>
    <w:rsid w:val="004248BB"/>
    <w:rsid w:val="00437BC9"/>
    <w:rsid w:val="004F3FF4"/>
    <w:rsid w:val="005F06E8"/>
    <w:rsid w:val="00676D9F"/>
    <w:rsid w:val="006D6603"/>
    <w:rsid w:val="00735C26"/>
    <w:rsid w:val="00974FBA"/>
    <w:rsid w:val="00A26430"/>
    <w:rsid w:val="00A34504"/>
    <w:rsid w:val="00A603D3"/>
    <w:rsid w:val="00A725D8"/>
    <w:rsid w:val="00C91E38"/>
    <w:rsid w:val="00CD014A"/>
    <w:rsid w:val="00D671DD"/>
    <w:rsid w:val="00D72744"/>
    <w:rsid w:val="00DD3043"/>
    <w:rsid w:val="00E942B1"/>
    <w:rsid w:val="00F37EDD"/>
    <w:rsid w:val="00F5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2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4192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24192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styleId="Hipervnculo">
    <w:name w:val="Hyperlink"/>
    <w:unhideWhenUsed/>
    <w:rsid w:val="0024192F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24192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24192F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725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25D8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725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D8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2F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4192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24192F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styleId="Hipervnculo">
    <w:name w:val="Hyperlink"/>
    <w:unhideWhenUsed/>
    <w:rsid w:val="0024192F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24192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24192F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725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25D8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725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D8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2019-05-08T19:05:00Z</cp:lastPrinted>
  <dcterms:created xsi:type="dcterms:W3CDTF">2019-05-29T16:37:00Z</dcterms:created>
  <dcterms:modified xsi:type="dcterms:W3CDTF">2019-06-14T15:35:00Z</dcterms:modified>
</cp:coreProperties>
</file>